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header1.xml" ContentType="application/vnd.openxmlformats-officedocument.wordprocessingml.header+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C11" w:rsidRDefault="00F346C3" w:rsidP="00771D6F">
      <w:pPr>
        <w:pStyle w:val="11"/>
        <w:widowControl w:val="0"/>
        <w:spacing w:before="0" w:beforeAutospacing="0" w:after="0" w:afterAutospacing="0" w:line="360" w:lineRule="auto"/>
        <w:jc w:val="center"/>
        <w:rPr>
          <w:b/>
          <w:iCs/>
          <w:color w:val="000000"/>
          <w:sz w:val="28"/>
          <w:szCs w:val="28"/>
        </w:rPr>
      </w:pPr>
      <w:r>
        <w:rPr>
          <w:b/>
          <w:iCs/>
          <w:noProof/>
          <w:color w:val="000000"/>
          <w:sz w:val="28"/>
          <w:szCs w:val="28"/>
        </w:rPr>
        <mc:AlternateContent>
          <mc:Choice Requires="wps">
            <w:drawing>
              <wp:anchor distT="0" distB="0" distL="114300" distR="114300" simplePos="0" relativeHeight="251675136" behindDoc="0" locked="0" layoutInCell="1" allowOverlap="1">
                <wp:simplePos x="0" y="0"/>
                <wp:positionH relativeFrom="column">
                  <wp:posOffset>5412105</wp:posOffset>
                </wp:positionH>
                <wp:positionV relativeFrom="paragraph">
                  <wp:posOffset>-422910</wp:posOffset>
                </wp:positionV>
                <wp:extent cx="937260" cy="480060"/>
                <wp:effectExtent l="0" t="0" r="15240" b="15240"/>
                <wp:wrapNone/>
                <wp:docPr id="511596800" name="Прямоугольник 511596800"/>
                <wp:cNvGraphicFramePr/>
                <a:graphic xmlns:a="http://schemas.openxmlformats.org/drawingml/2006/main">
                  <a:graphicData uri="http://schemas.microsoft.com/office/word/2010/wordprocessingShape">
                    <wps:wsp>
                      <wps:cNvSpPr/>
                      <wps:spPr>
                        <a:xfrm>
                          <a:off x="0" y="0"/>
                          <a:ext cx="937260" cy="4800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07780EDB" id="Прямоугольник 511596800" o:spid="_x0000_s1026" style="position:absolute;margin-left:426.15pt;margin-top:-33.3pt;width:73.8pt;height:37.8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" fillcolor="white [3201]" strokecolor="white [3212]" strokeweight="2pt"/>
            </w:pict>
          </mc:Fallback>
        </mc:AlternateContent>
      </w:r>
      <w:r w:rsidR="00771D6F">
        <w:rPr>
          <w:b/>
          <w:iCs/>
          <w:color w:val="000000"/>
          <w:sz w:val="28"/>
          <w:szCs w:val="28"/>
        </w:rPr>
        <w:t>Міністерство освіти і науки України</w:t>
      </w:r>
    </w:p>
    <w:p w:rsidR="00C335F4" w:rsidRPr="00E87C11" w:rsidRDefault="007872CE" w:rsidP="00771D6F">
      <w:pPr>
        <w:pStyle w:val="11"/>
        <w:widowControl w:val="0"/>
        <w:spacing w:before="0" w:beforeAutospacing="0" w:after="0" w:afterAutospacing="0" w:line="360" w:lineRule="auto"/>
        <w:jc w:val="center"/>
        <w:rPr>
          <w:rFonts w:eastAsia="Calibri"/>
          <w:b/>
          <w:bCs/>
          <w:sz w:val="28"/>
          <w:szCs w:val="28"/>
          <w:lang w:eastAsia="en-US"/>
        </w:rPr>
      </w:pPr>
      <w:r>
        <w:rPr>
          <w:b/>
          <w:iCs/>
          <w:color w:val="000000"/>
          <w:sz w:val="28"/>
          <w:szCs w:val="28"/>
        </w:rPr>
        <w:t>ДЗ «</w:t>
      </w:r>
      <w:r w:rsidR="00E87C11" w:rsidRPr="00E87C11">
        <w:rPr>
          <w:b/>
          <w:iCs/>
          <w:color w:val="000000"/>
          <w:sz w:val="28"/>
          <w:szCs w:val="28"/>
        </w:rPr>
        <w:t>Луганський національний ун</w:t>
      </w:r>
      <w:r w:rsidR="00771D6F">
        <w:rPr>
          <w:b/>
          <w:iCs/>
          <w:color w:val="000000"/>
          <w:sz w:val="28"/>
          <w:szCs w:val="28"/>
        </w:rPr>
        <w:t>іверситет імені Тараса Шевченка</w:t>
      </w:r>
      <w:r>
        <w:rPr>
          <w:b/>
          <w:iCs/>
          <w:color w:val="000000"/>
          <w:sz w:val="28"/>
          <w:szCs w:val="28"/>
        </w:rPr>
        <w:t>»</w:t>
      </w:r>
    </w:p>
    <w:p w:rsidR="00C335F4" w:rsidRPr="00F77551" w:rsidRDefault="00C335F4" w:rsidP="00C335F4">
      <w:pPr>
        <w:widowControl w:val="0"/>
        <w:jc w:val="right"/>
        <w:rPr>
          <w:rFonts w:ascii="Times New Roman" w:hAnsi="Times New Roman"/>
          <w:i/>
          <w:sz w:val="28"/>
          <w:szCs w:val="28"/>
          <w:lang w:val="uk-UA"/>
        </w:rPr>
      </w:pPr>
    </w:p>
    <w:p w:rsidR="00C335F4" w:rsidRPr="00F77551" w:rsidRDefault="00C335F4" w:rsidP="00C335F4">
      <w:pPr>
        <w:widowControl w:val="0"/>
        <w:tabs>
          <w:tab w:val="left" w:pos="1440"/>
        </w:tabs>
        <w:jc w:val="right"/>
        <w:rPr>
          <w:rFonts w:ascii="Times New Roman" w:hAnsi="Times New Roman"/>
          <w:sz w:val="28"/>
          <w:szCs w:val="28"/>
          <w:lang w:val="uk-UA"/>
        </w:rPr>
      </w:pPr>
      <w:r w:rsidRPr="00F77551">
        <w:rPr>
          <w:rFonts w:ascii="Times New Roman" w:hAnsi="Times New Roman"/>
          <w:sz w:val="28"/>
          <w:szCs w:val="28"/>
          <w:lang w:val="uk-UA"/>
        </w:rPr>
        <w:t>Кваліфікаційна наукова</w:t>
      </w:r>
    </w:p>
    <w:p w:rsidR="00C335F4" w:rsidRPr="00F77551" w:rsidRDefault="00C335F4" w:rsidP="00C335F4">
      <w:pPr>
        <w:widowControl w:val="0"/>
        <w:jc w:val="right"/>
        <w:rPr>
          <w:rFonts w:ascii="Times New Roman" w:hAnsi="Times New Roman"/>
          <w:sz w:val="28"/>
          <w:szCs w:val="28"/>
          <w:lang w:val="uk-UA"/>
        </w:rPr>
      </w:pPr>
      <w:r w:rsidRPr="00F77551">
        <w:rPr>
          <w:rFonts w:ascii="Times New Roman" w:hAnsi="Times New Roman"/>
          <w:sz w:val="28"/>
          <w:szCs w:val="28"/>
          <w:lang w:val="uk-UA"/>
        </w:rPr>
        <w:t>праця на правах рукопису</w:t>
      </w:r>
    </w:p>
    <w:p w:rsidR="00E87C11" w:rsidRDefault="00E87C11" w:rsidP="00E87C11">
      <w:pPr>
        <w:widowControl w:val="0"/>
        <w:ind w:firstLine="5040"/>
        <w:jc w:val="right"/>
        <w:rPr>
          <w:rFonts w:ascii="Times New Roman" w:hAnsi="Times New Roman"/>
          <w:sz w:val="32"/>
          <w:szCs w:val="32"/>
          <w:lang w:val="uk-UA"/>
        </w:rPr>
      </w:pPr>
    </w:p>
    <w:p w:rsidR="00E87C11" w:rsidRPr="000F5E2E" w:rsidRDefault="00E87C11" w:rsidP="00E87C11">
      <w:pPr>
        <w:widowControl w:val="0"/>
        <w:ind w:firstLine="5040"/>
        <w:jc w:val="right"/>
        <w:rPr>
          <w:rFonts w:ascii="Times New Roman" w:hAnsi="Times New Roman"/>
          <w:sz w:val="28"/>
          <w:szCs w:val="28"/>
          <w:lang w:val="uk-UA"/>
        </w:rPr>
      </w:pPr>
      <w:r w:rsidRPr="000F5E2E">
        <w:rPr>
          <w:rFonts w:ascii="Times New Roman" w:hAnsi="Times New Roman"/>
          <w:sz w:val="28"/>
          <w:szCs w:val="28"/>
          <w:lang w:val="uk-UA"/>
        </w:rPr>
        <w:t>УДК 330.322.2</w:t>
      </w:r>
    </w:p>
    <w:p w:rsidR="00C335F4" w:rsidRPr="00F77551" w:rsidRDefault="00C335F4" w:rsidP="00C335F4">
      <w:pPr>
        <w:widowControl w:val="0"/>
        <w:tabs>
          <w:tab w:val="left" w:pos="1026"/>
        </w:tabs>
        <w:jc w:val="right"/>
        <w:rPr>
          <w:rFonts w:ascii="Times New Roman" w:hAnsi="Times New Roman"/>
          <w:b/>
          <w:sz w:val="28"/>
          <w:szCs w:val="28"/>
          <w:lang w:val="uk-UA"/>
        </w:rPr>
      </w:pPr>
    </w:p>
    <w:p w:rsidR="00C335F4" w:rsidRPr="00F77551" w:rsidRDefault="00E87C11" w:rsidP="00C335F4">
      <w:pPr>
        <w:widowControl w:val="0"/>
        <w:jc w:val="center"/>
        <w:rPr>
          <w:rFonts w:ascii="Times New Roman" w:hAnsi="Times New Roman"/>
          <w:b/>
          <w:sz w:val="28"/>
          <w:szCs w:val="28"/>
          <w:lang w:val="uk-UA"/>
        </w:rPr>
      </w:pPr>
      <w:r w:rsidRPr="00705025">
        <w:rPr>
          <w:rStyle w:val="a8"/>
          <w:rFonts w:eastAsia="Microsoft Sans Serif"/>
          <w:b/>
          <w:bCs/>
          <w:color w:val="000000"/>
          <w:lang w:val="uk-UA"/>
        </w:rPr>
        <w:t>Холод</w:t>
      </w:r>
      <w:r w:rsidR="00123C18">
        <w:rPr>
          <w:rStyle w:val="a8"/>
          <w:rFonts w:eastAsia="Microsoft Sans Serif"/>
          <w:b/>
          <w:bCs/>
          <w:color w:val="000000"/>
          <w:lang w:val="uk-UA"/>
        </w:rPr>
        <w:t>а</w:t>
      </w:r>
      <w:r w:rsidRPr="00705025">
        <w:rPr>
          <w:rStyle w:val="a8"/>
          <w:rFonts w:eastAsia="Microsoft Sans Serif"/>
          <w:b/>
          <w:bCs/>
          <w:color w:val="000000"/>
          <w:lang w:val="uk-UA"/>
        </w:rPr>
        <w:t xml:space="preserve"> Євген</w:t>
      </w:r>
      <w:r w:rsidR="00123C18">
        <w:rPr>
          <w:rStyle w:val="a8"/>
          <w:rFonts w:eastAsia="Microsoft Sans Serif"/>
          <w:b/>
          <w:bCs/>
          <w:color w:val="000000"/>
          <w:lang w:val="uk-UA"/>
        </w:rPr>
        <w:t>а</w:t>
      </w:r>
      <w:r w:rsidRPr="00705025">
        <w:rPr>
          <w:rStyle w:val="a8"/>
          <w:rFonts w:eastAsia="Microsoft Sans Serif"/>
          <w:b/>
          <w:bCs/>
          <w:color w:val="000000"/>
          <w:lang w:val="uk-UA"/>
        </w:rPr>
        <w:t xml:space="preserve"> Сергійович</w:t>
      </w:r>
      <w:r w:rsidR="00123C18">
        <w:rPr>
          <w:rStyle w:val="a8"/>
          <w:rFonts w:eastAsia="Microsoft Sans Serif"/>
          <w:b/>
          <w:bCs/>
          <w:color w:val="000000"/>
          <w:lang w:val="uk-UA"/>
        </w:rPr>
        <w:t>а</w:t>
      </w:r>
    </w:p>
    <w:p w:rsidR="00E87C11" w:rsidRDefault="00E87C11" w:rsidP="00C335F4">
      <w:pPr>
        <w:widowControl w:val="0"/>
        <w:jc w:val="center"/>
        <w:rPr>
          <w:rFonts w:ascii="Times New Roman" w:hAnsi="Times New Roman"/>
          <w:b/>
          <w:bCs/>
          <w:sz w:val="28"/>
          <w:szCs w:val="28"/>
          <w:lang w:val="uk-UA"/>
        </w:rPr>
      </w:pPr>
    </w:p>
    <w:p w:rsidR="00C335F4" w:rsidRPr="00F77551" w:rsidRDefault="00C335F4" w:rsidP="00C335F4">
      <w:pPr>
        <w:widowControl w:val="0"/>
        <w:jc w:val="center"/>
        <w:rPr>
          <w:rFonts w:ascii="Times New Roman" w:hAnsi="Times New Roman"/>
          <w:b/>
          <w:sz w:val="28"/>
          <w:szCs w:val="28"/>
          <w:lang w:val="uk-UA"/>
        </w:rPr>
      </w:pPr>
    </w:p>
    <w:p w:rsidR="00C335F4" w:rsidRPr="00C335F4" w:rsidRDefault="00C335F4" w:rsidP="00C335F4">
      <w:pPr>
        <w:pStyle w:val="a6"/>
        <w:jc w:val="center"/>
        <w:rPr>
          <w:rStyle w:val="a8"/>
          <w:rFonts w:eastAsia="Aptos"/>
          <w:b/>
          <w:lang w:val="uk-UA"/>
        </w:rPr>
      </w:pPr>
      <w:r>
        <w:rPr>
          <w:rStyle w:val="docdata"/>
          <w:rFonts w:ascii="Times New Roman" w:hAnsi="Times New Roman"/>
          <w:b/>
          <w:color w:val="000000"/>
          <w:sz w:val="28"/>
          <w:szCs w:val="28"/>
          <w:lang w:val="uk-UA"/>
        </w:rPr>
        <w:t>ЕКОНОМІЧНИЙ МЕХАНІЗМ РОЗВИТКУ ІНВЕСТИЦІЙНОЇ ПРИВАБЛИВОСТІ СІЛЬСЬКОГОСПОДАРСЬКИХ ПІДПРИЄМСТВ</w:t>
      </w:r>
    </w:p>
    <w:p w:rsidR="00C335F4" w:rsidRPr="00C335F4" w:rsidRDefault="00C335F4" w:rsidP="00C335F4">
      <w:pPr>
        <w:pStyle w:val="8"/>
        <w:widowControl w:val="0"/>
        <w:spacing w:before="0"/>
        <w:jc w:val="right"/>
        <w:rPr>
          <w:rFonts w:ascii="Times New Roman" w:hAnsi="Times New Roman"/>
          <w:i w:val="0"/>
          <w:sz w:val="28"/>
          <w:szCs w:val="28"/>
          <w:lang w:val="uk-UA"/>
        </w:rPr>
      </w:pPr>
      <w:r w:rsidRPr="00C335F4">
        <w:rPr>
          <w:rFonts w:ascii="Times New Roman" w:hAnsi="Times New Roman"/>
          <w:i w:val="0"/>
          <w:sz w:val="28"/>
          <w:szCs w:val="28"/>
          <w:lang w:val="uk-UA"/>
        </w:rPr>
        <w:t xml:space="preserve"> </w:t>
      </w:r>
    </w:p>
    <w:p w:rsidR="00C335F4" w:rsidRPr="00F77551" w:rsidRDefault="00C335F4" w:rsidP="00C335F4">
      <w:pPr>
        <w:pStyle w:val="Default"/>
        <w:spacing w:line="360" w:lineRule="auto"/>
        <w:ind w:firstLine="709"/>
        <w:jc w:val="center"/>
        <w:rPr>
          <w:color w:val="auto"/>
          <w:sz w:val="28"/>
          <w:szCs w:val="28"/>
          <w:lang w:val="uk-UA"/>
        </w:rPr>
      </w:pPr>
      <w:r w:rsidRPr="00F77551">
        <w:rPr>
          <w:color w:val="auto"/>
          <w:sz w:val="28"/>
          <w:szCs w:val="28"/>
          <w:lang w:val="uk-UA"/>
        </w:rPr>
        <w:t>051 «Економіка»</w:t>
      </w:r>
    </w:p>
    <w:p w:rsidR="00C335F4" w:rsidRPr="00F77551" w:rsidRDefault="00C335F4" w:rsidP="00C335F4">
      <w:pPr>
        <w:pStyle w:val="Default"/>
        <w:spacing w:line="360" w:lineRule="auto"/>
        <w:ind w:firstLine="709"/>
        <w:jc w:val="both"/>
        <w:rPr>
          <w:color w:val="auto"/>
          <w:sz w:val="28"/>
          <w:szCs w:val="28"/>
          <w:lang w:val="uk-UA"/>
        </w:rPr>
      </w:pPr>
      <w:r w:rsidRPr="00F77551">
        <w:rPr>
          <w:color w:val="auto"/>
          <w:sz w:val="28"/>
          <w:szCs w:val="28"/>
          <w:lang w:val="uk-UA"/>
        </w:rPr>
        <w:t>Подається на здобуття ступеня доктора філософії</w:t>
      </w:r>
    </w:p>
    <w:p w:rsidR="00C335F4" w:rsidRPr="00F77551" w:rsidRDefault="00C335F4" w:rsidP="00C335F4">
      <w:pPr>
        <w:pStyle w:val="Default"/>
        <w:spacing w:line="360" w:lineRule="auto"/>
        <w:ind w:firstLine="709"/>
        <w:jc w:val="both"/>
        <w:rPr>
          <w:color w:val="auto"/>
          <w:sz w:val="28"/>
          <w:szCs w:val="28"/>
          <w:lang w:val="uk-UA"/>
        </w:rPr>
      </w:pPr>
    </w:p>
    <w:p w:rsidR="00C335F4" w:rsidRPr="00F77551" w:rsidRDefault="00C335F4" w:rsidP="00C335F4">
      <w:pPr>
        <w:pStyle w:val="Default"/>
        <w:spacing w:line="360" w:lineRule="auto"/>
        <w:ind w:firstLine="709"/>
        <w:jc w:val="both"/>
        <w:rPr>
          <w:color w:val="auto"/>
          <w:sz w:val="28"/>
          <w:szCs w:val="28"/>
          <w:lang w:val="uk-UA"/>
        </w:rPr>
      </w:pPr>
      <w:r w:rsidRPr="00F77551">
        <w:rPr>
          <w:color w:val="auto"/>
          <w:sz w:val="28"/>
          <w:szCs w:val="28"/>
          <w:lang w:val="uk-UA"/>
        </w:rPr>
        <w:t xml:space="preserve">Дисертація містить результати власних досліджень. Використання ідей, результатів і текстів інших авторів мають посилання на відповідне джерело </w:t>
      </w:r>
    </w:p>
    <w:p w:rsidR="00C335F4" w:rsidRPr="00F77551" w:rsidRDefault="00C335F4" w:rsidP="00C335F4">
      <w:pPr>
        <w:pStyle w:val="Default"/>
        <w:spacing w:line="360" w:lineRule="auto"/>
        <w:ind w:firstLine="709"/>
        <w:jc w:val="both"/>
        <w:rPr>
          <w:sz w:val="28"/>
          <w:szCs w:val="28"/>
          <w:lang w:val="uk-UA"/>
        </w:rPr>
      </w:pPr>
      <w:r w:rsidRPr="00F77551">
        <w:rPr>
          <w:sz w:val="28"/>
          <w:szCs w:val="28"/>
          <w:lang w:val="uk-UA"/>
        </w:rPr>
        <w:t>________________ Є.С. Холод</w:t>
      </w:r>
    </w:p>
    <w:p w:rsidR="00C335F4" w:rsidRPr="00F77551" w:rsidRDefault="00C335F4" w:rsidP="00C335F4">
      <w:pPr>
        <w:pStyle w:val="Default"/>
        <w:spacing w:line="360" w:lineRule="auto"/>
        <w:ind w:firstLine="709"/>
        <w:rPr>
          <w:sz w:val="28"/>
          <w:szCs w:val="28"/>
          <w:lang w:val="uk-UA"/>
        </w:rPr>
      </w:pPr>
    </w:p>
    <w:p w:rsidR="00C335F4" w:rsidRDefault="00C335F4" w:rsidP="00C335F4">
      <w:pPr>
        <w:rPr>
          <w:rFonts w:ascii="Times New Roman" w:hAnsi="Times New Roman"/>
          <w:sz w:val="28"/>
          <w:szCs w:val="28"/>
          <w:lang w:val="uk-UA"/>
        </w:rPr>
      </w:pPr>
      <w:r w:rsidRPr="00F77551">
        <w:rPr>
          <w:rFonts w:ascii="Times New Roman" w:hAnsi="Times New Roman"/>
          <w:sz w:val="28"/>
          <w:szCs w:val="28"/>
          <w:lang w:val="uk-UA"/>
        </w:rPr>
        <w:t xml:space="preserve">Науковий керівник: </w:t>
      </w:r>
    </w:p>
    <w:p w:rsidR="00757F8C" w:rsidRDefault="00747FD1" w:rsidP="00747FD1">
      <w:pPr>
        <w:rPr>
          <w:rFonts w:ascii="Times New Roman" w:hAnsi="Times New Roman"/>
          <w:sz w:val="28"/>
          <w:szCs w:val="28"/>
          <w:lang w:val="uk-UA"/>
        </w:rPr>
      </w:pPr>
      <w:r w:rsidRPr="00E75AEB">
        <w:rPr>
          <w:rFonts w:ascii="Times New Roman" w:hAnsi="Times New Roman"/>
          <w:b/>
          <w:sz w:val="28"/>
          <w:szCs w:val="28"/>
          <w:lang w:val="uk-UA"/>
        </w:rPr>
        <w:t>Горбатюк Людмила Михайлівна,</w:t>
      </w:r>
      <w:r w:rsidRPr="00747FD1">
        <w:rPr>
          <w:rFonts w:ascii="Times New Roman" w:hAnsi="Times New Roman"/>
          <w:sz w:val="28"/>
          <w:szCs w:val="28"/>
          <w:lang w:val="uk-UA"/>
        </w:rPr>
        <w:t xml:space="preserve"> </w:t>
      </w:r>
    </w:p>
    <w:p w:rsidR="00747FD1" w:rsidRDefault="00747FD1" w:rsidP="00747FD1">
      <w:pPr>
        <w:rPr>
          <w:rFonts w:ascii="Times New Roman" w:hAnsi="Times New Roman"/>
          <w:sz w:val="28"/>
          <w:szCs w:val="28"/>
          <w:lang w:val="uk-UA"/>
        </w:rPr>
      </w:pPr>
      <w:r w:rsidRPr="00747FD1">
        <w:rPr>
          <w:rFonts w:ascii="Times New Roman" w:hAnsi="Times New Roman"/>
          <w:sz w:val="28"/>
          <w:szCs w:val="28"/>
          <w:lang w:val="uk-UA"/>
        </w:rPr>
        <w:t>кандидат економічних наук</w:t>
      </w:r>
      <w:r w:rsidR="00A435D0">
        <w:rPr>
          <w:rFonts w:ascii="Times New Roman" w:hAnsi="Times New Roman"/>
          <w:sz w:val="28"/>
          <w:szCs w:val="28"/>
          <w:lang w:val="uk-UA"/>
        </w:rPr>
        <w:t xml:space="preserve">, завідувачка </w:t>
      </w:r>
    </w:p>
    <w:p w:rsidR="00A435D0" w:rsidRPr="00F77551" w:rsidRDefault="00A435D0" w:rsidP="00747FD1">
      <w:pPr>
        <w:rPr>
          <w:rFonts w:ascii="Times New Roman" w:hAnsi="Times New Roman"/>
          <w:sz w:val="28"/>
          <w:szCs w:val="28"/>
          <w:lang w:val="uk-UA"/>
        </w:rPr>
      </w:pPr>
      <w:r>
        <w:rPr>
          <w:rFonts w:ascii="Times New Roman" w:hAnsi="Times New Roman"/>
          <w:sz w:val="28"/>
          <w:szCs w:val="28"/>
          <w:lang w:val="uk-UA"/>
        </w:rPr>
        <w:t>кафедри економіки і маркетингу, доцент кафедри</w:t>
      </w:r>
    </w:p>
    <w:p w:rsidR="00747FD1" w:rsidRDefault="00747FD1" w:rsidP="00747FD1">
      <w:pPr>
        <w:rPr>
          <w:rFonts w:ascii="Times New Roman" w:hAnsi="Times New Roman"/>
          <w:sz w:val="28"/>
          <w:szCs w:val="28"/>
          <w:lang w:val="uk-UA"/>
        </w:rPr>
      </w:pPr>
    </w:p>
    <w:p w:rsidR="007872CE" w:rsidRPr="00F77551" w:rsidRDefault="007872CE" w:rsidP="00747FD1">
      <w:pPr>
        <w:rPr>
          <w:rFonts w:ascii="Times New Roman" w:hAnsi="Times New Roman"/>
          <w:sz w:val="28"/>
          <w:szCs w:val="28"/>
          <w:lang w:val="uk-UA"/>
        </w:rPr>
      </w:pPr>
    </w:p>
    <w:p w:rsidR="00C335F4" w:rsidRPr="00F77551" w:rsidRDefault="00747FD1" w:rsidP="00C335F4">
      <w:pPr>
        <w:widowControl w:val="0"/>
        <w:jc w:val="center"/>
        <w:rPr>
          <w:rFonts w:ascii="Times New Roman" w:hAnsi="Times New Roman"/>
          <w:sz w:val="28"/>
          <w:szCs w:val="28"/>
          <w:lang w:val="uk-UA"/>
        </w:rPr>
      </w:pPr>
      <w:r>
        <w:rPr>
          <w:rFonts w:ascii="Times New Roman" w:hAnsi="Times New Roman"/>
          <w:sz w:val="28"/>
          <w:szCs w:val="28"/>
          <w:lang w:val="uk-UA"/>
        </w:rPr>
        <w:t>Лубни</w:t>
      </w:r>
      <w:r w:rsidR="00C335F4" w:rsidRPr="00F77551">
        <w:rPr>
          <w:rFonts w:ascii="Times New Roman" w:hAnsi="Times New Roman"/>
          <w:sz w:val="28"/>
          <w:szCs w:val="28"/>
          <w:lang w:val="uk-UA"/>
        </w:rPr>
        <w:t xml:space="preserve"> – 202</w:t>
      </w:r>
      <w:r w:rsidR="001F3BFF">
        <w:rPr>
          <w:rFonts w:ascii="Times New Roman" w:hAnsi="Times New Roman"/>
          <w:sz w:val="28"/>
          <w:szCs w:val="28"/>
          <w:lang w:val="uk-UA"/>
        </w:rPr>
        <w:t>6</w:t>
      </w:r>
    </w:p>
    <w:p w:rsidR="00C90E9F" w:rsidRPr="00F77551" w:rsidRDefault="00C335F4" w:rsidP="00C90E9F">
      <w:pPr>
        <w:jc w:val="center"/>
        <w:rPr>
          <w:rFonts w:ascii="Times New Roman" w:eastAsia="Times New Roman" w:hAnsi="Times New Roman"/>
          <w:sz w:val="28"/>
          <w:szCs w:val="28"/>
          <w:lang w:val="uk-UA" w:eastAsia="uk-UA"/>
        </w:rPr>
      </w:pPr>
      <w:r>
        <w:rPr>
          <w:rStyle w:val="docdata"/>
          <w:rFonts w:ascii="Times New Roman" w:hAnsi="Times New Roman"/>
          <w:b/>
          <w:color w:val="000000"/>
          <w:sz w:val="28"/>
          <w:szCs w:val="28"/>
          <w:lang w:val="uk-UA"/>
        </w:rPr>
        <w:br w:type="page"/>
      </w:r>
      <w:r w:rsidR="00C90E9F" w:rsidRPr="00F77551">
        <w:rPr>
          <w:rFonts w:ascii="Times New Roman" w:eastAsia="Times New Roman" w:hAnsi="Times New Roman"/>
          <w:b/>
          <w:bCs/>
          <w:color w:val="000000"/>
          <w:sz w:val="28"/>
          <w:szCs w:val="28"/>
          <w:lang w:val="uk-UA" w:eastAsia="uk-UA"/>
        </w:rPr>
        <w:lastRenderedPageBreak/>
        <w:t>АНОТАЦІЯ</w:t>
      </w:r>
    </w:p>
    <w:p w:rsidR="00C90E9F" w:rsidRPr="00F77551" w:rsidRDefault="00C90E9F" w:rsidP="00C90E9F">
      <w:pPr>
        <w:pStyle w:val="a6"/>
        <w:spacing w:after="0" w:line="360" w:lineRule="auto"/>
        <w:ind w:left="0" w:firstLine="709"/>
        <w:contextualSpacing w:val="0"/>
        <w:jc w:val="both"/>
        <w:rPr>
          <w:rFonts w:ascii="Times New Roman" w:hAnsi="Times New Roman"/>
          <w:bCs/>
          <w:sz w:val="28"/>
          <w:szCs w:val="28"/>
          <w:lang w:val="uk-UA"/>
        </w:rPr>
      </w:pPr>
      <w:r>
        <w:rPr>
          <w:rFonts w:ascii="Times New Roman" w:hAnsi="Times New Roman"/>
          <w:sz w:val="28"/>
          <w:szCs w:val="28"/>
          <w:lang w:val="uk-UA"/>
        </w:rPr>
        <w:t>Холод</w:t>
      </w:r>
      <w:r w:rsidRPr="00F77551">
        <w:rPr>
          <w:rFonts w:ascii="Times New Roman" w:hAnsi="Times New Roman"/>
          <w:bCs/>
          <w:sz w:val="28"/>
          <w:szCs w:val="28"/>
          <w:lang w:val="uk-UA"/>
        </w:rPr>
        <w:t xml:space="preserve"> </w:t>
      </w:r>
      <w:r>
        <w:rPr>
          <w:rFonts w:ascii="Times New Roman" w:hAnsi="Times New Roman"/>
          <w:bCs/>
          <w:sz w:val="28"/>
          <w:szCs w:val="28"/>
          <w:lang w:val="uk-UA"/>
        </w:rPr>
        <w:t>Є</w:t>
      </w:r>
      <w:r w:rsidRPr="00F77551">
        <w:rPr>
          <w:rFonts w:ascii="Times New Roman" w:hAnsi="Times New Roman"/>
          <w:bCs/>
          <w:sz w:val="28"/>
          <w:szCs w:val="28"/>
          <w:lang w:val="uk-UA"/>
        </w:rPr>
        <w:t>.</w:t>
      </w:r>
      <w:r>
        <w:rPr>
          <w:rFonts w:ascii="Times New Roman" w:hAnsi="Times New Roman"/>
          <w:bCs/>
          <w:sz w:val="28"/>
          <w:szCs w:val="28"/>
          <w:lang w:val="uk-UA"/>
        </w:rPr>
        <w:t>С</w:t>
      </w:r>
      <w:r w:rsidRPr="00F77551">
        <w:rPr>
          <w:rFonts w:ascii="Times New Roman" w:hAnsi="Times New Roman"/>
          <w:bCs/>
          <w:sz w:val="28"/>
          <w:szCs w:val="28"/>
          <w:lang w:val="uk-UA"/>
        </w:rPr>
        <w:t xml:space="preserve">. </w:t>
      </w:r>
      <w:r>
        <w:rPr>
          <w:rStyle w:val="docdata"/>
          <w:rFonts w:ascii="Times New Roman" w:hAnsi="Times New Roman"/>
          <w:color w:val="000000"/>
          <w:sz w:val="28"/>
          <w:szCs w:val="28"/>
          <w:lang w:val="uk-UA"/>
        </w:rPr>
        <w:t>Е</w:t>
      </w:r>
      <w:r w:rsidRPr="00C90E9F">
        <w:rPr>
          <w:rStyle w:val="docdata"/>
          <w:rFonts w:ascii="Times New Roman" w:hAnsi="Times New Roman"/>
          <w:color w:val="000000"/>
          <w:sz w:val="28"/>
          <w:szCs w:val="28"/>
          <w:lang w:val="uk-UA"/>
        </w:rPr>
        <w:t>кономічний механізм розвитку інвестиційної привабливості сільськогосподарських підприємств</w:t>
      </w:r>
      <w:r w:rsidRPr="00F77551">
        <w:rPr>
          <w:rFonts w:ascii="Times New Roman" w:hAnsi="Times New Roman"/>
          <w:bCs/>
          <w:sz w:val="28"/>
          <w:szCs w:val="28"/>
          <w:lang w:val="uk-UA"/>
        </w:rPr>
        <w:t xml:space="preserve">. </w:t>
      </w:r>
      <w:r w:rsidRPr="00F77551">
        <w:rPr>
          <w:rFonts w:ascii="Times New Roman" w:hAnsi="Times New Roman"/>
          <w:sz w:val="28"/>
          <w:szCs w:val="28"/>
          <w:lang w:val="uk-UA" w:eastAsia="uk-UA"/>
        </w:rPr>
        <w:t>‒ Кваліфікаційна наукова</w:t>
      </w:r>
      <w:r w:rsidRPr="00F77551">
        <w:rPr>
          <w:rFonts w:ascii="Times New Roman" w:hAnsi="Times New Roman"/>
          <w:sz w:val="28"/>
          <w:szCs w:val="28"/>
          <w:lang w:val="uk-UA"/>
        </w:rPr>
        <w:t xml:space="preserve"> </w:t>
      </w:r>
      <w:r w:rsidRPr="00F77551">
        <w:rPr>
          <w:rFonts w:ascii="Times New Roman" w:hAnsi="Times New Roman"/>
          <w:sz w:val="28"/>
          <w:szCs w:val="28"/>
          <w:lang w:val="uk-UA" w:eastAsia="uk-UA"/>
        </w:rPr>
        <w:t>праця на правах рукопису.</w:t>
      </w:r>
    </w:p>
    <w:p w:rsidR="00C90E9F" w:rsidRPr="00F77551" w:rsidRDefault="00C90E9F" w:rsidP="00C90E9F">
      <w:pPr>
        <w:spacing w:after="0" w:line="360" w:lineRule="auto"/>
        <w:ind w:firstLine="709"/>
        <w:jc w:val="both"/>
        <w:rPr>
          <w:rFonts w:ascii="Times New Roman" w:eastAsia="Aptos" w:hAnsi="Times New Roman"/>
          <w:kern w:val="2"/>
          <w:sz w:val="28"/>
          <w:szCs w:val="28"/>
          <w:lang w:val="uk-UA" w:eastAsia="uk-UA"/>
        </w:rPr>
      </w:pPr>
      <w:r w:rsidRPr="00F77551">
        <w:rPr>
          <w:rFonts w:ascii="Times New Roman" w:eastAsia="Aptos" w:hAnsi="Times New Roman"/>
          <w:kern w:val="2"/>
          <w:sz w:val="28"/>
          <w:szCs w:val="28"/>
          <w:lang w:val="uk-UA" w:eastAsia="uk-UA"/>
        </w:rPr>
        <w:t xml:space="preserve">Дисертація на здобуття наукового ступеня доктора філософії за спеціальністю 051 – Економіка. – </w:t>
      </w:r>
      <w:r>
        <w:rPr>
          <w:rFonts w:ascii="Times New Roman" w:eastAsia="Aptos" w:hAnsi="Times New Roman"/>
          <w:kern w:val="2"/>
          <w:sz w:val="28"/>
          <w:szCs w:val="28"/>
          <w:lang w:val="uk-UA" w:eastAsia="uk-UA"/>
        </w:rPr>
        <w:t>ДЗ</w:t>
      </w:r>
      <w:r w:rsidRPr="00F77551">
        <w:rPr>
          <w:rFonts w:ascii="Times New Roman" w:eastAsia="Aptos" w:hAnsi="Times New Roman"/>
          <w:kern w:val="2"/>
          <w:sz w:val="28"/>
          <w:szCs w:val="28"/>
          <w:lang w:val="uk-UA" w:eastAsia="uk-UA"/>
        </w:rPr>
        <w:t xml:space="preserve"> «</w:t>
      </w:r>
      <w:r w:rsidRPr="00C90E9F">
        <w:rPr>
          <w:rFonts w:ascii="Times New Roman" w:eastAsia="Aptos" w:hAnsi="Times New Roman"/>
          <w:kern w:val="2"/>
          <w:sz w:val="28"/>
          <w:szCs w:val="28"/>
          <w:lang w:val="uk-UA" w:eastAsia="uk-UA"/>
        </w:rPr>
        <w:t>Луганський національний університет імені Тараса Шевченка</w:t>
      </w:r>
      <w:r w:rsidRPr="00F77551">
        <w:rPr>
          <w:rFonts w:ascii="Times New Roman" w:eastAsia="Aptos" w:hAnsi="Times New Roman"/>
          <w:kern w:val="2"/>
          <w:sz w:val="28"/>
          <w:szCs w:val="28"/>
          <w:lang w:val="uk-UA" w:eastAsia="uk-UA"/>
        </w:rPr>
        <w:t xml:space="preserve">», </w:t>
      </w:r>
      <w:r w:rsidR="00044B86">
        <w:rPr>
          <w:rFonts w:ascii="Times New Roman" w:eastAsia="Aptos" w:hAnsi="Times New Roman"/>
          <w:kern w:val="2"/>
          <w:sz w:val="28"/>
          <w:szCs w:val="28"/>
          <w:lang w:val="uk-UA" w:eastAsia="uk-UA"/>
        </w:rPr>
        <w:t>Лубни</w:t>
      </w:r>
      <w:r w:rsidRPr="00F77551">
        <w:rPr>
          <w:rFonts w:ascii="Times New Roman" w:eastAsia="Aptos" w:hAnsi="Times New Roman"/>
          <w:kern w:val="2"/>
          <w:sz w:val="28"/>
          <w:szCs w:val="28"/>
          <w:lang w:val="uk-UA" w:eastAsia="uk-UA"/>
        </w:rPr>
        <w:t>, 202</w:t>
      </w:r>
      <w:r>
        <w:rPr>
          <w:rFonts w:ascii="Times New Roman" w:eastAsia="Aptos" w:hAnsi="Times New Roman"/>
          <w:kern w:val="2"/>
          <w:sz w:val="28"/>
          <w:szCs w:val="28"/>
          <w:lang w:val="uk-UA" w:eastAsia="uk-UA"/>
        </w:rPr>
        <w:t>6</w:t>
      </w:r>
      <w:r w:rsidRPr="00F77551">
        <w:rPr>
          <w:rFonts w:ascii="Times New Roman" w:eastAsia="Aptos" w:hAnsi="Times New Roman"/>
          <w:kern w:val="2"/>
          <w:sz w:val="28"/>
          <w:szCs w:val="28"/>
          <w:lang w:val="uk-UA" w:eastAsia="uk-UA"/>
        </w:rPr>
        <w:t>.</w:t>
      </w:r>
    </w:p>
    <w:p w:rsidR="00D34AC1" w:rsidRDefault="00C90E9F" w:rsidP="00D34AC1">
      <w:pPr>
        <w:spacing w:after="0" w:line="360" w:lineRule="auto"/>
        <w:ind w:firstLine="709"/>
        <w:jc w:val="both"/>
        <w:rPr>
          <w:rFonts w:ascii="Times New Roman" w:eastAsia="Aptos" w:hAnsi="Times New Roman"/>
          <w:kern w:val="2"/>
          <w:sz w:val="28"/>
          <w:szCs w:val="28"/>
          <w:lang w:val="uk-UA" w:eastAsia="uk-UA"/>
        </w:rPr>
      </w:pPr>
      <w:r w:rsidRPr="00F77551">
        <w:rPr>
          <w:rFonts w:ascii="Times New Roman" w:eastAsia="Aptos" w:hAnsi="Times New Roman"/>
          <w:kern w:val="2"/>
          <w:sz w:val="28"/>
          <w:szCs w:val="28"/>
          <w:lang w:val="uk-UA" w:eastAsia="uk-UA"/>
        </w:rPr>
        <w:t xml:space="preserve">Дисертація присвячена подальшому розвитку теоретико-методичних положень та розробці практичних рекомендацій щодо </w:t>
      </w:r>
      <w:r w:rsidR="00D34AC1">
        <w:rPr>
          <w:rFonts w:ascii="Times New Roman" w:eastAsia="Aptos" w:hAnsi="Times New Roman"/>
          <w:kern w:val="2"/>
          <w:sz w:val="28"/>
          <w:szCs w:val="28"/>
          <w:lang w:val="uk-UA" w:eastAsia="uk-UA"/>
        </w:rPr>
        <w:t>формування е</w:t>
      </w:r>
      <w:r w:rsidR="00D34AC1" w:rsidRPr="00C90E9F">
        <w:rPr>
          <w:rStyle w:val="docdata"/>
          <w:rFonts w:ascii="Times New Roman" w:hAnsi="Times New Roman"/>
          <w:color w:val="000000"/>
          <w:sz w:val="28"/>
          <w:szCs w:val="28"/>
          <w:lang w:val="uk-UA"/>
        </w:rPr>
        <w:t>кономічн</w:t>
      </w:r>
      <w:r w:rsidR="00D34AC1">
        <w:rPr>
          <w:rStyle w:val="docdata"/>
          <w:rFonts w:ascii="Times New Roman" w:hAnsi="Times New Roman"/>
          <w:color w:val="000000"/>
          <w:sz w:val="28"/>
          <w:szCs w:val="28"/>
          <w:lang w:val="uk-UA"/>
        </w:rPr>
        <w:t>ого</w:t>
      </w:r>
      <w:r w:rsidR="00D34AC1" w:rsidRPr="00C90E9F">
        <w:rPr>
          <w:rStyle w:val="docdata"/>
          <w:rFonts w:ascii="Times New Roman" w:hAnsi="Times New Roman"/>
          <w:color w:val="000000"/>
          <w:sz w:val="28"/>
          <w:szCs w:val="28"/>
          <w:lang w:val="uk-UA"/>
        </w:rPr>
        <w:t xml:space="preserve"> механізм</w:t>
      </w:r>
      <w:r w:rsidR="00D34AC1">
        <w:rPr>
          <w:rStyle w:val="docdata"/>
          <w:rFonts w:ascii="Times New Roman" w:hAnsi="Times New Roman"/>
          <w:color w:val="000000"/>
          <w:sz w:val="28"/>
          <w:szCs w:val="28"/>
          <w:lang w:val="uk-UA"/>
        </w:rPr>
        <w:t>у</w:t>
      </w:r>
      <w:r w:rsidR="00D34AC1" w:rsidRPr="00C90E9F">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Pr="00637761">
        <w:rPr>
          <w:rFonts w:ascii="Times New Roman" w:eastAsia="Aptos" w:hAnsi="Times New Roman"/>
          <w:kern w:val="2"/>
          <w:sz w:val="28"/>
          <w:szCs w:val="28"/>
          <w:lang w:val="uk-UA" w:eastAsia="uk-UA"/>
        </w:rPr>
        <w:t>.</w:t>
      </w:r>
    </w:p>
    <w:p w:rsidR="00E943D3" w:rsidRPr="00E943D3" w:rsidRDefault="00C90E9F" w:rsidP="00E943D3">
      <w:pPr>
        <w:spacing w:after="0" w:line="360" w:lineRule="auto"/>
        <w:ind w:firstLine="709"/>
        <w:jc w:val="both"/>
        <w:rPr>
          <w:rStyle w:val="docdata"/>
          <w:rFonts w:ascii="Times New Roman" w:hAnsi="Times New Roman"/>
          <w:sz w:val="28"/>
          <w:szCs w:val="28"/>
          <w:lang w:val="uk-UA"/>
        </w:rPr>
      </w:pPr>
      <w:r w:rsidRPr="00637761">
        <w:rPr>
          <w:rFonts w:ascii="Times New Roman" w:eastAsia="Aptos" w:hAnsi="Times New Roman"/>
          <w:kern w:val="2"/>
          <w:sz w:val="28"/>
          <w:szCs w:val="28"/>
          <w:lang w:val="uk-UA" w:eastAsia="uk-UA"/>
        </w:rPr>
        <w:t xml:space="preserve">У роботі </w:t>
      </w:r>
      <w:r w:rsidRPr="00E943D3">
        <w:rPr>
          <w:rStyle w:val="docdata"/>
          <w:rFonts w:ascii="Times New Roman" w:hAnsi="Times New Roman"/>
          <w:color w:val="000000"/>
          <w:sz w:val="28"/>
          <w:szCs w:val="28"/>
          <w:lang w:val="uk-UA"/>
        </w:rPr>
        <w:t xml:space="preserve">розглянуто теоретико-методичні основи </w:t>
      </w:r>
      <w:r w:rsidR="00D34AC1" w:rsidRPr="00E943D3">
        <w:rPr>
          <w:rStyle w:val="docdata"/>
          <w:rFonts w:ascii="Times New Roman" w:hAnsi="Times New Roman"/>
          <w:color w:val="000000"/>
          <w:sz w:val="28"/>
          <w:szCs w:val="28"/>
          <w:lang w:val="uk-UA"/>
        </w:rPr>
        <w:t>формування е</w:t>
      </w:r>
      <w:r w:rsidR="00D34AC1" w:rsidRPr="00D34AC1">
        <w:rPr>
          <w:rStyle w:val="docdata"/>
          <w:rFonts w:ascii="Times New Roman" w:hAnsi="Times New Roman"/>
          <w:color w:val="000000"/>
          <w:sz w:val="28"/>
          <w:szCs w:val="28"/>
          <w:lang w:val="uk-UA"/>
        </w:rPr>
        <w:t>кономічного механізму розвитку інвестиційної привабливості сільськогосподарських підприємств</w:t>
      </w:r>
      <w:r w:rsidRPr="00E943D3">
        <w:rPr>
          <w:rStyle w:val="docdata"/>
          <w:rFonts w:ascii="Times New Roman" w:hAnsi="Times New Roman"/>
          <w:color w:val="000000"/>
          <w:sz w:val="28"/>
          <w:szCs w:val="28"/>
          <w:lang w:val="uk-UA"/>
        </w:rPr>
        <w:t xml:space="preserve">: </w:t>
      </w:r>
      <w:r w:rsidR="00D34AC1" w:rsidRPr="00E943D3">
        <w:rPr>
          <w:rStyle w:val="docdata"/>
          <w:rFonts w:ascii="Times New Roman" w:hAnsi="Times New Roman"/>
          <w:color w:val="000000"/>
          <w:sz w:val="28"/>
          <w:szCs w:val="28"/>
          <w:lang w:val="uk-UA"/>
        </w:rPr>
        <w:t xml:space="preserve">розвинуто класифікаційні ознаки складових елементів розвитку інвестиційної привабливості сільськогосподарських підприємств; розвинуто </w:t>
      </w:r>
      <w:r w:rsidR="00D34AC1" w:rsidRPr="00E943D3">
        <w:rPr>
          <w:rStyle w:val="docdata"/>
          <w:rFonts w:ascii="Times New Roman" w:hAnsi="Times New Roman"/>
          <w:sz w:val="28"/>
          <w:szCs w:val="28"/>
          <w:lang w:val="uk-UA"/>
        </w:rPr>
        <w:t xml:space="preserve">методичний підхід до оцінювання інвестиційної привабливості сільськогосподарських підприємств; </w:t>
      </w:r>
      <w:r w:rsidR="00D34AC1" w:rsidRPr="00E943D3">
        <w:rPr>
          <w:rStyle w:val="docdata"/>
          <w:rFonts w:ascii="Times New Roman" w:hAnsi="Times New Roman"/>
          <w:color w:val="000000"/>
          <w:sz w:val="28"/>
          <w:szCs w:val="28"/>
          <w:lang w:val="uk-UA"/>
        </w:rPr>
        <w:t>запропоновано к</w:t>
      </w:r>
      <w:r w:rsidR="00D34AC1" w:rsidRPr="00E943D3">
        <w:rPr>
          <w:rStyle w:val="docdata"/>
          <w:rFonts w:ascii="Times New Roman" w:hAnsi="Times New Roman"/>
          <w:sz w:val="28"/>
          <w:szCs w:val="28"/>
          <w:lang w:val="uk-UA"/>
        </w:rPr>
        <w:t xml:space="preserve">онцептуальні напрями до формування економічного механізму розвитку інвестиційної привабливості сільськогосподарських підприємств; </w:t>
      </w:r>
      <w:r w:rsidR="00D34AC1" w:rsidRPr="00E943D3">
        <w:rPr>
          <w:rStyle w:val="docdata"/>
          <w:rFonts w:ascii="Times New Roman" w:hAnsi="Times New Roman"/>
          <w:color w:val="000000"/>
          <w:sz w:val="28"/>
          <w:szCs w:val="28"/>
          <w:lang w:val="uk-UA"/>
        </w:rPr>
        <w:t xml:space="preserve">обґрунтовано матричний підхід до стратегії </w:t>
      </w:r>
      <w:r w:rsidR="00D34AC1" w:rsidRPr="00E943D3">
        <w:rPr>
          <w:rStyle w:val="docdata"/>
          <w:rFonts w:ascii="Times New Roman" w:hAnsi="Times New Roman"/>
          <w:sz w:val="28"/>
          <w:szCs w:val="28"/>
          <w:lang w:val="uk-UA"/>
        </w:rPr>
        <w:t>формування економічного механізму розвитку інвестиційної привабливості сільськогосподарських підприємств</w:t>
      </w:r>
      <w:r w:rsidR="00D34AC1" w:rsidRPr="00E943D3">
        <w:rPr>
          <w:rStyle w:val="docdata"/>
          <w:rFonts w:ascii="Times New Roman" w:hAnsi="Times New Roman"/>
          <w:color w:val="000000"/>
          <w:sz w:val="28"/>
          <w:szCs w:val="28"/>
          <w:lang w:val="uk-UA"/>
        </w:rPr>
        <w:t xml:space="preserve"> ; удосконалено </w:t>
      </w:r>
      <w:r w:rsidR="00D34AC1" w:rsidRPr="00E943D3">
        <w:rPr>
          <w:rStyle w:val="docdata"/>
          <w:rFonts w:ascii="Times New Roman" w:hAnsi="Times New Roman"/>
          <w:sz w:val="28"/>
          <w:szCs w:val="28"/>
          <w:lang w:val="uk-UA"/>
        </w:rPr>
        <w:t>функціонально –економічний механізм підвищення інвестиційної привабливості сільськогосподарських підприємств.</w:t>
      </w:r>
    </w:p>
    <w:p w:rsidR="00E943D3" w:rsidRPr="00E943D3" w:rsidRDefault="00E943D3" w:rsidP="00E943D3">
      <w:pPr>
        <w:spacing w:after="0" w:line="360" w:lineRule="auto"/>
        <w:ind w:firstLine="709"/>
        <w:jc w:val="both"/>
        <w:rPr>
          <w:rFonts w:ascii="Times New Roman" w:hAnsi="Times New Roman"/>
          <w:sz w:val="28"/>
          <w:szCs w:val="28"/>
          <w:lang w:val="uk-UA"/>
        </w:rPr>
      </w:pPr>
      <w:r w:rsidRPr="00E943D3">
        <w:rPr>
          <w:rFonts w:ascii="Times New Roman" w:hAnsi="Times New Roman"/>
          <w:sz w:val="28"/>
          <w:szCs w:val="28"/>
          <w:lang w:val="uk-UA"/>
        </w:rPr>
        <w:t>Уточнено поняття інвестиційної привабливості сільськогосподарських підприємств яке базується на синтезі методів оцінки життєздатності інвестиційної привабливості, а саме: інвестування коштів (</w:t>
      </w:r>
      <w:r w:rsidRPr="00E943D3">
        <w:rPr>
          <w:rFonts w:ascii="Times New Roman" w:hAnsi="Times New Roman"/>
          <w:bCs/>
          <w:sz w:val="28"/>
          <w:szCs w:val="28"/>
          <w:lang w:val="uk-UA"/>
        </w:rPr>
        <w:t>купівля активів за рахунок п</w:t>
      </w:r>
      <w:r w:rsidRPr="00E943D3">
        <w:rPr>
          <w:rFonts w:ascii="Times New Roman" w:hAnsi="Times New Roman"/>
          <w:sz w:val="28"/>
          <w:szCs w:val="28"/>
          <w:lang w:val="uk-UA"/>
        </w:rPr>
        <w:t>ридбання земельних ділянок або частки у статутному капіталі для отримання контролю та підвищення прибутковості);   вкладення коштів через спеціалізовані і</w:t>
      </w:r>
      <w:r w:rsidRPr="00E943D3">
        <w:rPr>
          <w:rFonts w:ascii="Times New Roman" w:hAnsi="Times New Roman"/>
          <w:bCs/>
          <w:sz w:val="28"/>
          <w:szCs w:val="28"/>
          <w:lang w:val="uk-UA"/>
        </w:rPr>
        <w:t xml:space="preserve">нвестиційні фонди (ПУАФ), за рахунок </w:t>
      </w:r>
      <w:r w:rsidRPr="00E943D3">
        <w:rPr>
          <w:rFonts w:ascii="Times New Roman" w:hAnsi="Times New Roman"/>
          <w:sz w:val="28"/>
          <w:szCs w:val="28"/>
          <w:lang w:val="uk-UA"/>
        </w:rPr>
        <w:t xml:space="preserve">формування та </w:t>
      </w:r>
      <w:r w:rsidRPr="00E943D3">
        <w:rPr>
          <w:rFonts w:ascii="Times New Roman" w:hAnsi="Times New Roman"/>
          <w:sz w:val="28"/>
          <w:szCs w:val="28"/>
          <w:lang w:val="uk-UA"/>
        </w:rPr>
        <w:lastRenderedPageBreak/>
        <w:t>управління  портфелем агрокомпаній, модернізацію, розширення земельного банку; придбання сільськогосподарської техніки, обладнання, земельних ділянок у л</w:t>
      </w:r>
      <w:r w:rsidRPr="00E943D3">
        <w:rPr>
          <w:rFonts w:ascii="Times New Roman" w:hAnsi="Times New Roman"/>
          <w:bCs/>
          <w:sz w:val="28"/>
          <w:szCs w:val="28"/>
          <w:lang w:val="uk-UA"/>
        </w:rPr>
        <w:t>ізинг (</w:t>
      </w:r>
      <w:r w:rsidRPr="00E943D3">
        <w:rPr>
          <w:rFonts w:ascii="Times New Roman" w:hAnsi="Times New Roman"/>
          <w:sz w:val="28"/>
          <w:szCs w:val="28"/>
          <w:lang w:val="uk-UA"/>
        </w:rPr>
        <w:t>довгострокова оренда з правом викупу)</w:t>
      </w:r>
      <w:r w:rsidRPr="00E943D3">
        <w:rPr>
          <w:rFonts w:ascii="Times New Roman" w:hAnsi="Times New Roman"/>
          <w:bCs/>
          <w:sz w:val="28"/>
          <w:szCs w:val="28"/>
          <w:lang w:val="uk-UA"/>
        </w:rPr>
        <w:t xml:space="preserve"> та селинг</w:t>
      </w:r>
      <w:r w:rsidRPr="00E943D3">
        <w:rPr>
          <w:rFonts w:ascii="Times New Roman" w:hAnsi="Times New Roman"/>
          <w:sz w:val="28"/>
          <w:szCs w:val="28"/>
          <w:lang w:val="uk-UA"/>
        </w:rPr>
        <w:t xml:space="preserve"> (продаж з наступною орендою); грантового фінансування та державної підтримки (купівля майбутнього врожаю (форвардні контракти) для забезпечення оборотності коштів; створення регіональних інвестиційних корпорацій)</w:t>
      </w:r>
      <w:r w:rsidRPr="00E943D3">
        <w:rPr>
          <w:rStyle w:val="docdata"/>
          <w:rFonts w:ascii="Times New Roman" w:hAnsi="Times New Roman"/>
          <w:sz w:val="28"/>
          <w:szCs w:val="28"/>
          <w:lang w:val="uk-UA"/>
        </w:rPr>
        <w:t xml:space="preserve">, що забезпечить </w:t>
      </w:r>
      <w:r w:rsidRPr="00E943D3">
        <w:rPr>
          <w:rFonts w:ascii="Times New Roman" w:hAnsi="Times New Roman"/>
          <w:sz w:val="28"/>
          <w:szCs w:val="28"/>
          <w:lang w:val="uk-UA"/>
        </w:rPr>
        <w:t>експертизу інвестиційної привабливості та  побудови прогнозів.</w:t>
      </w:r>
    </w:p>
    <w:p w:rsidR="00E943D3" w:rsidRPr="00E943D3" w:rsidRDefault="00E943D3" w:rsidP="00E943D3">
      <w:pPr>
        <w:spacing w:after="0" w:line="360" w:lineRule="auto"/>
        <w:ind w:firstLine="709"/>
        <w:jc w:val="both"/>
        <w:rPr>
          <w:rFonts w:ascii="Times New Roman" w:hAnsi="Times New Roman"/>
          <w:sz w:val="28"/>
          <w:szCs w:val="28"/>
          <w:lang w:val="uk-UA"/>
        </w:rPr>
      </w:pPr>
      <w:r w:rsidRPr="00E943D3">
        <w:rPr>
          <w:rStyle w:val="docdata"/>
          <w:rFonts w:ascii="Times New Roman" w:hAnsi="Times New Roman"/>
          <w:sz w:val="28"/>
          <w:szCs w:val="28"/>
          <w:lang w:val="uk-UA"/>
        </w:rPr>
        <w:t xml:space="preserve">Розвинуто </w:t>
      </w:r>
      <w:r w:rsidRPr="00E943D3">
        <w:rPr>
          <w:rFonts w:ascii="Times New Roman" w:hAnsi="Times New Roman"/>
          <w:sz w:val="28"/>
          <w:szCs w:val="28"/>
          <w:lang w:val="uk-UA"/>
        </w:rPr>
        <w:t>класифікаційні ознаки складових елементів розвитку інвестиційної привабливості сільськогосподарських підприємств, які, на відміну від раніше існуючих, базуються на концептуальній моделі, а саме: фінансово-економічний блок (ступінь диверсифікації та структура термінів погашення цінних паперів, що утворюють інвестиційний портфель підприємства (дані регулярного аналізу інвестиційних якостей зазначених цінних паперів); показники, що характеризують дивідендну політику підприємства); виробничо-технологічний блок (будівництво, розширення, реконструкція, технічне переозброєння об'єктів виробничого та невиробничого призначення; придбання рухомого та нерухомого майна (машин, обладнання, транспортних засобів, будівель та споруд)); управлінський блок (показники організаційно-технічного та кадрового рівня підприємства; показники використання ресурсів для підприємства); зовнішній блок (можливості реагування на зміну ринкового попиту; показники ринкового стану та конкурентоспроможності продукції підприємства), що забезпечить створення екосистеми для підвищення фінансової стійкості, сталого розвитку та гарантує окупність інвестицій.</w:t>
      </w:r>
    </w:p>
    <w:p w:rsidR="00E943D3" w:rsidRPr="00E943D3" w:rsidRDefault="00E943D3" w:rsidP="00E943D3">
      <w:pPr>
        <w:spacing w:after="0" w:line="360" w:lineRule="auto"/>
        <w:ind w:firstLine="709"/>
        <w:jc w:val="both"/>
        <w:rPr>
          <w:rFonts w:ascii="Times New Roman" w:hAnsi="Times New Roman"/>
          <w:sz w:val="28"/>
          <w:szCs w:val="28"/>
          <w:lang w:val="uk-UA"/>
        </w:rPr>
      </w:pPr>
      <w:r w:rsidRPr="00E943D3">
        <w:rPr>
          <w:rFonts w:ascii="Times New Roman" w:hAnsi="Times New Roman"/>
          <w:sz w:val="28"/>
          <w:szCs w:val="28"/>
          <w:lang w:val="uk-UA"/>
        </w:rPr>
        <w:t xml:space="preserve">Удосконалено когнітивне моделювання розвитку інвестиційної привабливості сільськогосподарських підприємств, який, на відміну від існуючих, базується на інтеграції методики UNIDO у архітектуру управління за рахунок поєднання: орієнтованість на інвестора (оцінити ефективність використання капіталу, сценарні варіанти розвитку економічного оточення та організаційно-правових форм реалізації проєкту (юридичне забезпечення </w:t>
      </w:r>
      <w:r w:rsidRPr="00E943D3">
        <w:rPr>
          <w:rFonts w:ascii="Times New Roman" w:hAnsi="Times New Roman"/>
          <w:sz w:val="28"/>
          <w:szCs w:val="28"/>
          <w:lang w:val="uk-UA"/>
        </w:rPr>
        <w:lastRenderedPageBreak/>
        <w:t>податкова політика, економічна активність, державна підтримка)); ефекту від реалізації проєкту (фінансово-економічний, науково-технічний, соціально-екологічний); екологічності та стійкості (фокус на «зеленому» виробництві, енергоефективності та мінімізації відходів); універсальність (оцінити ризику, факторів невизначеності при реалізації проєкту), що реалізує алгоритм багатокритеріальної оцінки прийняття рішень у процесі формування інвестиційної привабливості підприємств.</w:t>
      </w:r>
    </w:p>
    <w:p w:rsidR="00E943D3" w:rsidRPr="00E943D3" w:rsidRDefault="00E943D3" w:rsidP="00E943D3">
      <w:pPr>
        <w:spacing w:after="0" w:line="360" w:lineRule="auto"/>
        <w:ind w:firstLine="709"/>
        <w:jc w:val="both"/>
        <w:rPr>
          <w:rFonts w:ascii="Times New Roman" w:hAnsi="Times New Roman"/>
          <w:color w:val="000000"/>
          <w:sz w:val="28"/>
          <w:szCs w:val="28"/>
          <w:lang w:val="uk-UA"/>
        </w:rPr>
      </w:pPr>
      <w:r w:rsidRPr="00E943D3">
        <w:rPr>
          <w:rFonts w:ascii="Times New Roman" w:hAnsi="Times New Roman"/>
          <w:color w:val="000000"/>
          <w:sz w:val="28"/>
          <w:szCs w:val="28"/>
          <w:lang w:val="uk-UA"/>
        </w:rPr>
        <w:t>Розвинуто методичний підхід до оцінювання інвестиційної привабливості сільськогосподарських підприємств, який на відміну від існуючих базується на застосуванні деагрегованої системи локальних детермінант розвитку, за рахунок врахування нелінійних функціональних залежностей між параметрами інвестиційної активності й операційної ефективності капіталу (застосування розробленого математичного інструментарію: локальної детермінації, функціональної зв’язності та предиктивного моделювання чутливості показника інвестиційної вартості підприємства до динамічної варіації ключових факторів зовнішнього середовища (логістичних витрат, змінності цін на агропродукцію та вартості капіталу)), що в сукупності забезпечує перехід від фігурального визначення фінансового стану до активного проектування стійкого інвестиційного потенціалу суб’єктів господарювання, дозволяючи кількісно ідентифікувати точки стратегічного росту та мінімізувати інформаційну асиметрію в системі «підприємство-інвестор».</w:t>
      </w:r>
    </w:p>
    <w:p w:rsidR="00E943D3" w:rsidRPr="00E943D3" w:rsidRDefault="00E943D3" w:rsidP="00E943D3">
      <w:pPr>
        <w:spacing w:after="0" w:line="360" w:lineRule="auto"/>
        <w:ind w:firstLine="709"/>
        <w:jc w:val="both"/>
        <w:rPr>
          <w:rFonts w:ascii="Times New Roman" w:hAnsi="Times New Roman"/>
          <w:color w:val="000000"/>
          <w:sz w:val="28"/>
          <w:szCs w:val="28"/>
          <w:lang w:val="uk-UA"/>
        </w:rPr>
      </w:pPr>
      <w:r w:rsidRPr="00E943D3">
        <w:rPr>
          <w:rStyle w:val="af1"/>
          <w:rFonts w:ascii="Times New Roman" w:hAnsi="Times New Roman"/>
          <w:b w:val="0"/>
          <w:bCs w:val="0"/>
          <w:color w:val="000000"/>
          <w:sz w:val="28"/>
          <w:szCs w:val="28"/>
          <w:lang w:val="uk-UA"/>
        </w:rPr>
        <w:t xml:space="preserve">Запропоновано концептуальні напрями формування економічного механізму інвестиційної привабливості сільськогосподарських підприємств, які на відміну від існуючих базуються на </w:t>
      </w:r>
      <w:r w:rsidRPr="00E943D3">
        <w:rPr>
          <w:rFonts w:ascii="Times New Roman" w:hAnsi="Times New Roman"/>
          <w:color w:val="000000"/>
          <w:sz w:val="28"/>
          <w:szCs w:val="28"/>
          <w:lang w:val="uk-UA"/>
        </w:rPr>
        <w:t>структурно-функціональній моделі управління цінністю бізнесу, за рахунок застосування адаптивних засад з урахуванням визначення траєкторії зростання, а саме: теоретичного підґрунтя стратегічних елементів механізму</w:t>
      </w:r>
      <w:r w:rsidRPr="00E943D3">
        <w:rPr>
          <w:rStyle w:val="apple-converted-space"/>
          <w:rFonts w:ascii="Times New Roman" w:hAnsi="Times New Roman"/>
          <w:color w:val="000000"/>
          <w:sz w:val="28"/>
          <w:szCs w:val="28"/>
          <w:lang w:val="uk-UA"/>
        </w:rPr>
        <w:t xml:space="preserve"> </w:t>
      </w:r>
      <w:r w:rsidRPr="00E943D3">
        <w:rPr>
          <w:rFonts w:ascii="Times New Roman" w:hAnsi="Times New Roman"/>
          <w:color w:val="000000"/>
          <w:sz w:val="28"/>
          <w:szCs w:val="28"/>
          <w:lang w:val="uk-UA"/>
        </w:rPr>
        <w:t xml:space="preserve">(архітектурна структуризація цілей максимізації капіталізації; систематизація принципів проактивності; стратегічного цілепокладання; конкретизація суб’єктно-об’єктної взаємодії в </w:t>
      </w:r>
      <w:r w:rsidRPr="00E943D3">
        <w:rPr>
          <w:rFonts w:ascii="Times New Roman" w:hAnsi="Times New Roman"/>
          <w:color w:val="000000"/>
          <w:sz w:val="28"/>
          <w:szCs w:val="28"/>
          <w:lang w:val="uk-UA"/>
        </w:rPr>
        <w:lastRenderedPageBreak/>
        <w:t>контурі інвестиційного ринку); використання методологічного блоку</w:t>
      </w:r>
      <w:r w:rsidRPr="00E943D3">
        <w:rPr>
          <w:rStyle w:val="apple-converted-space"/>
          <w:rFonts w:ascii="Times New Roman" w:hAnsi="Times New Roman"/>
          <w:color w:val="000000"/>
          <w:sz w:val="28"/>
          <w:szCs w:val="28"/>
          <w:lang w:val="uk-UA"/>
        </w:rPr>
        <w:t xml:space="preserve"> </w:t>
      </w:r>
      <w:r w:rsidRPr="00E943D3">
        <w:rPr>
          <w:rFonts w:ascii="Times New Roman" w:hAnsi="Times New Roman"/>
          <w:color w:val="000000"/>
          <w:sz w:val="28"/>
          <w:szCs w:val="28"/>
          <w:lang w:val="uk-UA"/>
        </w:rPr>
        <w:t>(запровадження методик проактивної діагностики інвестиційного профілю, стрес-тестування ризикової стійкості,   моделювання фундаментальної вартості бізнесу через кореляцію грошових потоків та вартості капіталу); застосування функціональних складових</w:t>
      </w:r>
      <w:r w:rsidRPr="00E943D3">
        <w:rPr>
          <w:rStyle w:val="apple-converted-space"/>
          <w:rFonts w:ascii="Times New Roman" w:hAnsi="Times New Roman"/>
          <w:color w:val="000000"/>
          <w:sz w:val="28"/>
          <w:szCs w:val="28"/>
          <w:lang w:val="uk-UA"/>
        </w:rPr>
        <w:t xml:space="preserve"> </w:t>
      </w:r>
      <w:r w:rsidRPr="00E943D3">
        <w:rPr>
          <w:rFonts w:ascii="Times New Roman" w:hAnsi="Times New Roman"/>
          <w:color w:val="000000"/>
          <w:sz w:val="28"/>
          <w:szCs w:val="28"/>
          <w:lang w:val="uk-UA"/>
        </w:rPr>
        <w:t xml:space="preserve">(трансформації ресурсного потенціалу у ринкову цінність; інтеграції </w:t>
      </w:r>
      <w:r w:rsidRPr="00E943D3">
        <w:rPr>
          <w:rFonts w:ascii="Times New Roman" w:hAnsi="Times New Roman"/>
          <w:color w:val="000000"/>
          <w:sz w:val="28"/>
          <w:szCs w:val="28"/>
        </w:rPr>
        <w:t>ESG</w:t>
      </w:r>
      <w:r w:rsidRPr="00E943D3">
        <w:rPr>
          <w:rFonts w:ascii="Times New Roman" w:hAnsi="Times New Roman"/>
          <w:color w:val="000000"/>
          <w:sz w:val="28"/>
          <w:szCs w:val="28"/>
          <w:lang w:val="uk-UA"/>
        </w:rPr>
        <w:t>-факторів як нематеріальних драйверів; декомпозиції показників операційної та фінансової ефективності); що забезпечує вимірюваність, досяжність, стійку активізацію інвестиційного розвитку підприємств в умовах воєнної турбулентності та макроекономічної невизначеності.</w:t>
      </w:r>
    </w:p>
    <w:p w:rsidR="00E943D3" w:rsidRPr="00E943D3" w:rsidRDefault="00E943D3" w:rsidP="00E943D3">
      <w:pPr>
        <w:shd w:val="clear" w:color="auto" w:fill="FFFFFF"/>
        <w:spacing w:after="0" w:line="360" w:lineRule="auto"/>
        <w:ind w:firstLine="709"/>
        <w:jc w:val="both"/>
        <w:rPr>
          <w:rFonts w:ascii="Times New Roman" w:hAnsi="Times New Roman"/>
          <w:color w:val="000000"/>
          <w:sz w:val="28"/>
          <w:szCs w:val="28"/>
          <w:lang w:val="uk-UA"/>
        </w:rPr>
      </w:pPr>
      <w:r w:rsidRPr="00E943D3">
        <w:rPr>
          <w:rFonts w:ascii="Times New Roman" w:hAnsi="Times New Roman"/>
          <w:sz w:val="28"/>
          <w:szCs w:val="28"/>
          <w:lang w:val="uk-UA"/>
        </w:rPr>
        <w:t xml:space="preserve">Обґрунтовано матричний підхід до стратегії </w:t>
      </w:r>
      <w:r w:rsidRPr="00E943D3">
        <w:rPr>
          <w:rFonts w:ascii="Times New Roman" w:hAnsi="Times New Roman"/>
          <w:color w:val="000000"/>
          <w:sz w:val="28"/>
          <w:szCs w:val="28"/>
          <w:lang w:val="uk-UA"/>
        </w:rPr>
        <w:t>формування економічного механізму розвитку інвестиційної привабливості сільськогосподарських підприємств, який, на відміну від існуючих, базується на проактивній моделі вартісно-орієнтованого управління, за рахунок стратегічної матриці позиціонування об’єктів у координатах «потенціал–привабливість»; предиктивної діагностики драйверів капіталізації; системи випереджальних індикаторів ризикової стійкості до воєнних дестабілізаторів, що забезпечує нівелювання інформаційної асиметрії в системі взаємодії зі стейкхолдерами та дозволяє здійснювати активне проектування траєкторій зростання фундаментальної вартості бізнесу.</w:t>
      </w:r>
    </w:p>
    <w:p w:rsidR="00E943D3" w:rsidRPr="00E943D3" w:rsidRDefault="00E943D3" w:rsidP="00E943D3">
      <w:pPr>
        <w:spacing w:after="0" w:line="360" w:lineRule="auto"/>
        <w:ind w:firstLine="709"/>
        <w:jc w:val="both"/>
        <w:rPr>
          <w:rStyle w:val="citation-1200"/>
          <w:rFonts w:ascii="Times New Roman" w:hAnsi="Times New Roman"/>
          <w:color w:val="000000"/>
          <w:sz w:val="28"/>
          <w:szCs w:val="28"/>
          <w:lang w:val="uk-UA"/>
        </w:rPr>
      </w:pPr>
      <w:r w:rsidRPr="00E943D3">
        <w:rPr>
          <w:rStyle w:val="citation-1203"/>
          <w:rFonts w:ascii="Times New Roman" w:hAnsi="Times New Roman"/>
          <w:color w:val="000000"/>
          <w:sz w:val="28"/>
          <w:szCs w:val="28"/>
          <w:lang w:val="uk-UA"/>
        </w:rPr>
        <w:t>Удосконалено функціонально –</w:t>
      </w:r>
      <w:r w:rsidRPr="00E943D3">
        <w:rPr>
          <w:rFonts w:ascii="Times New Roman" w:hAnsi="Times New Roman"/>
          <w:color w:val="000000"/>
          <w:sz w:val="28"/>
          <w:szCs w:val="28"/>
          <w:lang w:val="uk-UA"/>
        </w:rPr>
        <w:t>економічний механізм підвищення інвестиційної привабливості сільськогосподарських підприємств,</w:t>
      </w:r>
      <w:r w:rsidRPr="00E943D3">
        <w:rPr>
          <w:rStyle w:val="apple-converted-space"/>
          <w:rFonts w:ascii="Times New Roman" w:hAnsi="Times New Roman"/>
          <w:color w:val="000000"/>
          <w:sz w:val="28"/>
          <w:szCs w:val="28"/>
          <w:lang w:val="uk-UA"/>
        </w:rPr>
        <w:t xml:space="preserve"> </w:t>
      </w:r>
      <w:r w:rsidRPr="00E943D3">
        <w:rPr>
          <w:rStyle w:val="citation-1203"/>
          <w:rFonts w:ascii="Times New Roman" w:hAnsi="Times New Roman"/>
          <w:color w:val="000000"/>
          <w:sz w:val="28"/>
          <w:szCs w:val="28"/>
          <w:lang w:val="uk-UA"/>
        </w:rPr>
        <w:t>що базується на синергетичній інтеграції інструментів вартісно-орієнтованого управління (перехід від бухгалтерського прибутку до генерації економічної доданої вартості та управління драйверами</w:t>
      </w:r>
      <w:r w:rsidRPr="00E943D3">
        <w:rPr>
          <w:rStyle w:val="apple-converted-space"/>
          <w:rFonts w:ascii="Times New Roman" w:hAnsi="Times New Roman"/>
          <w:color w:val="000000"/>
          <w:sz w:val="28"/>
          <w:szCs w:val="28"/>
          <w:lang w:val="uk-UA"/>
        </w:rPr>
        <w:t xml:space="preserve"> </w:t>
      </w:r>
      <w:r w:rsidRPr="00E943D3">
        <w:rPr>
          <w:rStyle w:val="apple-converted-space"/>
          <w:rFonts w:ascii="Times New Roman" w:hAnsi="Times New Roman"/>
          <w:color w:val="000000"/>
          <w:sz w:val="28"/>
          <w:szCs w:val="28"/>
          <w:lang w:val="en-US"/>
        </w:rPr>
        <w:t>FCFF</w:t>
      </w:r>
      <w:r w:rsidRPr="00E943D3">
        <w:rPr>
          <w:rStyle w:val="citation-1203"/>
          <w:rFonts w:ascii="Times New Roman" w:hAnsi="Times New Roman"/>
          <w:color w:val="000000"/>
          <w:sz w:val="28"/>
          <w:szCs w:val="28"/>
          <w:lang w:val="uk-UA"/>
        </w:rPr>
        <w:t xml:space="preserve">, </w:t>
      </w:r>
      <w:r w:rsidRPr="00E943D3">
        <w:rPr>
          <w:rStyle w:val="apple-converted-space"/>
          <w:rFonts w:ascii="Times New Roman" w:hAnsi="Times New Roman"/>
          <w:color w:val="000000"/>
          <w:sz w:val="28"/>
          <w:szCs w:val="28"/>
        </w:rPr>
        <w:t>WACC</w:t>
      </w:r>
      <w:r w:rsidRPr="00E943D3">
        <w:rPr>
          <w:rStyle w:val="citation-1202"/>
          <w:rFonts w:ascii="Times New Roman" w:hAnsi="Times New Roman"/>
          <w:color w:val="000000"/>
          <w:sz w:val="28"/>
          <w:szCs w:val="28"/>
          <w:lang w:val="uk-UA"/>
        </w:rPr>
        <w:t xml:space="preserve">), контрактно-інституційної стабілізації (використання </w:t>
      </w:r>
      <w:r w:rsidRPr="00E943D3">
        <w:rPr>
          <w:rStyle w:val="citation-1202"/>
          <w:rFonts w:ascii="Times New Roman" w:hAnsi="Times New Roman"/>
          <w:color w:val="000000"/>
          <w:sz w:val="28"/>
          <w:szCs w:val="28"/>
        </w:rPr>
        <w:t>offtake</w:t>
      </w:r>
      <w:r w:rsidRPr="00E943D3">
        <w:rPr>
          <w:rStyle w:val="citation-1202"/>
          <w:rFonts w:ascii="Times New Roman" w:hAnsi="Times New Roman"/>
          <w:color w:val="000000"/>
          <w:sz w:val="28"/>
          <w:szCs w:val="28"/>
          <w:lang w:val="uk-UA"/>
        </w:rPr>
        <w:t>-контрактів та аграрних розписок для зниження інформаційної асиметрії</w:t>
      </w:r>
      <w:r w:rsidRPr="00E943D3">
        <w:rPr>
          <w:rStyle w:val="citation-1201"/>
          <w:rFonts w:ascii="Times New Roman" w:hAnsi="Times New Roman"/>
          <w:color w:val="000000"/>
          <w:sz w:val="28"/>
          <w:szCs w:val="28"/>
          <w:lang w:val="uk-UA"/>
        </w:rPr>
        <w:t xml:space="preserve">), вдосконаленого ризик-менеджменту (кількісна інтеграція ризиків через показники </w:t>
      </w:r>
      <w:r w:rsidRPr="00E943D3">
        <w:rPr>
          <w:rStyle w:val="citation-1201"/>
          <w:rFonts w:ascii="Times New Roman" w:hAnsi="Times New Roman"/>
          <w:color w:val="000000"/>
          <w:sz w:val="28"/>
          <w:szCs w:val="28"/>
        </w:rPr>
        <w:t>RAROC</w:t>
      </w:r>
      <w:r w:rsidRPr="00E943D3">
        <w:rPr>
          <w:rStyle w:val="citation-1201"/>
          <w:rFonts w:ascii="Times New Roman" w:hAnsi="Times New Roman"/>
          <w:color w:val="000000"/>
          <w:sz w:val="28"/>
          <w:szCs w:val="28"/>
          <w:lang w:val="uk-UA"/>
        </w:rPr>
        <w:t xml:space="preserve"> і </w:t>
      </w:r>
      <w:r w:rsidRPr="00E943D3">
        <w:rPr>
          <w:rStyle w:val="citation-1201"/>
          <w:rFonts w:ascii="Times New Roman" w:hAnsi="Times New Roman"/>
          <w:color w:val="000000"/>
          <w:sz w:val="28"/>
          <w:szCs w:val="28"/>
        </w:rPr>
        <w:t>stress</w:t>
      </w:r>
      <w:r w:rsidRPr="00E943D3">
        <w:rPr>
          <w:rStyle w:val="citation-1201"/>
          <w:rFonts w:ascii="Times New Roman" w:hAnsi="Times New Roman"/>
          <w:color w:val="000000"/>
          <w:sz w:val="28"/>
          <w:szCs w:val="28"/>
          <w:lang w:val="uk-UA"/>
        </w:rPr>
        <w:t>-</w:t>
      </w:r>
      <w:r w:rsidRPr="00E943D3">
        <w:rPr>
          <w:rStyle w:val="citation-1201"/>
          <w:rFonts w:ascii="Times New Roman" w:hAnsi="Times New Roman"/>
          <w:color w:val="000000"/>
          <w:sz w:val="28"/>
          <w:szCs w:val="28"/>
        </w:rPr>
        <w:t>testing</w:t>
      </w:r>
      <w:r w:rsidRPr="00E943D3">
        <w:rPr>
          <w:rStyle w:val="citation-1200"/>
          <w:rFonts w:ascii="Times New Roman" w:hAnsi="Times New Roman"/>
          <w:color w:val="000000"/>
          <w:sz w:val="28"/>
          <w:szCs w:val="28"/>
          <w:lang w:val="uk-UA"/>
        </w:rPr>
        <w:t xml:space="preserve">), що забезпечує авторегресійну підтримку інвестиційного сприйняття </w:t>
      </w:r>
      <w:r w:rsidRPr="00E943D3">
        <w:rPr>
          <w:rStyle w:val="citation-1200"/>
          <w:rFonts w:ascii="Times New Roman" w:hAnsi="Times New Roman"/>
          <w:color w:val="000000"/>
          <w:sz w:val="28"/>
          <w:szCs w:val="28"/>
          <w:lang w:val="uk-UA"/>
        </w:rPr>
        <w:lastRenderedPageBreak/>
        <w:t>та дозволяє керувати можливостями капіталізації переваг через накопичений стратегічний потенціал.</w:t>
      </w:r>
    </w:p>
    <w:p w:rsidR="00C90E9F" w:rsidRPr="00103781" w:rsidRDefault="00245A16" w:rsidP="0051796A">
      <w:pPr>
        <w:tabs>
          <w:tab w:val="left" w:pos="3119"/>
        </w:tabs>
        <w:spacing w:after="0" w:line="360" w:lineRule="auto"/>
        <w:ind w:firstLine="709"/>
        <w:jc w:val="both"/>
        <w:rPr>
          <w:rStyle w:val="citation-1202"/>
          <w:color w:val="000000"/>
          <w:lang w:val="uk-UA"/>
        </w:rPr>
      </w:pPr>
      <w:r w:rsidRPr="00F77551">
        <w:rPr>
          <w:rFonts w:ascii="Times New Roman" w:eastAsia="Times New Roman" w:hAnsi="Times New Roman"/>
          <w:b/>
          <w:i/>
          <w:sz w:val="28"/>
          <w:szCs w:val="28"/>
          <w:lang w:val="uk-UA" w:eastAsia="uk-UA"/>
        </w:rPr>
        <w:t>Ключові слова</w:t>
      </w:r>
      <w:r w:rsidRPr="00F77551">
        <w:rPr>
          <w:rFonts w:ascii="Times New Roman" w:eastAsia="Times New Roman" w:hAnsi="Times New Roman"/>
          <w:sz w:val="28"/>
          <w:szCs w:val="28"/>
          <w:lang w:val="uk-UA" w:eastAsia="uk-UA"/>
        </w:rPr>
        <w:t>:</w:t>
      </w:r>
      <w:r w:rsidR="00BE5A3A">
        <w:rPr>
          <w:rFonts w:ascii="Times New Roman" w:eastAsia="Times New Roman" w:hAnsi="Times New Roman"/>
          <w:sz w:val="28"/>
          <w:szCs w:val="28"/>
          <w:lang w:val="uk-UA" w:eastAsia="uk-UA"/>
        </w:rPr>
        <w:t xml:space="preserve"> </w:t>
      </w:r>
      <w:r w:rsidR="0047195D" w:rsidRPr="00103781">
        <w:rPr>
          <w:rStyle w:val="citation-1202"/>
          <w:rFonts w:ascii="Times New Roman" w:hAnsi="Times New Roman"/>
          <w:color w:val="000000"/>
          <w:sz w:val="28"/>
          <w:szCs w:val="28"/>
          <w:lang w:val="uk-UA"/>
        </w:rPr>
        <w:t xml:space="preserve">інвестування коштів, спеціалізовані інвестиційні фонди, управління інвестиційним портфелем, </w:t>
      </w:r>
      <w:r w:rsidR="0051796A" w:rsidRPr="00103781">
        <w:rPr>
          <w:rStyle w:val="citation-1202"/>
          <w:rFonts w:ascii="Times New Roman" w:hAnsi="Times New Roman"/>
          <w:sz w:val="28"/>
          <w:szCs w:val="28"/>
          <w:lang w:val="uk-UA"/>
        </w:rPr>
        <w:t xml:space="preserve">інвестиційна активність, </w:t>
      </w:r>
      <w:r w:rsidR="0047195D" w:rsidRPr="00103781">
        <w:rPr>
          <w:rStyle w:val="citation-1202"/>
          <w:rFonts w:ascii="Times New Roman" w:hAnsi="Times New Roman"/>
          <w:color w:val="000000"/>
          <w:sz w:val="28"/>
          <w:szCs w:val="28"/>
          <w:lang w:val="uk-UA"/>
        </w:rPr>
        <w:t xml:space="preserve">аналіз інвестиційних якостей, дивідендна політика, </w:t>
      </w:r>
      <w:r w:rsidR="0051796A" w:rsidRPr="00103781">
        <w:rPr>
          <w:rStyle w:val="citation-1202"/>
          <w:rFonts w:ascii="Times New Roman" w:hAnsi="Times New Roman"/>
          <w:color w:val="000000"/>
          <w:sz w:val="28"/>
          <w:szCs w:val="28"/>
          <w:lang w:val="uk-UA"/>
        </w:rPr>
        <w:t xml:space="preserve">когнітивне моделювання розвитку, </w:t>
      </w:r>
      <w:r w:rsidR="0051796A" w:rsidRPr="00103781">
        <w:rPr>
          <w:rStyle w:val="citation-1202"/>
          <w:rFonts w:ascii="Times New Roman" w:hAnsi="Times New Roman"/>
          <w:sz w:val="28"/>
          <w:szCs w:val="28"/>
          <w:lang w:val="uk-UA"/>
        </w:rPr>
        <w:t xml:space="preserve">предиктивне моделювання чутливості показника інвестиційної вартості, </w:t>
      </w:r>
      <w:r w:rsidR="0051796A" w:rsidRPr="00103781">
        <w:rPr>
          <w:rStyle w:val="citation-1202"/>
          <w:rFonts w:ascii="Times New Roman" w:hAnsi="Times New Roman"/>
          <w:color w:val="000000"/>
          <w:sz w:val="28"/>
          <w:szCs w:val="28"/>
          <w:lang w:val="uk-UA"/>
        </w:rPr>
        <w:t xml:space="preserve">багатокритеріальна оцінка прийняття рішень,  </w:t>
      </w:r>
      <w:r w:rsidR="0051796A" w:rsidRPr="00103781">
        <w:rPr>
          <w:rStyle w:val="citation-1202"/>
          <w:rFonts w:ascii="Times New Roman" w:hAnsi="Times New Roman"/>
          <w:sz w:val="28"/>
          <w:szCs w:val="28"/>
          <w:lang w:val="uk-UA"/>
        </w:rPr>
        <w:t xml:space="preserve">деагрегована система локальних детермінант, ааагропродукція, точки стратегічного росту, управління цінністю бізнесу, траєкторії зростання, контур інвестиційного ринку, </w:t>
      </w:r>
      <w:r w:rsidR="0051796A" w:rsidRPr="0051796A">
        <w:rPr>
          <w:rStyle w:val="citation-1202"/>
          <w:rFonts w:ascii="Times New Roman" w:hAnsi="Times New Roman"/>
          <w:sz w:val="28"/>
          <w:szCs w:val="28"/>
          <w:lang w:val="uk-UA"/>
        </w:rPr>
        <w:t>ESG</w:t>
      </w:r>
      <w:r w:rsidR="0051796A" w:rsidRPr="00103781">
        <w:rPr>
          <w:rStyle w:val="citation-1202"/>
          <w:rFonts w:ascii="Times New Roman" w:hAnsi="Times New Roman"/>
          <w:sz w:val="28"/>
          <w:szCs w:val="28"/>
          <w:lang w:val="uk-UA"/>
        </w:rPr>
        <w:t>-фактори, нематеріальні драйвери, капіталізація, взаємодія зі стейкхолдерами</w:t>
      </w:r>
    </w:p>
    <w:p w:rsidR="00C90E9F" w:rsidRDefault="00C90E9F" w:rsidP="00C90E9F">
      <w:pPr>
        <w:spacing w:line="336" w:lineRule="auto"/>
        <w:jc w:val="both"/>
        <w:rPr>
          <w:rStyle w:val="docdata"/>
          <w:rFonts w:ascii="Times New Roman" w:hAnsi="Times New Roman"/>
          <w:b/>
          <w:color w:val="000000"/>
          <w:sz w:val="28"/>
          <w:szCs w:val="28"/>
          <w:lang w:val="uk-UA"/>
        </w:rPr>
      </w:pPr>
      <w:r>
        <w:rPr>
          <w:rStyle w:val="docdata"/>
          <w:rFonts w:ascii="Times New Roman" w:hAnsi="Times New Roman"/>
          <w:b/>
          <w:color w:val="000000"/>
          <w:sz w:val="28"/>
          <w:szCs w:val="28"/>
          <w:lang w:val="uk-UA"/>
        </w:rPr>
        <w:br w:type="page"/>
      </w:r>
    </w:p>
    <w:p w:rsidR="004938C8" w:rsidRPr="00F77551" w:rsidRDefault="004938C8" w:rsidP="004938C8">
      <w:pPr>
        <w:spacing w:after="0" w:line="360" w:lineRule="auto"/>
        <w:ind w:firstLine="709"/>
        <w:jc w:val="center"/>
        <w:rPr>
          <w:rFonts w:ascii="Times New Roman" w:eastAsia="Aptos" w:hAnsi="Times New Roman"/>
          <w:b/>
          <w:bCs/>
          <w:kern w:val="2"/>
          <w:sz w:val="28"/>
          <w:szCs w:val="28"/>
          <w:lang w:val="uk-UA"/>
        </w:rPr>
      </w:pPr>
      <w:r w:rsidRPr="00F77551">
        <w:rPr>
          <w:rFonts w:ascii="Times New Roman" w:eastAsia="Aptos" w:hAnsi="Times New Roman"/>
          <w:b/>
          <w:bCs/>
          <w:kern w:val="2"/>
          <w:sz w:val="28"/>
          <w:szCs w:val="28"/>
          <w:lang w:val="uk-UA"/>
        </w:rPr>
        <w:lastRenderedPageBreak/>
        <w:t>ANNOTATION</w:t>
      </w:r>
    </w:p>
    <w:p w:rsidR="006D176D" w:rsidRPr="00103781" w:rsidRDefault="006D176D" w:rsidP="00C85EA8">
      <w:pPr>
        <w:spacing w:after="0" w:line="360" w:lineRule="auto"/>
        <w:ind w:firstLine="709"/>
        <w:jc w:val="both"/>
        <w:rPr>
          <w:rStyle w:val="citation-1202"/>
          <w:rFonts w:ascii="Times New Roman" w:hAnsi="Times New Roman"/>
          <w:sz w:val="28"/>
          <w:szCs w:val="28"/>
          <w:lang w:val="en-US"/>
        </w:rPr>
      </w:pPr>
      <w:r w:rsidRPr="00E75AEB">
        <w:rPr>
          <w:rStyle w:val="citation-1202"/>
          <w:rFonts w:ascii="Times New Roman" w:hAnsi="Times New Roman"/>
          <w:sz w:val="28"/>
          <w:szCs w:val="28"/>
          <w:lang w:val="en-US"/>
        </w:rPr>
        <w:t xml:space="preserve">Kholod </w:t>
      </w:r>
      <w:r w:rsidR="00E75AEB" w:rsidRPr="00E75AEB">
        <w:rPr>
          <w:rStyle w:val="citation-1202"/>
          <w:rFonts w:ascii="Times New Roman" w:hAnsi="Times New Roman"/>
          <w:sz w:val="28"/>
          <w:szCs w:val="28"/>
          <w:lang w:val="en-US"/>
        </w:rPr>
        <w:t>Ye</w:t>
      </w:r>
      <w:r w:rsidRPr="00E75AEB">
        <w:rPr>
          <w:rStyle w:val="citation-1202"/>
          <w:rFonts w:ascii="Times New Roman" w:hAnsi="Times New Roman"/>
          <w:sz w:val="28"/>
          <w:szCs w:val="28"/>
          <w:lang w:val="en-US"/>
        </w:rPr>
        <w:t>.</w:t>
      </w:r>
      <w:r w:rsidRPr="00103781">
        <w:rPr>
          <w:rStyle w:val="citation-1202"/>
          <w:rFonts w:ascii="Times New Roman" w:hAnsi="Times New Roman"/>
          <w:sz w:val="28"/>
          <w:szCs w:val="28"/>
          <w:lang w:val="en-US"/>
        </w:rPr>
        <w:t xml:space="preserve"> Economic mechanism for the development of investment attractiveness of agricultural enterprises. ‒ Qualification scientific work in the form of a manuscript.</w:t>
      </w:r>
    </w:p>
    <w:p w:rsidR="006D176D" w:rsidRPr="00103781" w:rsidRDefault="006D176D"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 xml:space="preserve">Dissertation for the degree of Doctor of Philosophy in the specialty 051 – Economics. – State Educational Service “Luhansk National Taras Shevchenko University”, </w:t>
      </w:r>
      <w:r w:rsidR="00044B86" w:rsidRPr="00044B86">
        <w:rPr>
          <w:rStyle w:val="citation-1202"/>
          <w:rFonts w:ascii="Times New Roman" w:hAnsi="Times New Roman"/>
          <w:sz w:val="28"/>
          <w:szCs w:val="28"/>
          <w:lang w:val="en-US"/>
        </w:rPr>
        <w:t>Lubny</w:t>
      </w:r>
      <w:r w:rsidRPr="00103781">
        <w:rPr>
          <w:rStyle w:val="citation-1202"/>
          <w:rFonts w:ascii="Times New Roman" w:hAnsi="Times New Roman"/>
          <w:sz w:val="28"/>
          <w:szCs w:val="28"/>
          <w:lang w:val="en-US"/>
        </w:rPr>
        <w:t>, 2026.</w:t>
      </w:r>
    </w:p>
    <w:p w:rsidR="006D176D" w:rsidRPr="00103781" w:rsidRDefault="006D176D"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The dissertation is devoted to the further development of theoretical and methodological provisions and the development of practical recommendations for the formation of an economic mechanism for the development of investment attractiveness of agricultural enterprises.</w:t>
      </w:r>
    </w:p>
    <w:p w:rsidR="006D176D" w:rsidRPr="00103781" w:rsidRDefault="006D176D" w:rsidP="00C85EA8">
      <w:pPr>
        <w:spacing w:after="0" w:line="360" w:lineRule="auto"/>
        <w:ind w:firstLine="709"/>
        <w:jc w:val="both"/>
        <w:rPr>
          <w:rStyle w:val="citation-1202"/>
          <w:rFonts w:ascii="Times New Roman" w:hAnsi="Times New Roman"/>
          <w:sz w:val="28"/>
          <w:szCs w:val="28"/>
          <w:lang w:val="en-US"/>
        </w:rPr>
      </w:pPr>
      <w:r w:rsidRPr="005670E0">
        <w:rPr>
          <w:rStyle w:val="citation-1202"/>
          <w:rFonts w:ascii="Times New Roman" w:hAnsi="Times New Roman"/>
          <w:sz w:val="28"/>
          <w:szCs w:val="28"/>
          <w:lang w:val="en-US"/>
        </w:rPr>
        <w:t>The study examines theoretical and methodological approaches to the investment attractiveness of agricultural enterprises. It refines the classification of its determinants and develops cognitive modelling and assessment tools. It also proposes a conceptual economic mechanism, a strategic matrix and a functional mechanism for improving investment attractiveness.</w:t>
      </w:r>
    </w:p>
    <w:p w:rsidR="006D176D" w:rsidRPr="00103781" w:rsidRDefault="006D176D"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The concept of the investment attractiveness of agricultural enterprises is specified, which is based on the synthesis of methods for assessing the viability of investment attractiveness, namely: investing funds (purchase of assets through the acquisition of land plots or shares in the authorized capital to obtain control and increase profitability); investing funds through specialized investment funds (PUAF), through the formation and management of a portfolio of agricultural companies, modernization, expansion of the land bank; acquisition of agricultural machinery, equipment, land plots in leasing (long-term lease with the right to buy out) and selling (sale with subsequent lease); grant financing and state support (purchase of future harvest (forward contracts) to ensure the turnover of funds; creation of regional investment corporations), which will provide an examination of investment attractiveness and forecasting.</w:t>
      </w:r>
    </w:p>
    <w:p w:rsidR="00C85EA8" w:rsidRPr="00103781" w:rsidRDefault="006D176D"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 xml:space="preserve">Classification features of the constituent elements of the development of investment attractiveness of agricultural enterprises have been developed, which, </w:t>
      </w:r>
      <w:r w:rsidRPr="00103781">
        <w:rPr>
          <w:rStyle w:val="citation-1202"/>
          <w:rFonts w:ascii="Times New Roman" w:hAnsi="Times New Roman"/>
          <w:sz w:val="28"/>
          <w:szCs w:val="28"/>
          <w:lang w:val="en-US"/>
        </w:rPr>
        <w:lastRenderedPageBreak/>
        <w:t>unlike previously existing ones, are based on a conceptual model, namely: financial and economic block (degree of diversification and maturity structure of securities that form the investment portfolio of the enterprise (data from regular analysis of the investment qualities of the specified securities); indicators characterizing the dividend policy of the enterprise); production and technological block (construction, expansion, reconstruction, technical re-equipment of production and non-production facilities; acquisition of movable and immovable property (machinery, equipment, vehicles, buildings and structures)); management block (indicators of the organizational, technical and personnel level of the enterprise; indicators of resource use for the enterprise); external block (ability to respond to changes in market demand; indicators of the market situation and competitiveness of the enterprise's products), which will ensure the creation of an ecosystem to increase financial stability, sustainable development and guarantee return on investment.</w:t>
      </w:r>
    </w:p>
    <w:p w:rsidR="00C85EA8" w:rsidRPr="00103781" w:rsidRDefault="00C85EA8"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Cognitive modeling of the development of investment attractiveness of agricultural enterprises has been improved, which, unlike existing ones, is based on the integration of the UNIDO methodology into the management architecture by combining: investor orientation (assess the efficiency of capital use, scenario options for the development of the economic environment and organizational and legal forms of project implementation (legal support, tax policy, economic activity, state support)); the effect of project implementation (financial and economic, scientific and technical, social and environmental); environmental friendliness and sustainability (focus on "green" production, energy efficiency and waste minimization); universality (assess risk, uncertainty factors during project implementation), which implements an algorithm for multi-criteria assessment of decision-making in the process of forming the investment attractiveness of enterprises.</w:t>
      </w:r>
    </w:p>
    <w:p w:rsidR="00C85EA8" w:rsidRPr="00103781" w:rsidRDefault="00C85EA8"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 xml:space="preserve">A methodological approach to assessing the investment attractiveness of agricultural enterprises has been developed, which, unlike existing ones, is based on the application of a disaggregated system of local determinants of development, </w:t>
      </w:r>
      <w:r w:rsidRPr="00103781">
        <w:rPr>
          <w:rStyle w:val="citation-1202"/>
          <w:rFonts w:ascii="Times New Roman" w:hAnsi="Times New Roman"/>
          <w:sz w:val="28"/>
          <w:szCs w:val="28"/>
          <w:lang w:val="en-US"/>
        </w:rPr>
        <w:lastRenderedPageBreak/>
        <w:t>taking into account nonlinear functional dependencies between the parameters of investment activity and operational efficiency of capital (application of the developed mathematical tools: local determination, functional connectivity and predictive modeling of the sensitivity of the investment value indicator of the enterprise to the dynamic variation of key environmental factors (logistics costs, variability of prices for agricultural products and the cost of capital)), which together ensures the transition from a figurative determination of the financial condition to the active design of sustainable investment potential of business entities, allowing to quantitatively identify strategic growth points and minimize information asymmetry in the "enterprise-investor" system.</w:t>
      </w:r>
    </w:p>
    <w:p w:rsidR="00C85EA8" w:rsidRPr="00103781" w:rsidRDefault="00C85EA8"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Conceptual directions for the formation of an economic mechanism for the investment attractiveness of agricultural enterprises are proposed, which, unlike existing ones, are based on a structural-functional model of business value management, through the application of adaptive principles taking into account the determination of the growth trajectory, namely: the theoretical basis of the strategic elements of the mechanism (architectural structuring of capitalization maximization goals; systematization of the principles of proactivity; strategic goal-setting; specification of subject-object interaction in the investment market contour); the use of a methodological block (the introduction of methods for proactive diagnostics of the investment profile, stress testing of risk stability, modeling of the fundamental value of the business through the correlation of cash flows and the cost of capital); the application of functional components (transformation of resource potential into market value; integration of ESG factors as intangible drivers; decomposition of indicators of operational and financial efficiency); which ensures measurability, accessibility, and sustainable activation of investment development of enterprises in conditions of military turbulence and macroeconomic uncertainty.</w:t>
      </w:r>
    </w:p>
    <w:p w:rsidR="00C85EA8" w:rsidRPr="00103781" w:rsidRDefault="00C85EA8"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 xml:space="preserve">A matrix approach to the strategy of forming an economic mechanism for developing the investment attractiveness of agricultural enterprises is substantiated, which, unlike existing ones, is based on a proactive model of value-oriented </w:t>
      </w:r>
      <w:r w:rsidRPr="00103781">
        <w:rPr>
          <w:rStyle w:val="citation-1202"/>
          <w:rFonts w:ascii="Times New Roman" w:hAnsi="Times New Roman"/>
          <w:sz w:val="28"/>
          <w:szCs w:val="28"/>
          <w:lang w:val="en-US"/>
        </w:rPr>
        <w:lastRenderedPageBreak/>
        <w:t>management, due to the strategic matrix of positioning objects in the coordinates of "potential-attractiveness"; predictive diagnostics of capitalization drivers; a system of leading indicators of risk resistance to military destabilizers, which ensures the leveling of information asymmetry in the system of interaction with stakeholders and allows for active design of trajectories of growth of the fundamental value of the business.</w:t>
      </w:r>
    </w:p>
    <w:p w:rsidR="00C85EA8" w:rsidRPr="00103781" w:rsidRDefault="00C85EA8" w:rsidP="00C85EA8">
      <w:pPr>
        <w:spacing w:after="0" w:line="360" w:lineRule="auto"/>
        <w:ind w:firstLine="709"/>
        <w:jc w:val="both"/>
        <w:rPr>
          <w:rStyle w:val="citation-1202"/>
          <w:rFonts w:ascii="Times New Roman" w:hAnsi="Times New Roman"/>
          <w:sz w:val="28"/>
          <w:szCs w:val="28"/>
          <w:lang w:val="en-US"/>
        </w:rPr>
      </w:pPr>
      <w:r w:rsidRPr="00103781">
        <w:rPr>
          <w:rStyle w:val="citation-1202"/>
          <w:rFonts w:ascii="Times New Roman" w:hAnsi="Times New Roman"/>
          <w:sz w:val="28"/>
          <w:szCs w:val="28"/>
          <w:lang w:val="en-US"/>
        </w:rPr>
        <w:t>The functional and economic mechanism for increasing the investment attractiveness of agricultural enterprises has been improved, based on the synergistic integration of value-oriented management tools (transition from accounting profit to generation of economic added value and management of FCFF, WACC drivers), contractual and institutional stabilization (use of offtake contracts and agricultural receipts to reduce information asymmetry), improved risk management (quantitative integration of risks through RAROC indicators and stress-testing), which provides autoregressive support for investment perception and allows you to manage the possibilities of capitalizing advantages through accumulated strategic potential.</w:t>
      </w:r>
    </w:p>
    <w:p w:rsidR="00C85EA8" w:rsidRPr="00154AA6" w:rsidRDefault="00C85EA8" w:rsidP="00C85EA8">
      <w:pPr>
        <w:spacing w:after="0" w:line="360" w:lineRule="auto"/>
        <w:ind w:firstLine="709"/>
        <w:jc w:val="both"/>
        <w:rPr>
          <w:rStyle w:val="citation-1202"/>
          <w:rFonts w:ascii="Times New Roman" w:hAnsi="Times New Roman"/>
          <w:sz w:val="28"/>
          <w:szCs w:val="28"/>
          <w:lang w:val="uk-UA"/>
        </w:rPr>
      </w:pPr>
      <w:r w:rsidRPr="00103781">
        <w:rPr>
          <w:rStyle w:val="citation-1202"/>
          <w:rFonts w:ascii="Times New Roman" w:hAnsi="Times New Roman"/>
          <w:b/>
          <w:sz w:val="28"/>
          <w:szCs w:val="28"/>
          <w:lang w:val="en-US"/>
        </w:rPr>
        <w:t>Keywords:</w:t>
      </w:r>
      <w:r w:rsidRPr="00103781">
        <w:rPr>
          <w:rStyle w:val="citation-1202"/>
          <w:rFonts w:ascii="Times New Roman" w:hAnsi="Times New Roman"/>
          <w:sz w:val="28"/>
          <w:szCs w:val="28"/>
          <w:lang w:val="en-US"/>
        </w:rPr>
        <w:t xml:space="preserve"> investment of funds, specialized investment funds, investment portfolio management, investment activity, analysis of investment qualities, dividend policy, cognitive development modeling, predictive modeling of the sensitivity of the investment value indicator, multi-criteria decision-making assessment, disaggregated system of local determinants, agricultural production, strategic growth points, business value management, growth trajectories, investment market contour, ESG factors, intangible drivers, capitalization, interaction with stakeholders</w:t>
      </w:r>
      <w:r w:rsidR="00154AA6">
        <w:rPr>
          <w:rStyle w:val="citation-1202"/>
          <w:rFonts w:ascii="Times New Roman" w:hAnsi="Times New Roman"/>
          <w:sz w:val="28"/>
          <w:szCs w:val="28"/>
          <w:lang w:val="uk-UA"/>
        </w:rPr>
        <w:t>.</w:t>
      </w:r>
    </w:p>
    <w:p w:rsidR="004938C8" w:rsidRDefault="004938C8" w:rsidP="00C85EA8">
      <w:pPr>
        <w:spacing w:after="0" w:line="360" w:lineRule="auto"/>
        <w:ind w:firstLine="709"/>
        <w:jc w:val="both"/>
        <w:rPr>
          <w:rFonts w:ascii="Times New Roman" w:eastAsia="Times New Roman" w:hAnsi="Times New Roman"/>
          <w:b/>
          <w:bCs/>
          <w:smallCaps/>
          <w:color w:val="000000"/>
          <w:sz w:val="28"/>
          <w:szCs w:val="28"/>
          <w:lang w:val="uk-UA" w:eastAsia="uk-UA"/>
        </w:rPr>
      </w:pPr>
      <w:r>
        <w:rPr>
          <w:rFonts w:ascii="Times New Roman" w:eastAsia="Times New Roman" w:hAnsi="Times New Roman"/>
          <w:b/>
          <w:bCs/>
          <w:smallCaps/>
          <w:color w:val="000000"/>
          <w:sz w:val="28"/>
          <w:szCs w:val="28"/>
          <w:lang w:val="uk-UA" w:eastAsia="uk-UA"/>
        </w:rPr>
        <w:br w:type="page"/>
      </w:r>
    </w:p>
    <w:p w:rsidR="00E12ED3" w:rsidRPr="00D23BEF" w:rsidRDefault="00E12ED3" w:rsidP="00D1704E">
      <w:pPr>
        <w:spacing w:after="0" w:line="360" w:lineRule="auto"/>
        <w:jc w:val="center"/>
        <w:rPr>
          <w:rFonts w:ascii="Times New Roman" w:eastAsia="Times New Roman" w:hAnsi="Times New Roman"/>
          <w:sz w:val="28"/>
          <w:szCs w:val="28"/>
          <w:lang w:val="uk-UA" w:eastAsia="uk-UA"/>
        </w:rPr>
      </w:pPr>
      <w:r w:rsidRPr="00D23BEF">
        <w:rPr>
          <w:rFonts w:ascii="Times New Roman" w:eastAsia="Times New Roman" w:hAnsi="Times New Roman"/>
          <w:b/>
          <w:bCs/>
          <w:smallCaps/>
          <w:color w:val="000000"/>
          <w:sz w:val="28"/>
          <w:szCs w:val="28"/>
          <w:lang w:val="uk-UA" w:eastAsia="uk-UA"/>
        </w:rPr>
        <w:lastRenderedPageBreak/>
        <w:t>СПИСОК ОПУБЛІКОВАНИХ ПРАЦЬ ЗА ТЕМОЮ ДИСЕРТАЦІЇ</w:t>
      </w:r>
    </w:p>
    <w:p w:rsidR="00E12ED3" w:rsidRPr="008A7B5E" w:rsidRDefault="00E12ED3" w:rsidP="00D1704E">
      <w:pPr>
        <w:spacing w:after="0" w:line="360" w:lineRule="auto"/>
        <w:jc w:val="center"/>
        <w:rPr>
          <w:rFonts w:ascii="Times New Roman" w:eastAsia="Times New Roman" w:hAnsi="Times New Roman"/>
          <w:b/>
          <w:bCs/>
          <w:iCs/>
          <w:sz w:val="28"/>
          <w:szCs w:val="28"/>
          <w:lang w:val="uk-UA" w:eastAsia="uk-UA"/>
        </w:rPr>
      </w:pPr>
      <w:r w:rsidRPr="008A7B5E">
        <w:rPr>
          <w:rFonts w:ascii="Times New Roman" w:eastAsia="Times New Roman" w:hAnsi="Times New Roman"/>
          <w:b/>
          <w:bCs/>
          <w:iCs/>
          <w:sz w:val="28"/>
          <w:szCs w:val="28"/>
          <w:lang w:val="uk-UA" w:eastAsia="uk-UA"/>
        </w:rPr>
        <w:t>Статті у наукових виданнях, включених до переліку наукових фахових видань України:</w:t>
      </w:r>
    </w:p>
    <w:p w:rsidR="00B23F24" w:rsidRPr="00B23F24" w:rsidRDefault="00B23F24" w:rsidP="00D1704E">
      <w:pPr>
        <w:pStyle w:val="a6"/>
        <w:numPr>
          <w:ilvl w:val="0"/>
          <w:numId w:val="33"/>
        </w:numPr>
        <w:suppressAutoHyphens/>
        <w:spacing w:after="0" w:line="360" w:lineRule="auto"/>
        <w:ind w:left="0" w:firstLine="357"/>
        <w:jc w:val="both"/>
        <w:rPr>
          <w:lang w:val="uk-UA"/>
        </w:rPr>
      </w:pPr>
      <w:r>
        <w:rPr>
          <w:rFonts w:ascii="Times New Roman" w:hAnsi="Times New Roman"/>
          <w:sz w:val="28"/>
          <w:szCs w:val="28"/>
          <w:lang w:val="uk-UA"/>
        </w:rPr>
        <w:t xml:space="preserve">Холод Є.С. </w:t>
      </w:r>
      <w:r w:rsidRPr="004E1AB7">
        <w:rPr>
          <w:rFonts w:ascii="Times New Roman" w:hAnsi="Times New Roman"/>
          <w:sz w:val="28"/>
          <w:szCs w:val="28"/>
          <w:lang w:val="uk-UA"/>
        </w:rPr>
        <w:t>Оцінка сучасних підходів до проблеми аналізу інвестиційної привабливості підприємств</w:t>
      </w:r>
      <w:r>
        <w:rPr>
          <w:rFonts w:ascii="Times New Roman" w:hAnsi="Times New Roman"/>
          <w:sz w:val="28"/>
          <w:szCs w:val="28"/>
          <w:lang w:val="uk-UA"/>
        </w:rPr>
        <w:t>. Агросвіт. 2025. № 24. С. 252-256.</w:t>
      </w:r>
    </w:p>
    <w:p w:rsidR="00B23F24" w:rsidRPr="00193263" w:rsidRDefault="00B23F24" w:rsidP="00D1704E">
      <w:pPr>
        <w:pStyle w:val="a6"/>
        <w:numPr>
          <w:ilvl w:val="0"/>
          <w:numId w:val="33"/>
        </w:numPr>
        <w:suppressAutoHyphens/>
        <w:spacing w:after="0" w:line="360" w:lineRule="auto"/>
        <w:ind w:left="0" w:firstLine="357"/>
        <w:jc w:val="both"/>
        <w:rPr>
          <w:rFonts w:ascii="Times New Roman" w:hAnsi="Times New Roman"/>
          <w:sz w:val="28"/>
          <w:szCs w:val="28"/>
          <w:lang w:val="uk-UA"/>
        </w:rPr>
      </w:pPr>
      <w:r>
        <w:rPr>
          <w:rFonts w:ascii="Times New Roman" w:hAnsi="Times New Roman"/>
          <w:sz w:val="28"/>
          <w:szCs w:val="28"/>
          <w:lang w:val="uk-UA"/>
        </w:rPr>
        <w:t xml:space="preserve">Холод Є.С. </w:t>
      </w:r>
      <w:r w:rsidRPr="00950080">
        <w:rPr>
          <w:rFonts w:ascii="Times New Roman" w:hAnsi="Times New Roman"/>
          <w:sz w:val="28"/>
          <w:szCs w:val="28"/>
          <w:lang w:val="uk-UA"/>
        </w:rPr>
        <w:t>Особливості прийняття управлінських рішень при визначенні доцільністю інвестиційного проекту та формування інвестиційної привабливості сільськогосподарських підприємств</w:t>
      </w:r>
      <w:r>
        <w:rPr>
          <w:rFonts w:ascii="Times New Roman" w:hAnsi="Times New Roman"/>
          <w:sz w:val="28"/>
          <w:szCs w:val="28"/>
          <w:lang w:val="uk-UA"/>
        </w:rPr>
        <w:t>. Ефективна економіка. 2026.</w:t>
      </w:r>
      <w:r w:rsidR="00193263">
        <w:rPr>
          <w:rFonts w:ascii="Times New Roman" w:hAnsi="Times New Roman"/>
          <w:sz w:val="28"/>
          <w:szCs w:val="28"/>
          <w:lang w:val="uk-UA"/>
        </w:rPr>
        <w:t xml:space="preserve"> № 1.</w:t>
      </w:r>
      <w:r>
        <w:rPr>
          <w:rFonts w:ascii="Times New Roman" w:hAnsi="Times New Roman"/>
          <w:sz w:val="28"/>
          <w:szCs w:val="28"/>
          <w:lang w:val="uk-UA"/>
        </w:rPr>
        <w:t xml:space="preserve"> </w:t>
      </w:r>
      <w:r w:rsidR="00193263" w:rsidRPr="00193263">
        <w:rPr>
          <w:rFonts w:ascii="Times New Roman" w:hAnsi="Times New Roman"/>
          <w:sz w:val="28"/>
          <w:szCs w:val="28"/>
          <w:lang w:val="uk-UA"/>
        </w:rPr>
        <w:t>URL: https://www.nayka.com.ua/index.php/ee/article/view/8895/9037</w:t>
      </w:r>
    </w:p>
    <w:p w:rsidR="00B23F24" w:rsidRPr="00447A5C" w:rsidRDefault="00B23F24" w:rsidP="00D1704E">
      <w:pPr>
        <w:pStyle w:val="a6"/>
        <w:numPr>
          <w:ilvl w:val="0"/>
          <w:numId w:val="33"/>
        </w:numPr>
        <w:suppressAutoHyphens/>
        <w:spacing w:after="0" w:line="360" w:lineRule="auto"/>
        <w:ind w:left="0" w:firstLine="357"/>
        <w:jc w:val="both"/>
        <w:rPr>
          <w:rFonts w:ascii="Times New Roman" w:hAnsi="Times New Roman"/>
          <w:sz w:val="28"/>
          <w:szCs w:val="28"/>
          <w:lang w:val="uk-UA"/>
        </w:rPr>
      </w:pPr>
      <w:r>
        <w:rPr>
          <w:rFonts w:ascii="Times New Roman" w:hAnsi="Times New Roman"/>
          <w:sz w:val="28"/>
          <w:szCs w:val="28"/>
          <w:lang w:val="uk-UA"/>
        </w:rPr>
        <w:t xml:space="preserve">Холод Є.С. </w:t>
      </w:r>
      <w:r w:rsidRPr="00447A5C">
        <w:rPr>
          <w:rFonts w:ascii="Times New Roman" w:hAnsi="Times New Roman"/>
          <w:sz w:val="28"/>
          <w:szCs w:val="28"/>
          <w:lang w:val="uk-UA"/>
        </w:rPr>
        <w:t>Особливості прийняття управлінських рішень банками при формуванні інвестиційної привабливості сільськогосподарських підприємств</w:t>
      </w:r>
      <w:r>
        <w:rPr>
          <w:rFonts w:ascii="Times New Roman" w:hAnsi="Times New Roman"/>
          <w:sz w:val="28"/>
          <w:szCs w:val="28"/>
          <w:lang w:val="uk-UA"/>
        </w:rPr>
        <w:t xml:space="preserve">. Інвестиції: практика та досвід. 2026. </w:t>
      </w:r>
      <w:r w:rsidR="008A7B5E">
        <w:rPr>
          <w:rFonts w:ascii="Times New Roman" w:hAnsi="Times New Roman"/>
          <w:sz w:val="28"/>
          <w:szCs w:val="28"/>
          <w:lang w:val="uk-UA"/>
        </w:rPr>
        <w:t>№ 1. С. 213-216.</w:t>
      </w:r>
    </w:p>
    <w:p w:rsidR="00141608" w:rsidRDefault="00141608" w:rsidP="00D1704E">
      <w:pPr>
        <w:spacing w:after="0" w:line="360" w:lineRule="auto"/>
        <w:jc w:val="center"/>
        <w:rPr>
          <w:rFonts w:ascii="Times New Roman" w:eastAsia="Times New Roman" w:hAnsi="Times New Roman"/>
          <w:b/>
          <w:bCs/>
          <w:iCs/>
          <w:sz w:val="28"/>
          <w:szCs w:val="28"/>
          <w:lang w:val="uk-UA" w:eastAsia="uk-UA"/>
        </w:rPr>
      </w:pPr>
      <w:bookmarkStart w:id="0" w:name="_Hlk180550004"/>
      <w:bookmarkEnd w:id="0"/>
    </w:p>
    <w:p w:rsidR="008A7B5E" w:rsidRPr="008A7B5E" w:rsidRDefault="008A7B5E" w:rsidP="00D1704E">
      <w:pPr>
        <w:spacing w:after="0" w:line="360" w:lineRule="auto"/>
        <w:jc w:val="center"/>
        <w:rPr>
          <w:rFonts w:ascii="Times New Roman" w:eastAsia="Times New Roman" w:hAnsi="Times New Roman"/>
          <w:b/>
          <w:bCs/>
          <w:iCs/>
          <w:sz w:val="28"/>
          <w:szCs w:val="28"/>
          <w:lang w:val="uk-UA" w:eastAsia="uk-UA"/>
        </w:rPr>
      </w:pPr>
      <w:r w:rsidRPr="008A7B5E">
        <w:rPr>
          <w:rFonts w:ascii="Times New Roman" w:eastAsia="Times New Roman" w:hAnsi="Times New Roman"/>
          <w:b/>
          <w:bCs/>
          <w:iCs/>
          <w:sz w:val="28"/>
          <w:szCs w:val="28"/>
          <w:lang w:val="uk-UA" w:eastAsia="uk-UA"/>
        </w:rPr>
        <w:t>Наукові праці, які засвідчують апробацію матеріалів дисертації:</w:t>
      </w:r>
    </w:p>
    <w:p w:rsidR="0037158C" w:rsidRDefault="008A7B5E" w:rsidP="00D1704E">
      <w:pPr>
        <w:spacing w:after="0" w:line="360" w:lineRule="auto"/>
        <w:jc w:val="center"/>
        <w:rPr>
          <w:rFonts w:ascii="Times New Roman" w:eastAsia="Times New Roman" w:hAnsi="Times New Roman"/>
          <w:b/>
          <w:bCs/>
          <w:i/>
          <w:iCs/>
          <w:sz w:val="28"/>
          <w:szCs w:val="28"/>
          <w:lang w:val="uk-UA" w:eastAsia="uk-UA"/>
        </w:rPr>
      </w:pPr>
      <w:r>
        <w:rPr>
          <w:rFonts w:ascii="Times New Roman" w:eastAsia="Times New Roman" w:hAnsi="Times New Roman"/>
          <w:b/>
          <w:bCs/>
          <w:i/>
          <w:iCs/>
          <w:sz w:val="28"/>
          <w:szCs w:val="28"/>
          <w:lang w:val="uk-UA" w:eastAsia="uk-UA"/>
        </w:rPr>
        <w:t>Розділ у колективній монографії:</w:t>
      </w:r>
    </w:p>
    <w:p w:rsidR="008A7B5E" w:rsidRPr="001600A6" w:rsidRDefault="008A7B5E" w:rsidP="00D1704E">
      <w:pPr>
        <w:pStyle w:val="a6"/>
        <w:numPr>
          <w:ilvl w:val="0"/>
          <w:numId w:val="33"/>
        </w:numPr>
        <w:suppressAutoHyphens/>
        <w:spacing w:after="0" w:line="360" w:lineRule="auto"/>
        <w:ind w:left="0" w:firstLine="357"/>
        <w:jc w:val="both"/>
        <w:rPr>
          <w:rStyle w:val="rynqvb"/>
          <w:rFonts w:ascii="Times New Roman" w:hAnsi="Times New Roman"/>
          <w:sz w:val="28"/>
          <w:szCs w:val="28"/>
          <w:lang w:val="uk-UA"/>
        </w:rPr>
      </w:pPr>
      <w:r>
        <w:rPr>
          <w:rFonts w:ascii="Times New Roman" w:hAnsi="Times New Roman"/>
          <w:sz w:val="28"/>
          <w:szCs w:val="28"/>
          <w:lang w:val="uk-UA"/>
        </w:rPr>
        <w:t>Холод Є.С.</w:t>
      </w:r>
      <w:r w:rsidRPr="003332B7">
        <w:rPr>
          <w:rFonts w:ascii="Times New Roman" w:hAnsi="Times New Roman"/>
          <w:sz w:val="28"/>
          <w:szCs w:val="28"/>
          <w:lang w:val="uk-UA"/>
        </w:rPr>
        <w:t xml:space="preserve"> Вплив сутності інвестиційного процесу на формування інвестиційної привабливості підприємств.</w:t>
      </w:r>
      <w:r w:rsidRPr="003332B7">
        <w:t xml:space="preserve"> </w:t>
      </w:r>
      <w:r w:rsidRPr="003332B7">
        <w:rPr>
          <w:rStyle w:val="rynqvb"/>
          <w:rFonts w:ascii="Times New Roman" w:hAnsi="Times New Roman"/>
          <w:sz w:val="28"/>
          <w:szCs w:val="28"/>
          <w:lang w:val="uk-UA"/>
        </w:rPr>
        <w:t>Міждисциплінарні дослідження в галузі науки, інновацій та суспільного розвитку</w:t>
      </w:r>
      <w:r w:rsidRPr="00B45D79">
        <w:rPr>
          <w:rStyle w:val="rynqvb"/>
          <w:rFonts w:ascii="Times New Roman" w:hAnsi="Times New Roman"/>
          <w:sz w:val="28"/>
          <w:szCs w:val="28"/>
          <w:lang w:val="uk-UA"/>
        </w:rPr>
        <w:t>. Вип. 3. Монографія. Прага: Publishing house Education and Science s.r.o., 2026.</w:t>
      </w:r>
      <w:r w:rsidRPr="003332B7">
        <w:rPr>
          <w:rStyle w:val="rynqvb"/>
          <w:rFonts w:ascii="Times New Roman" w:hAnsi="Times New Roman"/>
          <w:sz w:val="28"/>
          <w:szCs w:val="28"/>
          <w:lang w:val="en-US"/>
        </w:rPr>
        <w:t xml:space="preserve"> </w:t>
      </w:r>
      <w:r w:rsidRPr="00B45D79">
        <w:rPr>
          <w:rStyle w:val="rynqvb"/>
          <w:rFonts w:ascii="Times New Roman" w:hAnsi="Times New Roman"/>
          <w:sz w:val="28"/>
          <w:szCs w:val="28"/>
        </w:rPr>
        <w:t>С. 2</w:t>
      </w:r>
      <w:r>
        <w:rPr>
          <w:rStyle w:val="rynqvb"/>
          <w:rFonts w:ascii="Times New Roman" w:hAnsi="Times New Roman"/>
          <w:sz w:val="28"/>
          <w:szCs w:val="28"/>
          <w:lang w:val="uk-UA"/>
        </w:rPr>
        <w:t>7</w:t>
      </w:r>
      <w:r w:rsidRPr="00B45D79">
        <w:rPr>
          <w:rStyle w:val="rynqvb"/>
          <w:rFonts w:ascii="Times New Roman" w:hAnsi="Times New Roman"/>
          <w:sz w:val="28"/>
          <w:szCs w:val="28"/>
        </w:rPr>
        <w:t>8-2</w:t>
      </w:r>
      <w:r>
        <w:rPr>
          <w:rStyle w:val="rynqvb"/>
          <w:rFonts w:ascii="Times New Roman" w:hAnsi="Times New Roman"/>
          <w:sz w:val="28"/>
          <w:szCs w:val="28"/>
          <w:lang w:val="uk-UA"/>
        </w:rPr>
        <w:t>80</w:t>
      </w:r>
      <w:r w:rsidRPr="00B45D79">
        <w:rPr>
          <w:rStyle w:val="rynqvb"/>
          <w:rFonts w:ascii="Times New Roman" w:hAnsi="Times New Roman"/>
          <w:sz w:val="28"/>
          <w:szCs w:val="28"/>
        </w:rPr>
        <w:t>.</w:t>
      </w:r>
    </w:p>
    <w:p w:rsidR="008A7B5E" w:rsidRDefault="008A7B5E" w:rsidP="00D1704E">
      <w:pPr>
        <w:spacing w:after="0" w:line="360" w:lineRule="auto"/>
        <w:jc w:val="center"/>
        <w:rPr>
          <w:rFonts w:ascii="Times New Roman" w:eastAsia="Times New Roman" w:hAnsi="Times New Roman"/>
          <w:b/>
          <w:bCs/>
          <w:i/>
          <w:iCs/>
          <w:sz w:val="28"/>
          <w:szCs w:val="28"/>
          <w:lang w:val="uk-UA" w:eastAsia="uk-UA"/>
        </w:rPr>
      </w:pPr>
      <w:r>
        <w:rPr>
          <w:rFonts w:ascii="Times New Roman" w:eastAsia="Times New Roman" w:hAnsi="Times New Roman"/>
          <w:b/>
          <w:bCs/>
          <w:i/>
          <w:iCs/>
          <w:sz w:val="28"/>
          <w:szCs w:val="28"/>
          <w:lang w:val="uk-UA" w:eastAsia="uk-UA"/>
        </w:rPr>
        <w:t>Стаття у іноземному періодичному виданні</w:t>
      </w:r>
      <w:r w:rsidR="00E9336A">
        <w:rPr>
          <w:rFonts w:ascii="Times New Roman" w:eastAsia="Times New Roman" w:hAnsi="Times New Roman"/>
          <w:b/>
          <w:bCs/>
          <w:i/>
          <w:iCs/>
          <w:sz w:val="28"/>
          <w:szCs w:val="28"/>
          <w:lang w:val="uk-UA" w:eastAsia="uk-UA"/>
        </w:rPr>
        <w:t xml:space="preserve"> ЄС</w:t>
      </w:r>
      <w:r>
        <w:rPr>
          <w:rFonts w:ascii="Times New Roman" w:eastAsia="Times New Roman" w:hAnsi="Times New Roman"/>
          <w:b/>
          <w:bCs/>
          <w:i/>
          <w:iCs/>
          <w:sz w:val="28"/>
          <w:szCs w:val="28"/>
          <w:lang w:val="uk-UA" w:eastAsia="uk-UA"/>
        </w:rPr>
        <w:t>:</w:t>
      </w:r>
    </w:p>
    <w:p w:rsidR="008A7B5E" w:rsidRPr="00387BA4" w:rsidRDefault="008A7B5E" w:rsidP="00D1704E">
      <w:pPr>
        <w:pStyle w:val="a6"/>
        <w:numPr>
          <w:ilvl w:val="0"/>
          <w:numId w:val="33"/>
        </w:numPr>
        <w:suppressAutoHyphens/>
        <w:spacing w:after="0" w:line="360" w:lineRule="auto"/>
        <w:ind w:left="0" w:firstLine="357"/>
        <w:jc w:val="both"/>
        <w:rPr>
          <w:rStyle w:val="rynqvb"/>
          <w:rFonts w:ascii="Times New Roman" w:hAnsi="Times New Roman"/>
          <w:sz w:val="28"/>
          <w:szCs w:val="28"/>
          <w:lang w:val="uk-UA"/>
        </w:rPr>
      </w:pPr>
      <w:r w:rsidRPr="008A7B5E">
        <w:rPr>
          <w:rStyle w:val="rynqvb"/>
          <w:rFonts w:ascii="Times New Roman" w:hAnsi="Times New Roman"/>
          <w:sz w:val="28"/>
          <w:szCs w:val="28"/>
          <w:lang w:val="uk-UA"/>
        </w:rPr>
        <w:t xml:space="preserve">Горбатюк Л., Холод Є. Прийняття рішень за умов ризику при формуванні інвестиційної привабливості підприємств. </w:t>
      </w:r>
      <w:hyperlink r:id="rId9" w:history="1">
        <w:r w:rsidRPr="00387BA4">
          <w:rPr>
            <w:rStyle w:val="rynqvb"/>
            <w:rFonts w:ascii="Times New Roman" w:hAnsi="Times New Roman"/>
            <w:sz w:val="28"/>
            <w:szCs w:val="28"/>
          </w:rPr>
          <w:t>Stredoevropsky</w:t>
        </w:r>
        <w:r w:rsidRPr="008A7B5E">
          <w:rPr>
            <w:rStyle w:val="rynqvb"/>
            <w:rFonts w:ascii="Times New Roman" w:hAnsi="Times New Roman"/>
            <w:sz w:val="28"/>
            <w:szCs w:val="28"/>
            <w:lang w:val="uk-UA"/>
          </w:rPr>
          <w:t xml:space="preserve"> </w:t>
        </w:r>
        <w:r w:rsidRPr="00387BA4">
          <w:rPr>
            <w:rStyle w:val="rynqvb"/>
            <w:rFonts w:ascii="Times New Roman" w:hAnsi="Times New Roman"/>
            <w:sz w:val="28"/>
            <w:szCs w:val="28"/>
          </w:rPr>
          <w:t>vestnik</w:t>
        </w:r>
        <w:r w:rsidRPr="008A7B5E">
          <w:rPr>
            <w:rStyle w:val="rynqvb"/>
            <w:rFonts w:ascii="Times New Roman" w:hAnsi="Times New Roman"/>
            <w:sz w:val="28"/>
            <w:szCs w:val="28"/>
            <w:lang w:val="uk-UA"/>
          </w:rPr>
          <w:t xml:space="preserve"> </w:t>
        </w:r>
        <w:r w:rsidRPr="00387BA4">
          <w:rPr>
            <w:rStyle w:val="rynqvb"/>
            <w:rFonts w:ascii="Times New Roman" w:hAnsi="Times New Roman"/>
            <w:sz w:val="28"/>
            <w:szCs w:val="28"/>
          </w:rPr>
          <w:t>pro</w:t>
        </w:r>
        <w:r w:rsidRPr="008A7B5E">
          <w:rPr>
            <w:rStyle w:val="rynqvb"/>
            <w:rFonts w:ascii="Times New Roman" w:hAnsi="Times New Roman"/>
            <w:sz w:val="28"/>
            <w:szCs w:val="28"/>
            <w:lang w:val="uk-UA"/>
          </w:rPr>
          <w:t xml:space="preserve"> </w:t>
        </w:r>
        <w:r w:rsidRPr="00387BA4">
          <w:rPr>
            <w:rStyle w:val="rynqvb"/>
            <w:rFonts w:ascii="Times New Roman" w:hAnsi="Times New Roman"/>
            <w:sz w:val="28"/>
            <w:szCs w:val="28"/>
          </w:rPr>
          <w:t>vedu</w:t>
        </w:r>
        <w:r w:rsidRPr="008A7B5E">
          <w:rPr>
            <w:rStyle w:val="rynqvb"/>
            <w:rFonts w:ascii="Times New Roman" w:hAnsi="Times New Roman"/>
            <w:sz w:val="28"/>
            <w:szCs w:val="28"/>
            <w:lang w:val="uk-UA"/>
          </w:rPr>
          <w:t xml:space="preserve"> а </w:t>
        </w:r>
        <w:r w:rsidRPr="00387BA4">
          <w:rPr>
            <w:rStyle w:val="rynqvb"/>
            <w:rFonts w:ascii="Times New Roman" w:hAnsi="Times New Roman"/>
            <w:sz w:val="28"/>
            <w:szCs w:val="28"/>
          </w:rPr>
          <w:t>vyzkum</w:t>
        </w:r>
      </w:hyperlink>
      <w:r w:rsidRPr="008A7B5E">
        <w:rPr>
          <w:rStyle w:val="rynqvb"/>
          <w:rFonts w:ascii="Times New Roman" w:hAnsi="Times New Roman"/>
          <w:sz w:val="28"/>
          <w:szCs w:val="28"/>
          <w:lang w:val="uk-UA"/>
        </w:rPr>
        <w:t xml:space="preserve">. 2026. </w:t>
      </w:r>
      <w:r w:rsidRPr="00387BA4">
        <w:rPr>
          <w:rStyle w:val="rynqvb"/>
          <w:rFonts w:ascii="Times New Roman" w:hAnsi="Times New Roman"/>
          <w:sz w:val="28"/>
          <w:szCs w:val="28"/>
        </w:rPr>
        <w:t xml:space="preserve">№ 1. Т. 1. С. 180-186. </w:t>
      </w:r>
      <w:r w:rsidRPr="00387BA4">
        <w:rPr>
          <w:rStyle w:val="rynqvb"/>
          <w:rFonts w:ascii="Times New Roman" w:hAnsi="Times New Roman"/>
          <w:i/>
          <w:sz w:val="28"/>
          <w:szCs w:val="28"/>
        </w:rPr>
        <w:t xml:space="preserve">Особистий внесок: </w:t>
      </w:r>
      <w:r w:rsidRPr="00387BA4">
        <w:rPr>
          <w:rStyle w:val="rynqvb"/>
          <w:rFonts w:ascii="Times New Roman" w:hAnsi="Times New Roman"/>
          <w:i/>
          <w:sz w:val="28"/>
          <w:szCs w:val="28"/>
          <w:lang w:val="uk-UA"/>
        </w:rPr>
        <w:t>апропоновано комплексну систему показників для оцінки «якості» акціонерів та менеджменту. Окреслено вимоги до інформаційно-аналітичного забезпечення процесу прийняття рішень з метою зменшення агентських витрат та підвищення ефективності інвестування.</w:t>
      </w:r>
    </w:p>
    <w:p w:rsidR="00B23F24" w:rsidRPr="00B23F24" w:rsidRDefault="00B23F24" w:rsidP="00D1704E">
      <w:pPr>
        <w:spacing w:after="0" w:line="360" w:lineRule="auto"/>
        <w:jc w:val="center"/>
        <w:rPr>
          <w:rFonts w:ascii="Times New Roman" w:eastAsia="Times New Roman" w:hAnsi="Times New Roman"/>
          <w:b/>
          <w:bCs/>
          <w:i/>
          <w:iCs/>
          <w:sz w:val="28"/>
          <w:szCs w:val="28"/>
          <w:lang w:val="uk-UA" w:eastAsia="uk-UA"/>
        </w:rPr>
      </w:pPr>
      <w:r w:rsidRPr="00B23F24">
        <w:rPr>
          <w:rFonts w:ascii="Times New Roman" w:eastAsia="Times New Roman" w:hAnsi="Times New Roman"/>
          <w:b/>
          <w:bCs/>
          <w:i/>
          <w:iCs/>
          <w:sz w:val="28"/>
          <w:szCs w:val="28"/>
          <w:lang w:val="uk-UA" w:eastAsia="uk-UA"/>
        </w:rPr>
        <w:t>Тези конференцій</w:t>
      </w:r>
    </w:p>
    <w:p w:rsidR="00B23F24" w:rsidRDefault="00B23F24" w:rsidP="00D1704E">
      <w:pPr>
        <w:pStyle w:val="a6"/>
        <w:numPr>
          <w:ilvl w:val="0"/>
          <w:numId w:val="33"/>
        </w:numPr>
        <w:suppressAutoHyphens/>
        <w:spacing w:after="0" w:line="360" w:lineRule="auto"/>
        <w:ind w:left="0" w:firstLine="357"/>
        <w:jc w:val="both"/>
        <w:rPr>
          <w:rFonts w:ascii="Times New Roman" w:hAnsi="Times New Roman"/>
          <w:sz w:val="28"/>
          <w:szCs w:val="28"/>
          <w:lang w:val="uk-UA"/>
        </w:rPr>
      </w:pPr>
      <w:r>
        <w:rPr>
          <w:rFonts w:ascii="Times New Roman" w:hAnsi="Times New Roman"/>
          <w:sz w:val="28"/>
          <w:szCs w:val="28"/>
          <w:lang w:val="uk-UA"/>
        </w:rPr>
        <w:t xml:space="preserve">Холод Є.С. </w:t>
      </w:r>
      <w:r w:rsidRPr="00800B06">
        <w:rPr>
          <w:rFonts w:ascii="Times New Roman" w:hAnsi="Times New Roman"/>
          <w:sz w:val="28"/>
          <w:szCs w:val="28"/>
          <w:lang w:val="uk-UA"/>
        </w:rPr>
        <w:t>Обґрунтування вибору можливих варіантів формування інвестиційної привабливості підприємств.</w:t>
      </w:r>
      <w:r w:rsidRPr="00F471CF">
        <w:rPr>
          <w:rFonts w:ascii="Times New Roman" w:hAnsi="Times New Roman"/>
          <w:sz w:val="28"/>
          <w:szCs w:val="28"/>
          <w:lang w:val="uk-UA"/>
        </w:rPr>
        <w:t xml:space="preserve"> Global Scientific Horizons 2026: </w:t>
      </w:r>
      <w:r w:rsidRPr="00F471CF">
        <w:rPr>
          <w:rFonts w:ascii="Times New Roman" w:hAnsi="Times New Roman"/>
          <w:sz w:val="28"/>
          <w:szCs w:val="28"/>
          <w:lang w:val="uk-UA"/>
        </w:rPr>
        <w:lastRenderedPageBreak/>
        <w:t>International Conference on Research, Innovation and Interdisciplinary Development. Proceedings of International Scientific and Practical Conference. January 21, 2026 in Charles University, Prague, Czech Republic. Prague: Publishing house Education and Science s.r.o., 2026.</w:t>
      </w:r>
      <w:r>
        <w:rPr>
          <w:rFonts w:ascii="Times New Roman" w:hAnsi="Times New Roman"/>
          <w:sz w:val="28"/>
          <w:szCs w:val="28"/>
          <w:lang w:val="uk-UA"/>
        </w:rPr>
        <w:t xml:space="preserve"> </w:t>
      </w:r>
      <w:r w:rsidRPr="00AB1703">
        <w:rPr>
          <w:rFonts w:ascii="Times New Roman" w:hAnsi="Times New Roman"/>
          <w:sz w:val="28"/>
          <w:szCs w:val="28"/>
          <w:lang w:val="uk-UA"/>
        </w:rPr>
        <w:t>С.</w:t>
      </w:r>
      <w:r>
        <w:rPr>
          <w:rFonts w:ascii="Times New Roman" w:hAnsi="Times New Roman"/>
          <w:sz w:val="28"/>
          <w:szCs w:val="28"/>
          <w:lang w:val="uk-UA"/>
        </w:rPr>
        <w:t xml:space="preserve"> 44-47.</w:t>
      </w:r>
    </w:p>
    <w:p w:rsidR="00E12ED3" w:rsidRPr="002E6843" w:rsidRDefault="002E6843" w:rsidP="00D1704E">
      <w:pPr>
        <w:pStyle w:val="a6"/>
        <w:numPr>
          <w:ilvl w:val="0"/>
          <w:numId w:val="33"/>
        </w:numPr>
        <w:suppressAutoHyphens/>
        <w:spacing w:after="0" w:line="360" w:lineRule="auto"/>
        <w:ind w:left="0" w:firstLine="357"/>
        <w:jc w:val="both"/>
        <w:rPr>
          <w:rFonts w:ascii="Times New Roman" w:eastAsia="Times New Roman" w:hAnsi="Times New Roman"/>
          <w:b/>
          <w:bCs/>
          <w:color w:val="000000"/>
          <w:sz w:val="28"/>
          <w:szCs w:val="28"/>
          <w:lang w:val="uk-UA" w:eastAsia="uk-UA"/>
        </w:rPr>
      </w:pPr>
      <w:r w:rsidRPr="002E6843">
        <w:rPr>
          <w:rFonts w:ascii="Times New Roman" w:hAnsi="Times New Roman"/>
          <w:sz w:val="28"/>
          <w:szCs w:val="28"/>
          <w:lang w:val="uk-UA"/>
        </w:rPr>
        <w:t>Холод Є.С. Вартісно-орієнтоване управління у функціонально-економічному механізмі підвищення інвестиційної привабливості сільськогосподарських підприємств. Interdisciplinary Horizons of Knowledge: Science, Society, Technology and Sustainable Futures. Proceedings of International Scientific and Practical Conference. October 1, 2026 in Hainan Tropical Ocean University (HTOU), Hainan, China. Prague: Publishing house Education and Science s.r.o., 2026. С. 88–92. URL: https://phes.com.ua/files/conferences/Zbirnyk_Hainan_01-10-2026.pdf</w:t>
      </w:r>
      <w:r w:rsidR="00E12ED3" w:rsidRPr="002E6843">
        <w:rPr>
          <w:rFonts w:ascii="Times New Roman" w:eastAsia="Times New Roman" w:hAnsi="Times New Roman"/>
          <w:b/>
          <w:bCs/>
          <w:color w:val="000000"/>
          <w:sz w:val="28"/>
          <w:szCs w:val="28"/>
          <w:lang w:val="uk-UA" w:eastAsia="uk-UA"/>
        </w:rPr>
        <w:br w:type="page"/>
      </w:r>
    </w:p>
    <w:p w:rsidR="00EB7644" w:rsidRDefault="00EB7644" w:rsidP="00EB7644">
      <w:pPr>
        <w:jc w:val="center"/>
        <w:rPr>
          <w:rFonts w:ascii="Times New Roman" w:eastAsia="Times New Roman" w:hAnsi="Times New Roman"/>
          <w:b/>
          <w:bCs/>
          <w:color w:val="000000"/>
          <w:sz w:val="28"/>
          <w:szCs w:val="28"/>
          <w:lang w:val="uk-UA" w:eastAsia="uk-UA"/>
        </w:rPr>
      </w:pPr>
      <w:r w:rsidRPr="00D23BEF">
        <w:rPr>
          <w:rFonts w:ascii="Times New Roman" w:eastAsia="Times New Roman" w:hAnsi="Times New Roman"/>
          <w:b/>
          <w:bCs/>
          <w:color w:val="000000"/>
          <w:sz w:val="28"/>
          <w:szCs w:val="28"/>
          <w:lang w:val="uk-UA" w:eastAsia="uk-UA"/>
        </w:rPr>
        <w:lastRenderedPageBreak/>
        <w:t>ЗМІСТ</w:t>
      </w:r>
    </w:p>
    <w:p w:rsidR="00D1704E" w:rsidRDefault="00D1704E" w:rsidP="00EB7644">
      <w:pPr>
        <w:jc w:val="center"/>
        <w:rPr>
          <w:rFonts w:ascii="Times New Roman" w:eastAsia="Times New Roman" w:hAnsi="Times New Roman"/>
          <w:b/>
          <w:bCs/>
          <w:color w:val="000000"/>
          <w:sz w:val="28"/>
          <w:szCs w:val="28"/>
          <w:lang w:val="uk-UA" w:eastAsia="uk-UA"/>
        </w:rPr>
      </w:pPr>
    </w:p>
    <w:p w:rsidR="00D1704E" w:rsidRDefault="00D1704E" w:rsidP="00EB7644">
      <w:pPr>
        <w:jc w:val="center"/>
        <w:rPr>
          <w:rFonts w:ascii="Times New Roman" w:eastAsia="Times New Roman" w:hAnsi="Times New Roman"/>
          <w:b/>
          <w:bCs/>
          <w:color w:val="000000"/>
          <w:sz w:val="28"/>
          <w:szCs w:val="28"/>
          <w:lang w:val="uk-UA" w:eastAsia="uk-UA"/>
        </w:rPr>
      </w:pPr>
    </w:p>
    <w:tbl>
      <w:tblPr>
        <w:tblW w:w="9355" w:type="dxa"/>
        <w:tblLook w:val="04A0" w:firstRow="1" w:lastRow="0" w:firstColumn="1" w:lastColumn="0" w:noHBand="0" w:noVBand="1"/>
      </w:tblPr>
      <w:tblGrid>
        <w:gridCol w:w="8505"/>
        <w:gridCol w:w="850"/>
      </w:tblGrid>
      <w:tr w:rsidR="00C5528D" w:rsidRPr="00C1019F" w:rsidTr="00FC3719">
        <w:tc>
          <w:tcPr>
            <w:tcW w:w="8505" w:type="dxa"/>
          </w:tcPr>
          <w:p w:rsidR="00C5528D" w:rsidRPr="00C5528D" w:rsidRDefault="00C5528D" w:rsidP="00D1704E">
            <w:pPr>
              <w:spacing w:after="0" w:line="360" w:lineRule="auto"/>
              <w:jc w:val="both"/>
              <w:rPr>
                <w:rFonts w:ascii="Times New Roman" w:eastAsia="Times New Roman" w:hAnsi="Times New Roman"/>
                <w:sz w:val="28"/>
                <w:szCs w:val="28"/>
                <w:lang w:val="uk-UA" w:eastAsia="ru-RU"/>
              </w:rPr>
            </w:pPr>
            <w:r w:rsidRPr="00C5528D">
              <w:rPr>
                <w:rFonts w:ascii="Times New Roman" w:eastAsia="Times New Roman" w:hAnsi="Times New Roman"/>
                <w:sz w:val="28"/>
                <w:szCs w:val="28"/>
                <w:lang w:val="uk-UA" w:eastAsia="ru-RU"/>
              </w:rPr>
              <w:t>Вступ</w:t>
            </w:r>
          </w:p>
        </w:tc>
        <w:tc>
          <w:tcPr>
            <w:tcW w:w="850" w:type="dxa"/>
            <w:shd w:val="clear" w:color="auto" w:fill="auto"/>
            <w:vAlign w:val="bottom"/>
          </w:tcPr>
          <w:p w:rsidR="00C5528D" w:rsidRPr="00154AA6" w:rsidRDefault="00C5528D" w:rsidP="00D1704E">
            <w:pPr>
              <w:spacing w:after="0" w:line="360" w:lineRule="auto"/>
              <w:jc w:val="center"/>
              <w:rPr>
                <w:rFonts w:ascii="Times New Roman" w:eastAsia="Times New Roman" w:hAnsi="Times New Roman"/>
                <w:sz w:val="28"/>
                <w:szCs w:val="28"/>
                <w:lang w:val="uk-UA" w:eastAsia="ru-RU"/>
              </w:rPr>
            </w:pPr>
            <w:r w:rsidRPr="00C5528D">
              <w:rPr>
                <w:rFonts w:ascii="Times New Roman" w:eastAsia="Times New Roman" w:hAnsi="Times New Roman"/>
                <w:sz w:val="28"/>
                <w:szCs w:val="28"/>
                <w:lang w:val="en-US" w:eastAsia="ru-RU"/>
              </w:rPr>
              <w:t>15</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lang w:val="uk-UA"/>
              </w:rPr>
            </w:pPr>
            <w:r w:rsidRPr="003C64E3">
              <w:rPr>
                <w:rFonts w:ascii="Times New Roman" w:eastAsia="Times New Roman" w:hAnsi="Times New Roman"/>
                <w:sz w:val="28"/>
                <w:szCs w:val="28"/>
                <w:lang w:val="uk-UA" w:eastAsia="ru-RU"/>
              </w:rPr>
              <w:t xml:space="preserve">РОЗДІЛ 1. ТЕОРЕТИЧНІ </w:t>
            </w:r>
            <w:r w:rsidR="005332E4" w:rsidRPr="003C64E3">
              <w:rPr>
                <w:rFonts w:ascii="Times New Roman" w:eastAsia="Times New Roman" w:hAnsi="Times New Roman"/>
                <w:sz w:val="28"/>
                <w:szCs w:val="28"/>
                <w:lang w:val="uk-UA" w:eastAsia="ru-RU"/>
              </w:rPr>
              <w:t>ЗАСАДИ</w:t>
            </w:r>
            <w:r w:rsidRPr="003C64E3">
              <w:rPr>
                <w:rFonts w:ascii="Times New Roman" w:eastAsia="Times New Roman" w:hAnsi="Times New Roman"/>
                <w:sz w:val="28"/>
                <w:szCs w:val="28"/>
                <w:lang w:val="uk-UA" w:eastAsia="ru-RU"/>
              </w:rPr>
              <w:t xml:space="preserve"> УПРАВЛІННЯ ЕКОНОМІЧНИМ МЕХАНІЗМОМ ІНВЕСТИЦІЙНОЇ ПРИВАБЛИВОСТІ СІЛЬСЬКОГОСПОДАРСЬКИХ</w:t>
            </w:r>
            <w:r w:rsidRPr="003C64E3">
              <w:rPr>
                <w:rStyle w:val="docdata"/>
                <w:rFonts w:ascii="Times New Roman" w:eastAsia="Aptos" w:hAnsi="Times New Roman"/>
                <w:color w:val="000000"/>
                <w:kern w:val="2"/>
                <w:sz w:val="28"/>
                <w:szCs w:val="28"/>
                <w:lang w:val="uk-UA"/>
              </w:rPr>
              <w:t xml:space="preserve"> ПІДПРИЄМСТВ</w:t>
            </w:r>
          </w:p>
        </w:tc>
        <w:tc>
          <w:tcPr>
            <w:tcW w:w="850" w:type="dxa"/>
            <w:shd w:val="clear" w:color="auto" w:fill="auto"/>
            <w:vAlign w:val="bottom"/>
          </w:tcPr>
          <w:p w:rsidR="00C5528D" w:rsidRPr="00C5528D" w:rsidRDefault="00C5528D" w:rsidP="00D1704E">
            <w:pPr>
              <w:spacing w:after="0" w:line="360" w:lineRule="auto"/>
              <w:jc w:val="center"/>
              <w:rPr>
                <w:rFonts w:ascii="Times New Roman" w:eastAsia="Times New Roman" w:hAnsi="Times New Roman"/>
                <w:sz w:val="28"/>
                <w:szCs w:val="28"/>
                <w:lang w:val="en-US" w:eastAsia="ru-RU"/>
              </w:rPr>
            </w:pPr>
            <w:r w:rsidRPr="00C5528D">
              <w:rPr>
                <w:rFonts w:ascii="Times New Roman" w:eastAsia="Times New Roman" w:hAnsi="Times New Roman"/>
                <w:sz w:val="28"/>
                <w:szCs w:val="28"/>
                <w:lang w:val="en-US" w:eastAsia="ru-RU"/>
              </w:rPr>
              <w:t>26</w:t>
            </w:r>
          </w:p>
        </w:tc>
      </w:tr>
      <w:tr w:rsidR="00C5528D" w:rsidRPr="00C1019F" w:rsidTr="00FC3719">
        <w:tc>
          <w:tcPr>
            <w:tcW w:w="8505" w:type="dxa"/>
          </w:tcPr>
          <w:p w:rsidR="00C5528D" w:rsidRPr="003C64E3" w:rsidRDefault="00C5528D" w:rsidP="00D1704E">
            <w:pPr>
              <w:pStyle w:val="a6"/>
              <w:spacing w:after="0" w:line="360" w:lineRule="auto"/>
              <w:ind w:left="0"/>
              <w:contextualSpacing w:val="0"/>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 xml:space="preserve">1.1. Сутність еволюції поглядів </w:t>
            </w:r>
            <w:r w:rsidR="005332E4" w:rsidRPr="003C64E3">
              <w:rPr>
                <w:rStyle w:val="docdata"/>
                <w:rFonts w:ascii="Times New Roman" w:eastAsia="Aptos" w:hAnsi="Times New Roman"/>
                <w:color w:val="000000"/>
                <w:kern w:val="2"/>
                <w:sz w:val="28"/>
                <w:szCs w:val="28"/>
                <w:lang w:val="uk-UA"/>
              </w:rPr>
              <w:t xml:space="preserve">на </w:t>
            </w:r>
            <w:r w:rsidRPr="003C64E3">
              <w:rPr>
                <w:rStyle w:val="docdata"/>
                <w:rFonts w:ascii="Times New Roman" w:eastAsia="Aptos" w:hAnsi="Times New Roman"/>
                <w:color w:val="000000"/>
                <w:kern w:val="2"/>
                <w:sz w:val="28"/>
                <w:szCs w:val="28"/>
                <w:lang w:val="uk-UA"/>
              </w:rPr>
              <w:t>розвит</w:t>
            </w:r>
            <w:r w:rsidR="005332E4" w:rsidRPr="003C64E3">
              <w:rPr>
                <w:rStyle w:val="docdata"/>
                <w:rFonts w:ascii="Times New Roman" w:eastAsia="Aptos" w:hAnsi="Times New Roman"/>
                <w:color w:val="000000"/>
                <w:kern w:val="2"/>
                <w:sz w:val="28"/>
                <w:szCs w:val="28"/>
                <w:lang w:val="uk-UA"/>
              </w:rPr>
              <w:t>о</w:t>
            </w:r>
            <w:r w:rsidRPr="003C64E3">
              <w:rPr>
                <w:rStyle w:val="docdata"/>
                <w:rFonts w:ascii="Times New Roman" w:eastAsia="Aptos" w:hAnsi="Times New Roman"/>
                <w:color w:val="000000"/>
                <w:kern w:val="2"/>
                <w:sz w:val="28"/>
                <w:szCs w:val="28"/>
                <w:lang w:val="uk-UA"/>
              </w:rPr>
              <w:t>к інвестиційної привабливості сільськогосподарських підприємств</w:t>
            </w:r>
          </w:p>
        </w:tc>
        <w:tc>
          <w:tcPr>
            <w:tcW w:w="850" w:type="dxa"/>
            <w:shd w:val="clear" w:color="auto" w:fill="auto"/>
            <w:vAlign w:val="bottom"/>
          </w:tcPr>
          <w:p w:rsidR="00C5528D" w:rsidRPr="00C5528D" w:rsidRDefault="00C5528D" w:rsidP="00D1704E">
            <w:pPr>
              <w:pStyle w:val="a6"/>
              <w:spacing w:after="0" w:line="360" w:lineRule="auto"/>
              <w:ind w:left="0"/>
              <w:contextualSpacing w:val="0"/>
              <w:jc w:val="center"/>
              <w:rPr>
                <w:rFonts w:ascii="Times New Roman" w:eastAsia="Times New Roman" w:hAnsi="Times New Roman"/>
                <w:sz w:val="28"/>
                <w:szCs w:val="28"/>
                <w:lang w:val="en-US" w:eastAsia="ru-RU"/>
              </w:rPr>
            </w:pPr>
            <w:r w:rsidRPr="00C5528D">
              <w:rPr>
                <w:rFonts w:ascii="Times New Roman" w:eastAsia="Times New Roman" w:hAnsi="Times New Roman"/>
                <w:sz w:val="28"/>
                <w:szCs w:val="28"/>
                <w:lang w:val="en-US" w:eastAsia="ru-RU"/>
              </w:rPr>
              <w:t>26</w:t>
            </w:r>
          </w:p>
        </w:tc>
      </w:tr>
      <w:tr w:rsidR="00C5528D" w:rsidRPr="00C1019F" w:rsidTr="00FC3719">
        <w:tc>
          <w:tcPr>
            <w:tcW w:w="8505" w:type="dxa"/>
          </w:tcPr>
          <w:p w:rsidR="00C5528D" w:rsidRPr="003C64E3" w:rsidRDefault="00C5528D" w:rsidP="00D1704E">
            <w:pPr>
              <w:widowControl w:val="0"/>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1.2. Особливості прийняття управлінських рішень для формування інвестиційної привабливості підприємств та використання основних інвестиційних інструментів інвестором</w:t>
            </w:r>
          </w:p>
        </w:tc>
        <w:tc>
          <w:tcPr>
            <w:tcW w:w="850" w:type="dxa"/>
            <w:shd w:val="clear" w:color="auto" w:fill="auto"/>
            <w:vAlign w:val="bottom"/>
          </w:tcPr>
          <w:p w:rsidR="00C5528D" w:rsidRPr="00C5528D" w:rsidRDefault="000F5E2E" w:rsidP="00D1704E">
            <w:pPr>
              <w:widowControl w:val="0"/>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48</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 xml:space="preserve">1.3. </w:t>
            </w:r>
            <w:r w:rsidRPr="003C64E3">
              <w:rPr>
                <w:rStyle w:val="docdata"/>
                <w:rFonts w:ascii="Times New Roman" w:eastAsia="Aptos" w:hAnsi="Times New Roman"/>
                <w:color w:val="000000"/>
                <w:kern w:val="2"/>
                <w:sz w:val="28"/>
                <w:szCs w:val="28"/>
              </w:rPr>
              <w:t>Когнітивне моделювання розвитку інвестиційної привабливості сільськогосподарських підприємств</w:t>
            </w:r>
          </w:p>
        </w:tc>
        <w:tc>
          <w:tcPr>
            <w:tcW w:w="850" w:type="dxa"/>
            <w:shd w:val="clear" w:color="auto" w:fill="auto"/>
            <w:vAlign w:val="bottom"/>
          </w:tcPr>
          <w:p w:rsidR="00C5528D" w:rsidRPr="00C5528D" w:rsidRDefault="00616D87"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67</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Висновки до першого розділу</w:t>
            </w:r>
          </w:p>
        </w:tc>
        <w:tc>
          <w:tcPr>
            <w:tcW w:w="850" w:type="dxa"/>
            <w:shd w:val="clear" w:color="auto" w:fill="auto"/>
            <w:vAlign w:val="bottom"/>
          </w:tcPr>
          <w:p w:rsidR="00C5528D" w:rsidRPr="00C5528D" w:rsidRDefault="002F389C"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87</w:t>
            </w:r>
          </w:p>
        </w:tc>
      </w:tr>
      <w:tr w:rsidR="00C5528D" w:rsidRPr="0076457F" w:rsidTr="00FC3719">
        <w:tc>
          <w:tcPr>
            <w:tcW w:w="8505" w:type="dxa"/>
          </w:tcPr>
          <w:p w:rsidR="00C5528D" w:rsidRPr="003C64E3" w:rsidRDefault="00C5528D" w:rsidP="00D1704E">
            <w:pPr>
              <w:pStyle w:val="4"/>
              <w:spacing w:before="0" w:after="0" w:line="360" w:lineRule="auto"/>
              <w:jc w:val="both"/>
              <w:rPr>
                <w:rStyle w:val="docdata"/>
                <w:rFonts w:ascii="Times New Roman" w:eastAsia="Aptos" w:hAnsi="Times New Roman"/>
                <w:b w:val="0"/>
                <w:bCs w:val="0"/>
                <w:color w:val="000000"/>
                <w:kern w:val="2"/>
                <w:lang w:val="uk-UA"/>
              </w:rPr>
            </w:pPr>
            <w:r w:rsidRPr="003C64E3">
              <w:rPr>
                <w:rStyle w:val="docdata"/>
                <w:rFonts w:ascii="Times New Roman" w:eastAsia="Aptos" w:hAnsi="Times New Roman"/>
                <w:b w:val="0"/>
                <w:bCs w:val="0"/>
                <w:color w:val="000000"/>
                <w:kern w:val="2"/>
                <w:lang w:val="uk-UA"/>
              </w:rPr>
              <w:t>РОЗДІЛ 2. АНАЛІТИЧНЕ ОЦІНЮВАННЯ ТА ДІАГНОСТИКА ІНВЕСТИЦІЙНОЇ ПРИВАБЛИВОСТІ СІЛЬСЬКОГОСПОДАРСЬКИХ ПІДПРИЄМСТВ</w:t>
            </w:r>
          </w:p>
        </w:tc>
        <w:tc>
          <w:tcPr>
            <w:tcW w:w="850" w:type="dxa"/>
            <w:shd w:val="clear" w:color="auto" w:fill="auto"/>
            <w:vAlign w:val="bottom"/>
          </w:tcPr>
          <w:p w:rsidR="00C5528D" w:rsidRPr="00C5528D" w:rsidRDefault="00616D87"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91</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 xml:space="preserve">2.1.Тенденції розвитку аграрного сектору та інвестиційного середовища України </w:t>
            </w:r>
          </w:p>
        </w:tc>
        <w:tc>
          <w:tcPr>
            <w:tcW w:w="850" w:type="dxa"/>
            <w:shd w:val="clear" w:color="auto" w:fill="auto"/>
            <w:vAlign w:val="bottom"/>
          </w:tcPr>
          <w:p w:rsidR="00C5528D" w:rsidRPr="00C5528D" w:rsidRDefault="00616D87" w:rsidP="00D1704E">
            <w:pPr>
              <w:tabs>
                <w:tab w:val="left" w:pos="1863"/>
              </w:tabs>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91</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2.2.Комплексний аналіз результативності та фінансово-економічного стану сільськогосподарських підприємств</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104</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2.3.</w:t>
            </w:r>
            <w:r w:rsidRPr="003C64E3">
              <w:rPr>
                <w:rStyle w:val="docdata"/>
                <w:rFonts w:ascii="Times New Roman" w:eastAsia="Aptos" w:hAnsi="Times New Roman"/>
                <w:kern w:val="2"/>
                <w:sz w:val="28"/>
                <w:szCs w:val="28"/>
              </w:rPr>
              <w:t xml:space="preserve"> Ідентифікація методичного підходу до оцінювання інвестиційної привабливості сільськогосподарських підприємств</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124</w:t>
            </w:r>
          </w:p>
        </w:tc>
      </w:tr>
      <w:tr w:rsidR="00C5528D" w:rsidRPr="00C1019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Висновки до другого розділу</w:t>
            </w:r>
          </w:p>
        </w:tc>
        <w:tc>
          <w:tcPr>
            <w:tcW w:w="850" w:type="dxa"/>
            <w:shd w:val="clear" w:color="auto" w:fill="auto"/>
            <w:vAlign w:val="bottom"/>
          </w:tcPr>
          <w:p w:rsidR="00C5528D" w:rsidRPr="00C5528D" w:rsidRDefault="000F5E2E" w:rsidP="00C92370">
            <w:pPr>
              <w:spacing w:after="0"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14</w:t>
            </w:r>
            <w:r w:rsidR="00C92370">
              <w:rPr>
                <w:rFonts w:ascii="Times New Roman" w:eastAsia="Times New Roman" w:hAnsi="Times New Roman"/>
                <w:color w:val="000000"/>
                <w:sz w:val="28"/>
                <w:szCs w:val="28"/>
                <w:lang w:val="uk-UA" w:eastAsia="ru-RU"/>
              </w:rPr>
              <w:t>2</w:t>
            </w:r>
          </w:p>
        </w:tc>
      </w:tr>
      <w:tr w:rsidR="00C5528D" w:rsidRPr="0076457F" w:rsidTr="00FC3719">
        <w:tc>
          <w:tcPr>
            <w:tcW w:w="8505" w:type="dxa"/>
          </w:tcPr>
          <w:p w:rsidR="00C5528D" w:rsidRPr="003C64E3" w:rsidRDefault="00C5528D" w:rsidP="00D1704E">
            <w:pPr>
              <w:spacing w:after="0" w:line="360" w:lineRule="auto"/>
              <w:jc w:val="both"/>
              <w:rPr>
                <w:rStyle w:val="docdata"/>
                <w:rFonts w:ascii="Times New Roman" w:eastAsia="Aptos" w:hAnsi="Times New Roman"/>
                <w:color w:val="000000"/>
                <w:kern w:val="2"/>
                <w:sz w:val="28"/>
                <w:szCs w:val="28"/>
                <w:lang w:val="uk-UA"/>
              </w:rPr>
            </w:pPr>
            <w:r w:rsidRPr="003C64E3">
              <w:rPr>
                <w:rStyle w:val="docdata"/>
                <w:rFonts w:ascii="Times New Roman" w:eastAsia="Aptos" w:hAnsi="Times New Roman"/>
                <w:color w:val="000000"/>
                <w:kern w:val="2"/>
                <w:sz w:val="28"/>
                <w:szCs w:val="28"/>
                <w:lang w:val="uk-UA"/>
              </w:rPr>
              <w:t xml:space="preserve">РОЗДІЛ 3. </w:t>
            </w:r>
            <w:r w:rsidR="005332E4" w:rsidRPr="003C64E3">
              <w:rPr>
                <w:rStyle w:val="docdata"/>
                <w:rFonts w:ascii="Times New Roman" w:eastAsia="Aptos" w:hAnsi="Times New Roman"/>
                <w:color w:val="000000"/>
                <w:kern w:val="2"/>
                <w:sz w:val="28"/>
                <w:szCs w:val="28"/>
                <w:lang w:val="uk-UA"/>
              </w:rPr>
              <w:t xml:space="preserve">ШЛЯХИ УДОСКОНАЛЕННЯ </w:t>
            </w:r>
            <w:r w:rsidRPr="003C64E3">
              <w:rPr>
                <w:rStyle w:val="docdata"/>
                <w:rFonts w:ascii="Times New Roman" w:eastAsia="Aptos" w:hAnsi="Times New Roman"/>
                <w:color w:val="000000"/>
                <w:kern w:val="2"/>
                <w:sz w:val="28"/>
                <w:szCs w:val="28"/>
                <w:lang w:val="uk-UA"/>
              </w:rPr>
              <w:t>ЕКОНОМІЧН</w:t>
            </w:r>
            <w:r w:rsidR="005332E4" w:rsidRPr="003C64E3">
              <w:rPr>
                <w:rStyle w:val="docdata"/>
                <w:rFonts w:ascii="Times New Roman" w:eastAsia="Aptos" w:hAnsi="Times New Roman"/>
                <w:color w:val="000000"/>
                <w:kern w:val="2"/>
                <w:sz w:val="28"/>
                <w:szCs w:val="28"/>
                <w:lang w:val="uk-UA"/>
              </w:rPr>
              <w:t>ОГО</w:t>
            </w:r>
            <w:r w:rsidRPr="003C64E3">
              <w:rPr>
                <w:rStyle w:val="docdata"/>
                <w:rFonts w:ascii="Times New Roman" w:eastAsia="Aptos" w:hAnsi="Times New Roman"/>
                <w:color w:val="000000"/>
                <w:kern w:val="2"/>
                <w:sz w:val="28"/>
                <w:szCs w:val="28"/>
                <w:lang w:val="uk-UA"/>
              </w:rPr>
              <w:t xml:space="preserve"> МЕХАНІЗМ</w:t>
            </w:r>
            <w:r w:rsidR="005332E4" w:rsidRPr="003C64E3">
              <w:rPr>
                <w:rStyle w:val="docdata"/>
                <w:rFonts w:ascii="Times New Roman" w:eastAsia="Aptos" w:hAnsi="Times New Roman"/>
                <w:color w:val="000000"/>
                <w:kern w:val="2"/>
                <w:sz w:val="28"/>
                <w:szCs w:val="28"/>
                <w:lang w:val="uk-UA"/>
              </w:rPr>
              <w:t>У</w:t>
            </w:r>
            <w:r w:rsidRPr="003C64E3">
              <w:rPr>
                <w:rStyle w:val="docdata"/>
                <w:rFonts w:ascii="Times New Roman" w:eastAsia="Aptos" w:hAnsi="Times New Roman"/>
                <w:color w:val="000000"/>
                <w:kern w:val="2"/>
                <w:sz w:val="28"/>
                <w:szCs w:val="28"/>
                <w:lang w:val="uk-UA"/>
              </w:rPr>
              <w:t xml:space="preserve"> РОЗВИТКУ ІНВЕСТИЦІЙНОЇ ПРИВАБЛИВОСТІ СІЛЬСЬКОГОСПОДАРСЬКИХ ПІДПРИЄМСТВ</w:t>
            </w:r>
          </w:p>
        </w:tc>
        <w:tc>
          <w:tcPr>
            <w:tcW w:w="850" w:type="dxa"/>
            <w:shd w:val="clear" w:color="auto" w:fill="auto"/>
            <w:vAlign w:val="bottom"/>
          </w:tcPr>
          <w:p w:rsidR="00C5528D" w:rsidRPr="00C5528D" w:rsidRDefault="00C92370" w:rsidP="00D1704E">
            <w:pPr>
              <w:pStyle w:val="4"/>
              <w:spacing w:before="0" w:after="0" w:line="360" w:lineRule="auto"/>
              <w:jc w:val="center"/>
              <w:rPr>
                <w:rFonts w:ascii="Times New Roman" w:hAnsi="Times New Roman"/>
                <w:b w:val="0"/>
                <w:bCs w:val="0"/>
                <w:lang w:val="uk-UA"/>
              </w:rPr>
            </w:pPr>
            <w:r>
              <w:rPr>
                <w:rFonts w:ascii="Times New Roman" w:hAnsi="Times New Roman"/>
                <w:b w:val="0"/>
                <w:bCs w:val="0"/>
                <w:lang w:val="uk-UA"/>
              </w:rPr>
              <w:t>145</w:t>
            </w:r>
          </w:p>
        </w:tc>
      </w:tr>
    </w:tbl>
    <w:p w:rsidR="00D1704E" w:rsidRDefault="00D1704E">
      <w:r>
        <w:br w:type="page"/>
      </w:r>
    </w:p>
    <w:tbl>
      <w:tblPr>
        <w:tblW w:w="9355" w:type="dxa"/>
        <w:tblLook w:val="04A0" w:firstRow="1" w:lastRow="0" w:firstColumn="1" w:lastColumn="0" w:noHBand="0" w:noVBand="1"/>
      </w:tblPr>
      <w:tblGrid>
        <w:gridCol w:w="8505"/>
        <w:gridCol w:w="850"/>
      </w:tblGrid>
      <w:tr w:rsidR="00C5528D" w:rsidRPr="00C1019F" w:rsidTr="00FC3719">
        <w:tc>
          <w:tcPr>
            <w:tcW w:w="8505" w:type="dxa"/>
          </w:tcPr>
          <w:p w:rsidR="00C5528D" w:rsidRPr="00C5528D" w:rsidRDefault="00C5528D" w:rsidP="00D1704E">
            <w:pPr>
              <w:spacing w:line="360" w:lineRule="auto"/>
              <w:jc w:val="both"/>
              <w:rPr>
                <w:rStyle w:val="docdata"/>
                <w:rFonts w:ascii="Times New Roman" w:eastAsia="Aptos" w:hAnsi="Times New Roman"/>
                <w:color w:val="000000"/>
                <w:kern w:val="2"/>
                <w:sz w:val="28"/>
                <w:szCs w:val="28"/>
                <w:lang w:val="uk-UA"/>
              </w:rPr>
            </w:pPr>
            <w:r w:rsidRPr="00C5528D">
              <w:rPr>
                <w:rStyle w:val="docdata"/>
                <w:rFonts w:ascii="Times New Roman" w:eastAsia="Aptos" w:hAnsi="Times New Roman"/>
                <w:color w:val="000000"/>
                <w:kern w:val="2"/>
                <w:sz w:val="28"/>
                <w:szCs w:val="28"/>
                <w:lang w:val="uk-UA"/>
              </w:rPr>
              <w:lastRenderedPageBreak/>
              <w:t>3.1.</w:t>
            </w:r>
            <w:r w:rsidRPr="00C5528D">
              <w:rPr>
                <w:rStyle w:val="docdata"/>
                <w:rFonts w:ascii="Times New Roman" w:eastAsia="Aptos" w:hAnsi="Times New Roman"/>
                <w:kern w:val="2"/>
                <w:sz w:val="28"/>
                <w:szCs w:val="28"/>
              </w:rPr>
              <w:t xml:space="preserve"> Концептуальний підхід до формування економічного механізму розвитку інвестиційної привабливості сільськогосподарських підприємств</w:t>
            </w:r>
          </w:p>
        </w:tc>
        <w:tc>
          <w:tcPr>
            <w:tcW w:w="850" w:type="dxa"/>
            <w:shd w:val="clear" w:color="auto" w:fill="auto"/>
            <w:vAlign w:val="bottom"/>
          </w:tcPr>
          <w:p w:rsidR="00C5528D" w:rsidRPr="00C5528D" w:rsidRDefault="00C92370" w:rsidP="00D1704E">
            <w:pPr>
              <w:pStyle w:val="4"/>
              <w:spacing w:before="0" w:after="0" w:line="360" w:lineRule="auto"/>
              <w:jc w:val="center"/>
              <w:rPr>
                <w:rFonts w:ascii="Times New Roman" w:hAnsi="Times New Roman"/>
                <w:b w:val="0"/>
                <w:bCs w:val="0"/>
                <w:lang w:val="uk-UA"/>
              </w:rPr>
            </w:pPr>
            <w:r>
              <w:rPr>
                <w:rFonts w:ascii="Times New Roman" w:hAnsi="Times New Roman"/>
                <w:b w:val="0"/>
                <w:bCs w:val="0"/>
                <w:lang w:val="uk-UA"/>
              </w:rPr>
              <w:t>145</w:t>
            </w:r>
          </w:p>
        </w:tc>
      </w:tr>
      <w:tr w:rsidR="00C5528D" w:rsidRPr="00C1019F" w:rsidTr="00FC3719">
        <w:tc>
          <w:tcPr>
            <w:tcW w:w="8505" w:type="dxa"/>
          </w:tcPr>
          <w:p w:rsidR="00C5528D" w:rsidRPr="00C5528D" w:rsidRDefault="00C5528D" w:rsidP="00D1704E">
            <w:pPr>
              <w:pStyle w:val="a5"/>
              <w:spacing w:before="0" w:beforeAutospacing="0" w:after="0" w:afterAutospacing="0" w:line="360" w:lineRule="auto"/>
              <w:jc w:val="both"/>
              <w:rPr>
                <w:rStyle w:val="docdata"/>
                <w:rFonts w:eastAsia="Aptos"/>
                <w:color w:val="000000"/>
                <w:kern w:val="2"/>
                <w:sz w:val="28"/>
                <w:szCs w:val="28"/>
                <w:lang w:val="uk-UA" w:eastAsia="en-US"/>
              </w:rPr>
            </w:pPr>
            <w:r w:rsidRPr="00C5528D">
              <w:rPr>
                <w:rStyle w:val="docdata"/>
                <w:rFonts w:eastAsia="Aptos"/>
                <w:color w:val="000000"/>
                <w:kern w:val="2"/>
                <w:sz w:val="28"/>
                <w:szCs w:val="28"/>
                <w:lang w:val="uk-UA" w:eastAsia="en-US"/>
              </w:rPr>
              <w:t>3.2.</w:t>
            </w:r>
            <w:r w:rsidRPr="00C5528D">
              <w:rPr>
                <w:rStyle w:val="docdata"/>
                <w:rFonts w:eastAsia="Aptos"/>
                <w:color w:val="000000"/>
                <w:kern w:val="2"/>
                <w:sz w:val="28"/>
                <w:szCs w:val="28"/>
                <w:lang w:eastAsia="en-US"/>
              </w:rPr>
              <w:t xml:space="preserve"> Матричний підхід до стратегії </w:t>
            </w:r>
            <w:r w:rsidRPr="00C5528D">
              <w:rPr>
                <w:rStyle w:val="docdata"/>
                <w:rFonts w:eastAsia="Aptos"/>
                <w:kern w:val="2"/>
                <w:sz w:val="28"/>
                <w:szCs w:val="28"/>
                <w:lang w:eastAsia="en-US"/>
              </w:rPr>
              <w:t>формування економічного механізму розвитку інвестиційної привабливості сільськогосподарських підприємств</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160</w:t>
            </w:r>
          </w:p>
        </w:tc>
      </w:tr>
      <w:tr w:rsidR="00C5528D" w:rsidRPr="00C1019F" w:rsidTr="00FC3719">
        <w:tc>
          <w:tcPr>
            <w:tcW w:w="8505" w:type="dxa"/>
          </w:tcPr>
          <w:p w:rsidR="00C5528D" w:rsidRPr="00C5528D" w:rsidRDefault="00C5528D" w:rsidP="00D1704E">
            <w:pPr>
              <w:spacing w:line="360" w:lineRule="auto"/>
              <w:jc w:val="both"/>
              <w:rPr>
                <w:rStyle w:val="docdata"/>
                <w:rFonts w:ascii="Times New Roman" w:eastAsia="Aptos" w:hAnsi="Times New Roman"/>
                <w:color w:val="000000"/>
                <w:kern w:val="2"/>
                <w:sz w:val="28"/>
                <w:szCs w:val="28"/>
                <w:lang w:val="uk-UA"/>
              </w:rPr>
            </w:pPr>
            <w:r w:rsidRPr="00C5528D">
              <w:rPr>
                <w:rStyle w:val="docdata"/>
                <w:rFonts w:ascii="Times New Roman" w:eastAsia="Aptos" w:hAnsi="Times New Roman"/>
                <w:color w:val="000000"/>
                <w:kern w:val="2"/>
                <w:sz w:val="28"/>
                <w:szCs w:val="28"/>
                <w:lang w:val="uk-UA"/>
              </w:rPr>
              <w:t>3.3.</w:t>
            </w:r>
            <w:r w:rsidRPr="00C5528D">
              <w:rPr>
                <w:rStyle w:val="docdata"/>
                <w:rFonts w:ascii="Times New Roman" w:eastAsia="Aptos" w:hAnsi="Times New Roman"/>
                <w:kern w:val="2"/>
                <w:sz w:val="28"/>
                <w:szCs w:val="28"/>
              </w:rPr>
              <w:t xml:space="preserve"> Функціонально –</w:t>
            </w:r>
            <w:r>
              <w:rPr>
                <w:rStyle w:val="docdata"/>
                <w:rFonts w:ascii="Times New Roman" w:eastAsia="Aptos" w:hAnsi="Times New Roman"/>
                <w:kern w:val="2"/>
                <w:sz w:val="28"/>
                <w:szCs w:val="28"/>
                <w:lang w:val="uk-UA"/>
              </w:rPr>
              <w:t xml:space="preserve"> </w:t>
            </w:r>
            <w:r w:rsidRPr="00C5528D">
              <w:rPr>
                <w:rStyle w:val="docdata"/>
                <w:rFonts w:ascii="Times New Roman" w:eastAsia="Aptos" w:hAnsi="Times New Roman"/>
                <w:kern w:val="2"/>
                <w:sz w:val="28"/>
                <w:szCs w:val="28"/>
              </w:rPr>
              <w:t>економічний механізм підвищення інвестиційної привабливості сільськогосподарських підприємств</w:t>
            </w:r>
            <w:r w:rsidRPr="00C5528D">
              <w:rPr>
                <w:rStyle w:val="docdata"/>
                <w:rFonts w:ascii="Times New Roman" w:eastAsia="Aptos" w:hAnsi="Times New Roman"/>
                <w:color w:val="000000"/>
                <w:kern w:val="2"/>
                <w:sz w:val="28"/>
                <w:szCs w:val="28"/>
              </w:rPr>
              <w:t xml:space="preserve"> </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175</w:t>
            </w:r>
          </w:p>
        </w:tc>
      </w:tr>
      <w:tr w:rsidR="00C5528D" w:rsidRPr="00C1019F" w:rsidTr="00FC3719">
        <w:tc>
          <w:tcPr>
            <w:tcW w:w="8505" w:type="dxa"/>
          </w:tcPr>
          <w:p w:rsidR="00C5528D" w:rsidRPr="00C5528D" w:rsidRDefault="00C5528D" w:rsidP="00D1704E">
            <w:pPr>
              <w:spacing w:after="0" w:line="360" w:lineRule="auto"/>
              <w:rPr>
                <w:rStyle w:val="docdata"/>
                <w:rFonts w:ascii="Times New Roman" w:eastAsia="Aptos" w:hAnsi="Times New Roman"/>
                <w:color w:val="000000"/>
                <w:kern w:val="2"/>
                <w:sz w:val="28"/>
                <w:szCs w:val="28"/>
                <w:lang w:val="uk-UA"/>
              </w:rPr>
            </w:pPr>
            <w:r w:rsidRPr="00C5528D">
              <w:rPr>
                <w:rStyle w:val="docdata"/>
                <w:rFonts w:ascii="Times New Roman" w:eastAsia="Aptos" w:hAnsi="Times New Roman"/>
                <w:color w:val="000000"/>
                <w:kern w:val="2"/>
                <w:sz w:val="28"/>
                <w:szCs w:val="28"/>
                <w:lang w:val="uk-UA"/>
              </w:rPr>
              <w:t>Висновки до третього розділу</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193</w:t>
            </w:r>
          </w:p>
        </w:tc>
      </w:tr>
      <w:tr w:rsidR="00C5528D" w:rsidRPr="00C1019F" w:rsidTr="00FC3719">
        <w:tc>
          <w:tcPr>
            <w:tcW w:w="8505" w:type="dxa"/>
          </w:tcPr>
          <w:p w:rsidR="00C5528D" w:rsidRPr="00C5528D" w:rsidRDefault="00C5528D" w:rsidP="00D1704E">
            <w:pPr>
              <w:spacing w:after="0" w:line="360" w:lineRule="auto"/>
              <w:rPr>
                <w:rStyle w:val="docdata"/>
                <w:rFonts w:ascii="Times New Roman" w:eastAsia="Aptos" w:hAnsi="Times New Roman"/>
                <w:color w:val="000000"/>
                <w:kern w:val="2"/>
                <w:sz w:val="28"/>
                <w:szCs w:val="28"/>
                <w:lang w:val="uk-UA"/>
              </w:rPr>
            </w:pPr>
            <w:r w:rsidRPr="00C5528D">
              <w:rPr>
                <w:rStyle w:val="docdata"/>
                <w:rFonts w:ascii="Times New Roman" w:eastAsia="Aptos" w:hAnsi="Times New Roman"/>
                <w:color w:val="000000"/>
                <w:kern w:val="2"/>
                <w:sz w:val="28"/>
                <w:szCs w:val="28"/>
                <w:lang w:val="uk-UA"/>
              </w:rPr>
              <w:t>ВИСНОВКИ</w:t>
            </w:r>
          </w:p>
        </w:tc>
        <w:tc>
          <w:tcPr>
            <w:tcW w:w="850" w:type="dxa"/>
            <w:shd w:val="clear" w:color="auto" w:fill="auto"/>
            <w:vAlign w:val="bottom"/>
          </w:tcPr>
          <w:p w:rsidR="00C5528D" w:rsidRPr="00C5528D" w:rsidRDefault="00C92370" w:rsidP="00D1704E">
            <w:pPr>
              <w:spacing w:after="0"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196</w:t>
            </w:r>
          </w:p>
        </w:tc>
      </w:tr>
      <w:tr w:rsidR="0056221B" w:rsidRPr="00C1019F" w:rsidTr="005670E0">
        <w:tc>
          <w:tcPr>
            <w:tcW w:w="8505" w:type="dxa"/>
          </w:tcPr>
          <w:p w:rsidR="0056221B" w:rsidRPr="0076457F" w:rsidRDefault="0056221B" w:rsidP="00D1704E">
            <w:pPr>
              <w:spacing w:after="0" w:line="360" w:lineRule="auto"/>
              <w:rPr>
                <w:rStyle w:val="docdata"/>
                <w:rFonts w:ascii="Times New Roman" w:eastAsia="Aptos" w:hAnsi="Times New Roman"/>
                <w:kern w:val="2"/>
                <w:sz w:val="28"/>
                <w:szCs w:val="28"/>
              </w:rPr>
            </w:pPr>
            <w:r w:rsidRPr="0076457F">
              <w:rPr>
                <w:rStyle w:val="docdata"/>
                <w:rFonts w:ascii="Times New Roman" w:eastAsia="Aptos" w:hAnsi="Times New Roman"/>
                <w:kern w:val="2"/>
                <w:sz w:val="28"/>
                <w:szCs w:val="28"/>
              </w:rPr>
              <w:t>СПИСОК ВИКОРИСТАНИХ ДЖЕРЕЛ</w:t>
            </w:r>
          </w:p>
        </w:tc>
        <w:tc>
          <w:tcPr>
            <w:tcW w:w="850" w:type="dxa"/>
            <w:shd w:val="clear" w:color="auto" w:fill="auto"/>
            <w:vAlign w:val="bottom"/>
          </w:tcPr>
          <w:p w:rsidR="0056221B" w:rsidRPr="000367EA" w:rsidRDefault="00C92370" w:rsidP="00D1704E">
            <w:pPr>
              <w:spacing w:after="0"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200</w:t>
            </w:r>
          </w:p>
        </w:tc>
      </w:tr>
      <w:tr w:rsidR="00C5528D" w:rsidRPr="00C1019F" w:rsidTr="00FC3719">
        <w:tc>
          <w:tcPr>
            <w:tcW w:w="8505" w:type="dxa"/>
          </w:tcPr>
          <w:p w:rsidR="00C5528D" w:rsidRPr="0056221B" w:rsidRDefault="0056221B" w:rsidP="00D1704E">
            <w:pPr>
              <w:spacing w:after="0" w:line="360" w:lineRule="auto"/>
              <w:rPr>
                <w:rStyle w:val="docdata"/>
                <w:rFonts w:ascii="Times New Roman" w:eastAsia="Aptos" w:hAnsi="Times New Roman"/>
                <w:kern w:val="2"/>
                <w:sz w:val="28"/>
                <w:szCs w:val="28"/>
                <w:lang w:val="uk-UA"/>
              </w:rPr>
            </w:pPr>
            <w:r>
              <w:rPr>
                <w:rStyle w:val="docdata"/>
                <w:rFonts w:ascii="Times New Roman" w:eastAsia="Aptos" w:hAnsi="Times New Roman"/>
                <w:kern w:val="2"/>
                <w:sz w:val="28"/>
                <w:szCs w:val="28"/>
                <w:lang w:val="uk-UA"/>
              </w:rPr>
              <w:t>ДОДАТКИ</w:t>
            </w:r>
          </w:p>
        </w:tc>
        <w:tc>
          <w:tcPr>
            <w:tcW w:w="850" w:type="dxa"/>
            <w:shd w:val="clear" w:color="auto" w:fill="auto"/>
            <w:vAlign w:val="bottom"/>
          </w:tcPr>
          <w:p w:rsidR="00C5528D" w:rsidRPr="000367EA" w:rsidRDefault="00C92370" w:rsidP="00D1704E">
            <w:pPr>
              <w:spacing w:after="0" w:line="360" w:lineRule="auto"/>
              <w:jc w:val="center"/>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222</w:t>
            </w:r>
            <w:bookmarkStart w:id="1" w:name="_GoBack"/>
            <w:bookmarkEnd w:id="1"/>
          </w:p>
        </w:tc>
      </w:tr>
    </w:tbl>
    <w:p w:rsidR="00EB7644" w:rsidRDefault="00EB7644" w:rsidP="00766D37">
      <w:pPr>
        <w:spacing w:after="0" w:line="360" w:lineRule="auto"/>
        <w:ind w:firstLine="709"/>
        <w:jc w:val="center"/>
        <w:rPr>
          <w:rStyle w:val="docdata"/>
          <w:rFonts w:ascii="Times New Roman" w:hAnsi="Times New Roman"/>
          <w:b/>
          <w:color w:val="000000"/>
          <w:sz w:val="28"/>
          <w:szCs w:val="28"/>
          <w:lang w:val="uk-UA"/>
        </w:rPr>
      </w:pPr>
    </w:p>
    <w:p w:rsidR="00E12ED3" w:rsidRPr="00816B36" w:rsidRDefault="00EB7644" w:rsidP="00E12ED3">
      <w:pPr>
        <w:jc w:val="center"/>
        <w:rPr>
          <w:rFonts w:ascii="Times New Roman" w:eastAsia="Aptos" w:hAnsi="Times New Roman"/>
          <w:b/>
          <w:kern w:val="2"/>
          <w:sz w:val="28"/>
          <w:szCs w:val="28"/>
          <w:lang w:val="uk-UA"/>
        </w:rPr>
      </w:pPr>
      <w:r>
        <w:rPr>
          <w:rStyle w:val="docdata"/>
          <w:rFonts w:ascii="Times New Roman" w:hAnsi="Times New Roman"/>
          <w:b/>
          <w:color w:val="000000"/>
          <w:sz w:val="28"/>
          <w:szCs w:val="28"/>
          <w:lang w:val="uk-UA"/>
        </w:rPr>
        <w:br w:type="page"/>
      </w:r>
      <w:r w:rsidR="00E12ED3" w:rsidRPr="00816B36">
        <w:rPr>
          <w:rFonts w:ascii="Times New Roman" w:eastAsia="Aptos" w:hAnsi="Times New Roman"/>
          <w:b/>
          <w:kern w:val="2"/>
          <w:sz w:val="28"/>
          <w:szCs w:val="28"/>
          <w:lang w:val="uk-UA"/>
        </w:rPr>
        <w:lastRenderedPageBreak/>
        <w:t>ВСТУП</w:t>
      </w:r>
    </w:p>
    <w:p w:rsidR="00E12ED3" w:rsidRPr="00816B36" w:rsidRDefault="00E12ED3" w:rsidP="00E12ED3">
      <w:pPr>
        <w:spacing w:after="0" w:line="360" w:lineRule="auto"/>
        <w:ind w:firstLine="709"/>
        <w:jc w:val="both"/>
        <w:rPr>
          <w:rFonts w:ascii="Times New Roman" w:eastAsia="Aptos" w:hAnsi="Times New Roman"/>
          <w:b/>
          <w:bCs/>
          <w:kern w:val="2"/>
          <w:sz w:val="28"/>
          <w:szCs w:val="28"/>
          <w:lang w:val="uk-UA"/>
        </w:rPr>
      </w:pPr>
    </w:p>
    <w:p w:rsidR="005849B8" w:rsidRDefault="00E12ED3" w:rsidP="00957323">
      <w:pPr>
        <w:spacing w:after="0" w:line="360" w:lineRule="auto"/>
        <w:ind w:firstLine="709"/>
        <w:jc w:val="both"/>
        <w:rPr>
          <w:rFonts w:ascii="Times New Roman" w:eastAsia="Aptos" w:hAnsi="Times New Roman"/>
          <w:kern w:val="2"/>
          <w:sz w:val="28"/>
          <w:szCs w:val="28"/>
          <w:lang w:val="uk-UA"/>
        </w:rPr>
      </w:pPr>
      <w:r w:rsidRPr="00816B36">
        <w:rPr>
          <w:rFonts w:ascii="Times New Roman" w:eastAsia="Aptos" w:hAnsi="Times New Roman"/>
          <w:b/>
          <w:bCs/>
          <w:kern w:val="2"/>
          <w:sz w:val="28"/>
          <w:szCs w:val="28"/>
          <w:lang w:val="uk-UA"/>
        </w:rPr>
        <w:t>Актуальність теми.</w:t>
      </w:r>
      <w:r w:rsidRPr="00816B36">
        <w:rPr>
          <w:rFonts w:ascii="Times New Roman" w:eastAsia="Aptos" w:hAnsi="Times New Roman"/>
          <w:kern w:val="2"/>
          <w:sz w:val="28"/>
          <w:szCs w:val="28"/>
          <w:lang w:val="uk-UA"/>
        </w:rPr>
        <w:t xml:space="preserve"> </w:t>
      </w:r>
      <w:r w:rsidR="005849B8">
        <w:rPr>
          <w:rFonts w:ascii="Times New Roman" w:eastAsia="Aptos" w:hAnsi="Times New Roman"/>
          <w:kern w:val="2"/>
          <w:sz w:val="28"/>
          <w:szCs w:val="28"/>
          <w:lang w:val="uk-UA"/>
        </w:rPr>
        <w:t xml:space="preserve"> </w:t>
      </w:r>
      <w:r w:rsidR="00957323" w:rsidRPr="00957323">
        <w:rPr>
          <w:rFonts w:ascii="Times New Roman" w:eastAsia="Aptos" w:hAnsi="Times New Roman"/>
          <w:kern w:val="2"/>
          <w:sz w:val="28"/>
          <w:szCs w:val="28"/>
          <w:lang w:val="uk-UA"/>
        </w:rPr>
        <w:t xml:space="preserve">Нині внаслідок системної кризи сформувався комплекс об'єктивних передумов удосконалення </w:t>
      </w:r>
      <w:r w:rsidR="005849B8" w:rsidRPr="001878F2">
        <w:rPr>
          <w:rStyle w:val="docdata"/>
          <w:rFonts w:ascii="Times New Roman" w:hAnsi="Times New Roman"/>
          <w:color w:val="000000"/>
          <w:sz w:val="28"/>
          <w:szCs w:val="28"/>
          <w:lang w:val="uk-UA"/>
        </w:rPr>
        <w:t>розвитку інвестиційної привабливості сільськогосподарських підприємств</w:t>
      </w:r>
      <w:r w:rsidR="00957323" w:rsidRPr="00957323">
        <w:rPr>
          <w:rFonts w:ascii="Times New Roman" w:eastAsia="Aptos" w:hAnsi="Times New Roman"/>
          <w:kern w:val="2"/>
          <w:sz w:val="28"/>
          <w:szCs w:val="28"/>
          <w:lang w:val="uk-UA"/>
        </w:rPr>
        <w:t xml:space="preserve">. Падіння курсу </w:t>
      </w:r>
      <w:r w:rsidR="005849B8">
        <w:rPr>
          <w:rFonts w:ascii="Times New Roman" w:eastAsia="Aptos" w:hAnsi="Times New Roman"/>
          <w:kern w:val="2"/>
          <w:sz w:val="28"/>
          <w:szCs w:val="28"/>
          <w:lang w:val="uk-UA"/>
        </w:rPr>
        <w:t>гривні</w:t>
      </w:r>
      <w:r w:rsidR="00957323" w:rsidRPr="00957323">
        <w:rPr>
          <w:rFonts w:ascii="Times New Roman" w:eastAsia="Aptos" w:hAnsi="Times New Roman"/>
          <w:kern w:val="2"/>
          <w:sz w:val="28"/>
          <w:szCs w:val="28"/>
          <w:lang w:val="uk-UA"/>
        </w:rPr>
        <w:t xml:space="preserve"> до іноземних валют призвело до різкого подорожчання імпорту продовольства та сільськогосподарської продукції, і створилися умови для вигідного розміщення інвестицій у сільське господарство </w:t>
      </w:r>
      <w:r w:rsidR="005849B8">
        <w:rPr>
          <w:rFonts w:ascii="Times New Roman" w:eastAsia="Aptos" w:hAnsi="Times New Roman"/>
          <w:kern w:val="2"/>
          <w:sz w:val="28"/>
          <w:szCs w:val="28"/>
          <w:lang w:val="uk-UA"/>
        </w:rPr>
        <w:t>України</w:t>
      </w:r>
      <w:r w:rsidR="00957323" w:rsidRPr="00957323">
        <w:rPr>
          <w:rFonts w:ascii="Times New Roman" w:eastAsia="Aptos" w:hAnsi="Times New Roman"/>
          <w:kern w:val="2"/>
          <w:sz w:val="28"/>
          <w:szCs w:val="28"/>
          <w:lang w:val="uk-UA"/>
        </w:rPr>
        <w:t xml:space="preserve">. Відповідно стимулювання інвестицій, зокрема іноземних, у сільськогосподарське і переробне виробництво </w:t>
      </w:r>
      <w:r w:rsidR="005849B8">
        <w:rPr>
          <w:rFonts w:ascii="Times New Roman" w:eastAsia="Aptos" w:hAnsi="Times New Roman"/>
          <w:kern w:val="2"/>
          <w:sz w:val="28"/>
          <w:szCs w:val="28"/>
          <w:lang w:val="uk-UA"/>
        </w:rPr>
        <w:t>України</w:t>
      </w:r>
      <w:r w:rsidR="00957323" w:rsidRPr="00957323">
        <w:rPr>
          <w:rFonts w:ascii="Times New Roman" w:eastAsia="Aptos" w:hAnsi="Times New Roman"/>
          <w:kern w:val="2"/>
          <w:sz w:val="28"/>
          <w:szCs w:val="28"/>
          <w:lang w:val="uk-UA"/>
        </w:rPr>
        <w:t xml:space="preserve"> стало життєво важливим і актуальним.</w:t>
      </w:r>
      <w:r w:rsidR="005849B8">
        <w:rPr>
          <w:rFonts w:ascii="Times New Roman" w:eastAsia="Aptos" w:hAnsi="Times New Roman"/>
          <w:kern w:val="2"/>
          <w:sz w:val="28"/>
          <w:szCs w:val="28"/>
          <w:lang w:val="uk-UA"/>
        </w:rPr>
        <w:t xml:space="preserve"> </w:t>
      </w:r>
      <w:r w:rsidR="00957323" w:rsidRPr="00957323">
        <w:rPr>
          <w:rFonts w:ascii="Times New Roman" w:eastAsia="Aptos" w:hAnsi="Times New Roman"/>
          <w:kern w:val="2"/>
          <w:sz w:val="28"/>
          <w:szCs w:val="28"/>
          <w:lang w:val="uk-UA"/>
        </w:rPr>
        <w:t xml:space="preserve">Ринковий механізм фінансування інвестицій дозволив сформувати нові канали залучення та використання фінансових ресурсів, забезпечив збільшення обсягів портфельних та прямих </w:t>
      </w:r>
      <w:r w:rsidR="005849B8">
        <w:rPr>
          <w:rFonts w:ascii="Times New Roman" w:eastAsia="Aptos" w:hAnsi="Times New Roman"/>
          <w:kern w:val="2"/>
          <w:sz w:val="28"/>
          <w:szCs w:val="28"/>
          <w:lang w:val="uk-UA"/>
        </w:rPr>
        <w:t>українських</w:t>
      </w:r>
      <w:r w:rsidR="00957323" w:rsidRPr="00957323">
        <w:rPr>
          <w:rFonts w:ascii="Times New Roman" w:eastAsia="Aptos" w:hAnsi="Times New Roman"/>
          <w:kern w:val="2"/>
          <w:sz w:val="28"/>
          <w:szCs w:val="28"/>
          <w:lang w:val="uk-UA"/>
        </w:rPr>
        <w:t xml:space="preserve"> та зарубіжних інвестицій.</w:t>
      </w:r>
      <w:r w:rsidR="005849B8">
        <w:rPr>
          <w:rFonts w:ascii="Times New Roman" w:eastAsia="Aptos" w:hAnsi="Times New Roman"/>
          <w:kern w:val="2"/>
          <w:sz w:val="28"/>
          <w:szCs w:val="28"/>
          <w:lang w:val="uk-UA"/>
        </w:rPr>
        <w:t xml:space="preserve"> </w:t>
      </w:r>
      <w:r w:rsidR="00957323" w:rsidRPr="00957323">
        <w:rPr>
          <w:rFonts w:ascii="Times New Roman" w:eastAsia="Aptos" w:hAnsi="Times New Roman"/>
          <w:kern w:val="2"/>
          <w:sz w:val="28"/>
          <w:szCs w:val="28"/>
          <w:lang w:val="uk-UA"/>
        </w:rPr>
        <w:t xml:space="preserve">Ключовим чинником виходу сільського господарства </w:t>
      </w:r>
      <w:r w:rsidR="005849B8">
        <w:rPr>
          <w:rFonts w:ascii="Times New Roman" w:eastAsia="Aptos" w:hAnsi="Times New Roman"/>
          <w:kern w:val="2"/>
          <w:sz w:val="28"/>
          <w:szCs w:val="28"/>
          <w:lang w:val="uk-UA"/>
        </w:rPr>
        <w:t xml:space="preserve">України </w:t>
      </w:r>
      <w:r w:rsidR="00957323" w:rsidRPr="00957323">
        <w:rPr>
          <w:rFonts w:ascii="Times New Roman" w:eastAsia="Aptos" w:hAnsi="Times New Roman"/>
          <w:kern w:val="2"/>
          <w:sz w:val="28"/>
          <w:szCs w:val="28"/>
          <w:lang w:val="uk-UA"/>
        </w:rPr>
        <w:t>із кризи у середньостроковій та довгостроковій перспективах має стати підвищення ефективності виробництва, яке неможливе без впровадження нових технологій, що базуються на оновленій та сучас</w:t>
      </w:r>
      <w:r w:rsidR="004009DE">
        <w:rPr>
          <w:rFonts w:ascii="Times New Roman" w:eastAsia="Aptos" w:hAnsi="Times New Roman"/>
          <w:kern w:val="2"/>
          <w:sz w:val="28"/>
          <w:szCs w:val="28"/>
          <w:lang w:val="uk-UA"/>
        </w:rPr>
        <w:t>ній матеріально-технічній базі.</w:t>
      </w:r>
    </w:p>
    <w:p w:rsidR="005849B8" w:rsidRPr="004009DE" w:rsidRDefault="00957323" w:rsidP="00E577D5">
      <w:pPr>
        <w:spacing w:after="0" w:line="360" w:lineRule="auto"/>
        <w:ind w:firstLine="709"/>
        <w:jc w:val="both"/>
        <w:rPr>
          <w:rFonts w:ascii="Times New Roman" w:eastAsia="Aptos" w:hAnsi="Times New Roman"/>
          <w:kern w:val="2"/>
          <w:sz w:val="28"/>
          <w:szCs w:val="28"/>
          <w:lang w:val="uk-UA"/>
        </w:rPr>
      </w:pPr>
      <w:r w:rsidRPr="00957323">
        <w:rPr>
          <w:rFonts w:ascii="Times New Roman" w:eastAsia="Aptos" w:hAnsi="Times New Roman"/>
          <w:kern w:val="2"/>
          <w:sz w:val="28"/>
          <w:szCs w:val="28"/>
          <w:lang w:val="uk-UA"/>
        </w:rPr>
        <w:t xml:space="preserve">У зв'язку з цим удосконалення </w:t>
      </w:r>
      <w:r w:rsidR="005849B8" w:rsidRPr="001878F2">
        <w:rPr>
          <w:rStyle w:val="docdata"/>
          <w:rFonts w:ascii="Times New Roman" w:hAnsi="Times New Roman"/>
          <w:color w:val="000000"/>
          <w:sz w:val="28"/>
          <w:szCs w:val="28"/>
          <w:lang w:val="uk-UA"/>
        </w:rPr>
        <w:t>економічного механізму розвитку інвестиційної привабливості сільськогосподарських підприємств</w:t>
      </w:r>
      <w:r w:rsidRPr="00957323">
        <w:rPr>
          <w:rFonts w:ascii="Times New Roman" w:eastAsia="Aptos" w:hAnsi="Times New Roman"/>
          <w:kern w:val="2"/>
          <w:sz w:val="28"/>
          <w:szCs w:val="28"/>
          <w:lang w:val="uk-UA"/>
        </w:rPr>
        <w:t>, стимулювання інвестиційної діяльності та зростання інвестиційного потенціалу сільськогосподарських організацій забезпечать сприятливі умови для розвитку агробізнесу. Фактором, який стримує зростання інвестицій у сільське господарство, є високий фінансовий ризик через низьку ефективність виробництва, коливань кон'юнктури агроринку, фінансову нестабільність сільськогосподарс</w:t>
      </w:r>
      <w:r w:rsidR="004009DE">
        <w:rPr>
          <w:rFonts w:ascii="Times New Roman" w:eastAsia="Aptos" w:hAnsi="Times New Roman"/>
          <w:kern w:val="2"/>
          <w:sz w:val="28"/>
          <w:szCs w:val="28"/>
          <w:lang w:val="uk-UA"/>
        </w:rPr>
        <w:t>ьких та переробних організацій.</w:t>
      </w:r>
    </w:p>
    <w:p w:rsidR="00E577D5" w:rsidRDefault="00711E9F" w:rsidP="00E577D5">
      <w:pPr>
        <w:spacing w:after="0" w:line="360" w:lineRule="auto"/>
        <w:ind w:firstLine="709"/>
        <w:jc w:val="both"/>
        <w:rPr>
          <w:rFonts w:ascii="Times New Roman" w:eastAsia="Aptos" w:hAnsi="Times New Roman"/>
          <w:kern w:val="2"/>
          <w:sz w:val="28"/>
          <w:szCs w:val="28"/>
          <w:lang w:val="uk-UA"/>
        </w:rPr>
      </w:pPr>
      <w:r w:rsidRPr="00711E9F">
        <w:rPr>
          <w:rFonts w:ascii="Times New Roman" w:eastAsia="Aptos" w:hAnsi="Times New Roman"/>
          <w:kern w:val="2"/>
          <w:sz w:val="28"/>
          <w:szCs w:val="28"/>
          <w:lang w:val="uk-UA"/>
        </w:rPr>
        <w:t>Інвестиції в аграрній сфері є</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фундаментальним фактором сталого</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розвитку та модернізації виробництва. Для сільськогосподарських підприємств</w:t>
      </w:r>
      <w:r w:rsidR="001878F2" w:rsidRPr="00711E9F">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інвестиційна активність - це не просто джерело</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 xml:space="preserve">розширеного </w:t>
      </w:r>
      <w:r w:rsidRPr="00711E9F">
        <w:rPr>
          <w:rFonts w:ascii="Times New Roman" w:eastAsia="Aptos" w:hAnsi="Times New Roman"/>
          <w:kern w:val="2"/>
          <w:sz w:val="28"/>
          <w:szCs w:val="28"/>
          <w:lang w:val="uk-UA"/>
        </w:rPr>
        <w:lastRenderedPageBreak/>
        <w:t>відтворення, а й засіб адаптації до ринкових та кліматичних</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ризикам, підвищення конкурентоспроможності</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та технологічного рівня</w:t>
      </w:r>
      <w:r w:rsidR="004009DE">
        <w:rPr>
          <w:rFonts w:ascii="Times New Roman" w:eastAsia="Aptos" w:hAnsi="Times New Roman"/>
          <w:kern w:val="2"/>
          <w:sz w:val="28"/>
          <w:szCs w:val="28"/>
          <w:lang w:val="uk-UA"/>
        </w:rPr>
        <w:t>.</w:t>
      </w:r>
    </w:p>
    <w:p w:rsidR="00711E9F" w:rsidRPr="00711E9F" w:rsidRDefault="00711E9F" w:rsidP="00711E9F">
      <w:pPr>
        <w:spacing w:after="0" w:line="360" w:lineRule="auto"/>
        <w:ind w:firstLine="709"/>
        <w:jc w:val="both"/>
        <w:rPr>
          <w:rFonts w:ascii="Times New Roman" w:eastAsia="Aptos" w:hAnsi="Times New Roman"/>
          <w:kern w:val="2"/>
          <w:sz w:val="28"/>
          <w:szCs w:val="28"/>
          <w:lang w:val="uk-UA"/>
        </w:rPr>
      </w:pPr>
      <w:r w:rsidRPr="00711E9F">
        <w:rPr>
          <w:rFonts w:ascii="Times New Roman" w:eastAsia="Aptos" w:hAnsi="Times New Roman"/>
          <w:kern w:val="2"/>
          <w:sz w:val="28"/>
          <w:szCs w:val="28"/>
          <w:lang w:val="uk-UA"/>
        </w:rPr>
        <w:t>В умовах обмеженості власних ресурсів сільськогосподарські підприємства, незалежно від масштабу діяльності, потребують доступних та</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 xml:space="preserve">диверсифікованих джерел фінансування. Проте </w:t>
      </w:r>
      <w:r w:rsidR="00E577D5" w:rsidRPr="001878F2">
        <w:rPr>
          <w:rStyle w:val="docdata"/>
          <w:rFonts w:ascii="Times New Roman" w:hAnsi="Times New Roman"/>
          <w:color w:val="000000"/>
          <w:sz w:val="28"/>
          <w:szCs w:val="28"/>
          <w:lang w:val="uk-UA"/>
        </w:rPr>
        <w:t>економічний механізм розвитку інвестиційної привабливості сільськогосподарських підприємств</w:t>
      </w:r>
      <w:r w:rsidR="00E577D5">
        <w:rPr>
          <w:rStyle w:val="docdata"/>
          <w:rFonts w:ascii="Times New Roman" w:hAnsi="Times New Roman"/>
          <w:color w:val="000000"/>
          <w:sz w:val="28"/>
          <w:szCs w:val="28"/>
          <w:lang w:val="uk-UA"/>
        </w:rPr>
        <w:t xml:space="preserve"> </w:t>
      </w:r>
      <w:r w:rsidRPr="00711E9F">
        <w:rPr>
          <w:rFonts w:ascii="Times New Roman" w:eastAsia="Aptos" w:hAnsi="Times New Roman"/>
          <w:kern w:val="2"/>
          <w:sz w:val="28"/>
          <w:szCs w:val="28"/>
          <w:lang w:val="uk-UA"/>
        </w:rPr>
        <w:t>залишається не</w:t>
      </w:r>
      <w:r w:rsidR="00E577D5">
        <w:rPr>
          <w:rFonts w:ascii="Times New Roman" w:eastAsia="Aptos" w:hAnsi="Times New Roman"/>
          <w:kern w:val="2"/>
          <w:sz w:val="28"/>
          <w:szCs w:val="28"/>
          <w:lang w:val="uk-UA"/>
        </w:rPr>
        <w:t xml:space="preserve">достатнім </w:t>
      </w:r>
      <w:r w:rsidRPr="00711E9F">
        <w:rPr>
          <w:rFonts w:ascii="Times New Roman" w:eastAsia="Aptos" w:hAnsi="Times New Roman"/>
          <w:kern w:val="2"/>
          <w:sz w:val="28"/>
          <w:szCs w:val="28"/>
          <w:lang w:val="uk-UA"/>
        </w:rPr>
        <w:t>через поєднання</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структурних та інституційних факторів: низької капіталізації, слабкого розвитку фінансового ринку на селі, недостатньої прозорості та обмеженої довіри</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з боку інвесторів.</w:t>
      </w:r>
      <w:r w:rsidR="00E577D5">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Розвиток ефективних інвестиційних</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механізмів вимагає комплексного підходу,</w:t>
      </w:r>
      <w:r>
        <w:rPr>
          <w:rFonts w:ascii="Times New Roman" w:eastAsia="Aptos" w:hAnsi="Times New Roman"/>
          <w:kern w:val="2"/>
          <w:sz w:val="28"/>
          <w:szCs w:val="28"/>
          <w:lang w:val="uk-UA"/>
        </w:rPr>
        <w:t xml:space="preserve"> </w:t>
      </w:r>
      <w:r w:rsidRPr="00711E9F">
        <w:rPr>
          <w:rFonts w:ascii="Times New Roman" w:eastAsia="Aptos" w:hAnsi="Times New Roman"/>
          <w:kern w:val="2"/>
          <w:sz w:val="28"/>
          <w:szCs w:val="28"/>
          <w:lang w:val="uk-UA"/>
        </w:rPr>
        <w:t>що включає вдосконалення фінансових інструментів, інституційного середовища та системи державної підтримк</w:t>
      </w:r>
      <w:r w:rsidR="00E577D5">
        <w:rPr>
          <w:rFonts w:ascii="Times New Roman" w:eastAsia="Aptos" w:hAnsi="Times New Roman"/>
          <w:kern w:val="2"/>
          <w:sz w:val="28"/>
          <w:szCs w:val="28"/>
          <w:lang w:val="uk-UA"/>
        </w:rPr>
        <w:t>и</w:t>
      </w:r>
      <w:r w:rsidR="004009DE">
        <w:rPr>
          <w:rFonts w:ascii="Times New Roman" w:eastAsia="Aptos" w:hAnsi="Times New Roman"/>
          <w:kern w:val="2"/>
          <w:sz w:val="28"/>
          <w:szCs w:val="28"/>
          <w:lang w:val="uk-UA"/>
        </w:rPr>
        <w:t>.</w:t>
      </w:r>
    </w:p>
    <w:p w:rsidR="005670E0" w:rsidRPr="005670E0" w:rsidRDefault="005670E0" w:rsidP="005670E0">
      <w:pPr>
        <w:spacing w:after="0" w:line="360" w:lineRule="auto"/>
        <w:ind w:firstLine="709"/>
        <w:jc w:val="both"/>
        <w:rPr>
          <w:rFonts w:ascii="Times New Roman" w:eastAsia="Aptos" w:hAnsi="Times New Roman"/>
          <w:kern w:val="2"/>
          <w:sz w:val="28"/>
          <w:szCs w:val="28"/>
          <w:lang w:val="uk-UA"/>
        </w:rPr>
      </w:pPr>
      <w:r w:rsidRPr="005670E0">
        <w:rPr>
          <w:rFonts w:ascii="Times New Roman" w:eastAsia="Aptos" w:hAnsi="Times New Roman"/>
          <w:kern w:val="2"/>
          <w:sz w:val="28"/>
          <w:szCs w:val="28"/>
          <w:lang w:val="uk-UA"/>
        </w:rPr>
        <w:t xml:space="preserve">Загальні питання формування та розвитку економічного механізму функціонування сільськогосподарських підприємств розглядалися у наукових працях В. Андрійчука, Б. Пасхавера, В. Павлова, П. Саблука, А. Чухна, О. Грішнової, </w:t>
      </w:r>
      <w:r w:rsidR="00661975">
        <w:rPr>
          <w:rFonts w:ascii="Times New Roman" w:eastAsia="Aptos" w:hAnsi="Times New Roman"/>
          <w:kern w:val="2"/>
          <w:sz w:val="28"/>
          <w:szCs w:val="28"/>
          <w:lang w:val="uk-UA"/>
        </w:rPr>
        <w:t xml:space="preserve">Л. Горбатюк, </w:t>
      </w:r>
      <w:r w:rsidRPr="005670E0">
        <w:rPr>
          <w:rFonts w:ascii="Times New Roman" w:eastAsia="Aptos" w:hAnsi="Times New Roman"/>
          <w:kern w:val="2"/>
          <w:sz w:val="28"/>
          <w:szCs w:val="28"/>
          <w:lang w:val="uk-UA"/>
        </w:rPr>
        <w:t xml:space="preserve">О. Василика, Ю. Лисенка, П. Єгорова, Г. </w:t>
      </w:r>
      <w:r w:rsidR="00A85A37">
        <w:rPr>
          <w:rFonts w:ascii="Times New Roman" w:eastAsia="Aptos" w:hAnsi="Times New Roman"/>
          <w:kern w:val="2"/>
          <w:sz w:val="28"/>
          <w:szCs w:val="28"/>
          <w:lang w:val="uk-UA"/>
        </w:rPr>
        <w:t xml:space="preserve">Козаченко, Г. Ільницької, О. Ляшенко, Є. </w:t>
      </w:r>
      <w:r w:rsidRPr="005670E0">
        <w:rPr>
          <w:rFonts w:ascii="Times New Roman" w:eastAsia="Aptos" w:hAnsi="Times New Roman"/>
          <w:kern w:val="2"/>
          <w:sz w:val="28"/>
          <w:szCs w:val="28"/>
          <w:lang w:val="uk-UA"/>
        </w:rPr>
        <w:t>Овчаренка та інших дослідників. У науковому доробку таких учених, як В. Бондарчук, Н. Демчишак, О. Жидяк, І. Жила, С. Захарін, Н. Івченко, А. Комарова, М. Крупка, М. Макаров, П. Музика, О</w:t>
      </w:r>
      <w:r w:rsidR="00A85A37">
        <w:rPr>
          <w:rFonts w:ascii="Times New Roman" w:eastAsia="Aptos" w:hAnsi="Times New Roman"/>
          <w:kern w:val="2"/>
          <w:sz w:val="28"/>
          <w:szCs w:val="28"/>
          <w:lang w:val="uk-UA"/>
        </w:rPr>
        <w:t>. Савицька, Ю. Клапків, В.</w:t>
      </w:r>
      <w:r w:rsidRPr="005670E0">
        <w:rPr>
          <w:rFonts w:ascii="Times New Roman" w:eastAsia="Aptos" w:hAnsi="Times New Roman"/>
          <w:kern w:val="2"/>
          <w:sz w:val="28"/>
          <w:szCs w:val="28"/>
          <w:lang w:val="uk-UA"/>
        </w:rPr>
        <w:t xml:space="preserve"> Тринчук та інших, особливу увагу приділено дослідженню інвестиційної діяльності, фінансового забезпечення, управління ризиками та формування сприятливих умов для залучення інвестицій як на державному рівні, так і в галузевому контексті.</w:t>
      </w:r>
    </w:p>
    <w:p w:rsidR="005670E0" w:rsidRPr="005670E0" w:rsidRDefault="005670E0" w:rsidP="005670E0">
      <w:pPr>
        <w:spacing w:after="0" w:line="360" w:lineRule="auto"/>
        <w:ind w:firstLine="709"/>
        <w:jc w:val="both"/>
        <w:rPr>
          <w:rFonts w:ascii="Times New Roman" w:eastAsia="Aptos" w:hAnsi="Times New Roman"/>
          <w:kern w:val="2"/>
          <w:sz w:val="28"/>
          <w:szCs w:val="28"/>
          <w:lang w:val="uk-UA"/>
        </w:rPr>
      </w:pPr>
      <w:r w:rsidRPr="005670E0">
        <w:rPr>
          <w:rFonts w:ascii="Times New Roman" w:eastAsia="Aptos" w:hAnsi="Times New Roman"/>
          <w:kern w:val="2"/>
          <w:sz w:val="28"/>
          <w:szCs w:val="28"/>
          <w:lang w:val="uk-UA"/>
        </w:rPr>
        <w:t>Теоретичні та прикладні аспекти розвитку інвестиційної привабливості сільськогосподарських підприємств висвітлено, зокрема, у працях В. Андрійчука, П. Гайдуцького, О. Бородіної, М. Маліка</w:t>
      </w:r>
      <w:r w:rsidR="00A85A37">
        <w:rPr>
          <w:rFonts w:ascii="Times New Roman" w:eastAsia="Aptos" w:hAnsi="Times New Roman"/>
          <w:kern w:val="2"/>
          <w:sz w:val="28"/>
          <w:szCs w:val="28"/>
          <w:lang w:val="uk-UA"/>
        </w:rPr>
        <w:t xml:space="preserve">, Ю. Лупенка, В. Россохи, Т. </w:t>
      </w:r>
      <w:r w:rsidRPr="005670E0">
        <w:rPr>
          <w:rFonts w:ascii="Times New Roman" w:eastAsia="Aptos" w:hAnsi="Times New Roman"/>
          <w:kern w:val="2"/>
          <w:sz w:val="28"/>
          <w:szCs w:val="28"/>
          <w:lang w:val="uk-UA"/>
        </w:rPr>
        <w:t xml:space="preserve">Мацибори та інших учених, які досліджували проблеми інвестиційної привабливості аграрного сектору, ефективності капітальних вкладень, формування інвестиційного потенціалу, оцінювання інвестиційних </w:t>
      </w:r>
      <w:r w:rsidRPr="005670E0">
        <w:rPr>
          <w:rFonts w:ascii="Times New Roman" w:eastAsia="Aptos" w:hAnsi="Times New Roman"/>
          <w:kern w:val="2"/>
          <w:sz w:val="28"/>
          <w:szCs w:val="28"/>
          <w:lang w:val="uk-UA"/>
        </w:rPr>
        <w:lastRenderedPageBreak/>
        <w:t>ризиків та державного регулювання інвестиційних процесів у сільському господарстві.</w:t>
      </w:r>
    </w:p>
    <w:p w:rsidR="00E12ED3" w:rsidRPr="004009DE" w:rsidRDefault="00E12ED3" w:rsidP="00E12ED3">
      <w:pPr>
        <w:spacing w:after="0" w:line="360" w:lineRule="auto"/>
        <w:ind w:firstLine="709"/>
        <w:jc w:val="both"/>
        <w:rPr>
          <w:rFonts w:ascii="Times New Roman" w:eastAsia="Aptos" w:hAnsi="Times New Roman"/>
          <w:color w:val="000000"/>
          <w:kern w:val="2"/>
          <w:sz w:val="28"/>
          <w:szCs w:val="28"/>
          <w:lang w:val="uk-UA"/>
        </w:rPr>
      </w:pPr>
      <w:r w:rsidRPr="00816B36">
        <w:rPr>
          <w:rFonts w:ascii="Times New Roman" w:eastAsia="Aptos" w:hAnsi="Times New Roman"/>
          <w:color w:val="000000"/>
          <w:kern w:val="2"/>
          <w:sz w:val="28"/>
          <w:szCs w:val="28"/>
          <w:lang w:val="uk-UA"/>
        </w:rPr>
        <w:t xml:space="preserve">Проте, недостатньо дослідженими залишається ряд питань щодо окресленої проблеми, зокрема: теоретичні і методичні положення щодо </w:t>
      </w:r>
      <w:r w:rsidRPr="00816B36">
        <w:rPr>
          <w:rFonts w:ascii="Times New Roman" w:eastAsia="Aptos" w:hAnsi="Times New Roman"/>
          <w:kern w:val="2"/>
          <w:sz w:val="28"/>
          <w:szCs w:val="28"/>
          <w:lang w:val="uk-UA"/>
        </w:rPr>
        <w:t>формування визначення с</w:t>
      </w:r>
      <w:r w:rsidRPr="00816B36">
        <w:rPr>
          <w:rStyle w:val="docdata"/>
          <w:rFonts w:ascii="Times New Roman" w:hAnsi="Times New Roman"/>
          <w:color w:val="000000"/>
          <w:sz w:val="28"/>
          <w:szCs w:val="28"/>
          <w:lang w:val="uk-UA"/>
        </w:rPr>
        <w:t xml:space="preserve">утності </w:t>
      </w:r>
      <w:r w:rsidR="00D61264" w:rsidRPr="003440B9">
        <w:rPr>
          <w:rFonts w:ascii="Times New Roman" w:hAnsi="Times New Roman"/>
          <w:sz w:val="28"/>
          <w:szCs w:val="28"/>
          <w:lang w:val="uk-UA"/>
        </w:rPr>
        <w:t xml:space="preserve">розвитку інвестиційної привабливості </w:t>
      </w:r>
      <w:r w:rsidR="00D61264" w:rsidRPr="00D61264">
        <w:rPr>
          <w:rFonts w:ascii="Times New Roman" w:eastAsia="Aptos" w:hAnsi="Times New Roman"/>
          <w:color w:val="000000"/>
          <w:kern w:val="2"/>
          <w:sz w:val="28"/>
          <w:szCs w:val="28"/>
          <w:lang w:val="uk-UA"/>
        </w:rPr>
        <w:t>сільськогосподарських підприємств</w:t>
      </w:r>
      <w:r w:rsidRPr="00D61264">
        <w:rPr>
          <w:rFonts w:ascii="Times New Roman" w:eastAsia="Aptos" w:hAnsi="Times New Roman"/>
          <w:color w:val="000000"/>
          <w:kern w:val="2"/>
          <w:sz w:val="28"/>
          <w:szCs w:val="28"/>
          <w:lang w:val="uk-UA"/>
        </w:rPr>
        <w:t xml:space="preserve">, дослідження </w:t>
      </w:r>
      <w:r w:rsidR="00D61264" w:rsidRPr="00D61264">
        <w:rPr>
          <w:rFonts w:ascii="Times New Roman" w:eastAsia="Aptos" w:hAnsi="Times New Roman"/>
          <w:color w:val="000000"/>
          <w:kern w:val="2"/>
          <w:sz w:val="28"/>
          <w:szCs w:val="28"/>
          <w:lang w:val="uk-UA"/>
        </w:rPr>
        <w:t>о</w:t>
      </w:r>
      <w:r w:rsidR="00D61264" w:rsidRPr="00542804">
        <w:rPr>
          <w:rFonts w:ascii="Times New Roman" w:hAnsi="Times New Roman"/>
          <w:kern w:val="2"/>
          <w:sz w:val="28"/>
          <w:szCs w:val="28"/>
          <w:lang w:val="uk-UA"/>
        </w:rPr>
        <w:t>собливостей прийняття управлінських рішень для формування інвестиційної привабливості підприємств та використання основних інвестиційних інструментів інвестором</w:t>
      </w:r>
      <w:r w:rsidRPr="00D61264">
        <w:rPr>
          <w:rFonts w:ascii="Times New Roman" w:eastAsia="Aptos" w:hAnsi="Times New Roman"/>
          <w:color w:val="000000"/>
          <w:kern w:val="2"/>
          <w:sz w:val="28"/>
          <w:szCs w:val="28"/>
          <w:lang w:val="uk-UA"/>
        </w:rPr>
        <w:t xml:space="preserve">. Потребують удосконалення </w:t>
      </w:r>
      <w:r w:rsidR="00D61264" w:rsidRPr="00542804">
        <w:rPr>
          <w:rFonts w:ascii="Times New Roman" w:hAnsi="Times New Roman"/>
          <w:color w:val="000000"/>
          <w:sz w:val="28"/>
          <w:szCs w:val="28"/>
          <w:lang w:val="uk-UA"/>
        </w:rPr>
        <w:t>концептуальні засади формування економічного механізму розвитку інвестиційної привабливості сільськогосподарських підприємств</w:t>
      </w:r>
      <w:r w:rsidRPr="00D61264">
        <w:rPr>
          <w:rFonts w:ascii="Times New Roman" w:eastAsia="Aptos" w:hAnsi="Times New Roman"/>
          <w:color w:val="000000"/>
          <w:kern w:val="2"/>
          <w:sz w:val="28"/>
          <w:szCs w:val="28"/>
          <w:lang w:val="uk-UA"/>
        </w:rPr>
        <w:t>. Актуальність і наукова значущість окреслених питань зумовили вибір теми дослідження, визначили його предмет та об’єкт, мету і конкретні задачі</w:t>
      </w:r>
      <w:r w:rsidR="004009DE">
        <w:rPr>
          <w:rFonts w:ascii="Times New Roman" w:eastAsia="Aptos" w:hAnsi="Times New Roman"/>
          <w:color w:val="000000"/>
          <w:kern w:val="2"/>
          <w:sz w:val="28"/>
          <w:szCs w:val="28"/>
          <w:lang w:val="uk-UA"/>
        </w:rPr>
        <w:t>.</w:t>
      </w:r>
    </w:p>
    <w:p w:rsidR="00E12ED3" w:rsidRPr="009C55E7" w:rsidRDefault="00E12ED3" w:rsidP="00A435D0">
      <w:pPr>
        <w:spacing w:after="0" w:line="360" w:lineRule="auto"/>
        <w:ind w:firstLine="709"/>
        <w:jc w:val="both"/>
        <w:rPr>
          <w:rFonts w:ascii="Times New Roman" w:hAnsi="Times New Roman"/>
          <w:sz w:val="28"/>
          <w:szCs w:val="28"/>
          <w:lang w:val="uk-UA"/>
        </w:rPr>
      </w:pPr>
      <w:r w:rsidRPr="00A435D0">
        <w:rPr>
          <w:rFonts w:ascii="Times New Roman" w:eastAsia="Aptos" w:hAnsi="Times New Roman"/>
          <w:b/>
          <w:bCs/>
          <w:kern w:val="2"/>
          <w:sz w:val="28"/>
          <w:szCs w:val="28"/>
          <w:lang w:val="uk-UA"/>
        </w:rPr>
        <w:t>Зв’язок роботи з науковими програмами, планами, темами</w:t>
      </w:r>
      <w:r w:rsidRPr="00A435D0">
        <w:rPr>
          <w:rFonts w:ascii="Times New Roman" w:eastAsia="Aptos" w:hAnsi="Times New Roman"/>
          <w:kern w:val="2"/>
          <w:sz w:val="28"/>
          <w:szCs w:val="28"/>
          <w:lang w:val="uk-UA"/>
        </w:rPr>
        <w:t xml:space="preserve">. Дисертаційне дослідження пов’язане із темою науково-дослідної роботи кафедри </w:t>
      </w:r>
      <w:r w:rsidR="00A435D0" w:rsidRPr="00A435D0">
        <w:rPr>
          <w:rFonts w:ascii="Times New Roman" w:eastAsia="Aptos" w:hAnsi="Times New Roman"/>
          <w:kern w:val="2"/>
          <w:sz w:val="28"/>
          <w:szCs w:val="28"/>
          <w:lang w:val="uk-UA"/>
        </w:rPr>
        <w:t xml:space="preserve">економіки і маркетингу </w:t>
      </w:r>
      <w:r w:rsidR="002E5FD1" w:rsidRPr="00A435D0">
        <w:rPr>
          <w:rFonts w:ascii="Times New Roman" w:eastAsia="Aptos" w:hAnsi="Times New Roman"/>
          <w:kern w:val="2"/>
          <w:sz w:val="28"/>
          <w:szCs w:val="28"/>
          <w:lang w:val="uk-UA"/>
        </w:rPr>
        <w:t>Д</w:t>
      </w:r>
      <w:r w:rsidR="00A435D0" w:rsidRPr="00A435D0">
        <w:rPr>
          <w:rFonts w:ascii="Times New Roman" w:eastAsia="Aptos" w:hAnsi="Times New Roman"/>
          <w:kern w:val="2"/>
          <w:sz w:val="28"/>
          <w:szCs w:val="28"/>
          <w:lang w:val="uk-UA"/>
        </w:rPr>
        <w:t>З «</w:t>
      </w:r>
      <w:r w:rsidR="002E5FD1" w:rsidRPr="00A435D0">
        <w:rPr>
          <w:rFonts w:ascii="Times New Roman" w:eastAsia="Aptos" w:hAnsi="Times New Roman"/>
          <w:kern w:val="2"/>
          <w:sz w:val="28"/>
          <w:szCs w:val="28"/>
          <w:lang w:val="uk-UA"/>
        </w:rPr>
        <w:t>Луганського національного університету імені Тараса Шевченка</w:t>
      </w:r>
      <w:r w:rsidR="00A435D0">
        <w:rPr>
          <w:rFonts w:ascii="Times New Roman" w:eastAsia="Aptos" w:hAnsi="Times New Roman"/>
          <w:kern w:val="2"/>
          <w:sz w:val="28"/>
          <w:szCs w:val="28"/>
          <w:lang w:val="uk-UA"/>
        </w:rPr>
        <w:t>»</w:t>
      </w:r>
      <w:r w:rsidRPr="00A435D0">
        <w:rPr>
          <w:rFonts w:ascii="Times New Roman" w:eastAsia="Aptos" w:hAnsi="Times New Roman"/>
          <w:kern w:val="2"/>
          <w:sz w:val="28"/>
          <w:szCs w:val="28"/>
          <w:lang w:val="uk-UA"/>
        </w:rPr>
        <w:t xml:space="preserve">: </w:t>
      </w:r>
      <w:r w:rsidR="00A435D0" w:rsidRPr="00A435D0">
        <w:rPr>
          <w:rFonts w:ascii="Times New Roman" w:eastAsia="Aptos" w:hAnsi="Times New Roman"/>
          <w:kern w:val="2"/>
          <w:sz w:val="28"/>
          <w:szCs w:val="28"/>
          <w:lang w:val="uk-UA"/>
        </w:rPr>
        <w:t>«</w:t>
      </w:r>
      <w:r w:rsidR="00A435D0" w:rsidRPr="00A435D0">
        <w:rPr>
          <w:rFonts w:ascii="Times New Roman" w:hAnsi="Times New Roman"/>
          <w:sz w:val="28"/>
          <w:szCs w:val="28"/>
          <w:lang w:val="uk-UA"/>
        </w:rPr>
        <w:t>Формування соціально-відповідального підприємництва в агропродовольчій сфері східних областей України в умовах реформування місцевого самоврядування</w:t>
      </w:r>
      <w:r w:rsidRPr="00A435D0">
        <w:rPr>
          <w:rFonts w:ascii="Times New Roman" w:eastAsia="Aptos" w:hAnsi="Times New Roman"/>
          <w:kern w:val="2"/>
          <w:sz w:val="28"/>
          <w:szCs w:val="28"/>
          <w:lang w:val="uk-UA"/>
        </w:rPr>
        <w:t xml:space="preserve">» (номер державної реєстрації </w:t>
      </w:r>
      <w:r w:rsidR="00A435D0" w:rsidRPr="00A435D0">
        <w:rPr>
          <w:rFonts w:ascii="Times New Roman" w:hAnsi="Times New Roman"/>
          <w:sz w:val="28"/>
          <w:szCs w:val="28"/>
          <w:lang w:val="uk-UA"/>
        </w:rPr>
        <w:t>0116</w:t>
      </w:r>
      <w:r w:rsidR="00A435D0" w:rsidRPr="00A435D0">
        <w:rPr>
          <w:rFonts w:ascii="Times New Roman" w:hAnsi="Times New Roman"/>
          <w:sz w:val="28"/>
          <w:szCs w:val="28"/>
        </w:rPr>
        <w:t>U</w:t>
      </w:r>
      <w:r w:rsidR="00A435D0" w:rsidRPr="00A435D0">
        <w:rPr>
          <w:rFonts w:ascii="Times New Roman" w:hAnsi="Times New Roman"/>
          <w:sz w:val="28"/>
          <w:szCs w:val="28"/>
          <w:lang w:val="uk-UA"/>
        </w:rPr>
        <w:t>004880</w:t>
      </w:r>
      <w:r w:rsidRPr="00A435D0">
        <w:rPr>
          <w:rFonts w:ascii="Times New Roman" w:eastAsia="Aptos" w:hAnsi="Times New Roman"/>
          <w:kern w:val="2"/>
          <w:sz w:val="28"/>
          <w:szCs w:val="28"/>
          <w:lang w:val="uk-UA"/>
        </w:rPr>
        <w:t>)</w:t>
      </w:r>
      <w:r w:rsidR="00A435D0">
        <w:rPr>
          <w:rFonts w:ascii="Times New Roman" w:eastAsia="Aptos" w:hAnsi="Times New Roman"/>
          <w:kern w:val="2"/>
          <w:sz w:val="28"/>
          <w:szCs w:val="28"/>
          <w:lang w:val="uk-UA"/>
        </w:rPr>
        <w:t>,</w:t>
      </w:r>
      <w:r w:rsidR="00A435D0">
        <w:rPr>
          <w:rFonts w:ascii="Times New Roman" w:hAnsi="Times New Roman"/>
          <w:sz w:val="28"/>
          <w:szCs w:val="28"/>
          <w:lang w:val="uk-UA"/>
        </w:rPr>
        <w:t xml:space="preserve"> </w:t>
      </w:r>
      <w:r w:rsidRPr="00816B36">
        <w:rPr>
          <w:rFonts w:ascii="Times New Roman" w:eastAsia="Aptos" w:hAnsi="Times New Roman"/>
          <w:kern w:val="2"/>
          <w:sz w:val="28"/>
          <w:szCs w:val="28"/>
          <w:lang w:val="uk-UA"/>
        </w:rPr>
        <w:t xml:space="preserve">у </w:t>
      </w:r>
      <w:r w:rsidRPr="002E5FD1">
        <w:rPr>
          <w:rFonts w:ascii="Times New Roman" w:eastAsia="Aptos" w:hAnsi="Times New Roman"/>
          <w:kern w:val="2"/>
          <w:sz w:val="28"/>
          <w:szCs w:val="28"/>
          <w:lang w:val="uk-UA"/>
        </w:rPr>
        <w:t>межах якої автором обґрунтовано теоретичні підходи та розроблено практичні</w:t>
      </w:r>
      <w:r w:rsidRPr="005C1828">
        <w:rPr>
          <w:rFonts w:ascii="Times New Roman" w:eastAsia="Aptos" w:hAnsi="Times New Roman"/>
          <w:color w:val="000000"/>
          <w:kern w:val="2"/>
          <w:sz w:val="28"/>
          <w:szCs w:val="28"/>
          <w:lang w:val="uk-UA"/>
        </w:rPr>
        <w:t xml:space="preserve"> рекомендації щодо </w:t>
      </w:r>
      <w:r w:rsidR="006D4845" w:rsidRPr="001878F2">
        <w:rPr>
          <w:rStyle w:val="docdata"/>
          <w:rFonts w:ascii="Times New Roman" w:hAnsi="Times New Roman"/>
          <w:color w:val="000000"/>
          <w:sz w:val="28"/>
          <w:szCs w:val="28"/>
          <w:lang w:val="uk-UA"/>
        </w:rPr>
        <w:t>розвитку інвестиційної привабливості сільськогосподарських підприємств</w:t>
      </w:r>
      <w:r w:rsidRPr="005C1828">
        <w:rPr>
          <w:rFonts w:ascii="Times New Roman" w:eastAsia="Aptos" w:hAnsi="Times New Roman"/>
          <w:color w:val="000000"/>
          <w:kern w:val="2"/>
          <w:sz w:val="28"/>
          <w:szCs w:val="28"/>
          <w:lang w:val="uk-UA"/>
        </w:rPr>
        <w:t xml:space="preserve">, обґрунтовано науково-практичні рекомендації удосконалення </w:t>
      </w:r>
      <w:r w:rsidR="006D4845" w:rsidRPr="001878F2">
        <w:rPr>
          <w:rStyle w:val="docdata"/>
          <w:rFonts w:ascii="Times New Roman" w:hAnsi="Times New Roman"/>
          <w:color w:val="000000"/>
          <w:sz w:val="28"/>
          <w:szCs w:val="28"/>
          <w:lang w:val="uk-UA"/>
        </w:rPr>
        <w:t>економічного механізму розвитку інвестиційної привабливості сільськогосподарських підприємств</w:t>
      </w:r>
      <w:r w:rsidRPr="005C1828">
        <w:rPr>
          <w:rFonts w:ascii="Times New Roman" w:eastAsia="Aptos" w:hAnsi="Times New Roman"/>
          <w:color w:val="000000"/>
          <w:kern w:val="2"/>
          <w:sz w:val="28"/>
          <w:szCs w:val="28"/>
          <w:lang w:val="uk-UA"/>
        </w:rPr>
        <w:t xml:space="preserve">, </w:t>
      </w:r>
      <w:r w:rsidR="006D4845">
        <w:rPr>
          <w:rFonts w:ascii="Times New Roman" w:eastAsia="Aptos" w:hAnsi="Times New Roman"/>
          <w:color w:val="000000"/>
          <w:kern w:val="2"/>
          <w:sz w:val="28"/>
          <w:szCs w:val="28"/>
          <w:lang w:val="uk-UA"/>
        </w:rPr>
        <w:t>розроблено к</w:t>
      </w:r>
      <w:r w:rsidR="006D4845" w:rsidRPr="00576BF1">
        <w:rPr>
          <w:rStyle w:val="docdata"/>
          <w:rFonts w:ascii="Times New Roman" w:eastAsia="Aptos" w:hAnsi="Times New Roman"/>
          <w:kern w:val="2"/>
          <w:sz w:val="28"/>
          <w:szCs w:val="28"/>
          <w:lang w:val="uk-UA"/>
        </w:rPr>
        <w:t>онцептуальні засади формування економічного механізму розвитку інвестиційної привабливості сільськогосподарських підприємств</w:t>
      </w:r>
      <w:r w:rsidR="006D4845" w:rsidRPr="005C1828">
        <w:rPr>
          <w:rFonts w:ascii="Times New Roman" w:eastAsia="Aptos" w:hAnsi="Times New Roman"/>
          <w:color w:val="000000"/>
          <w:kern w:val="2"/>
          <w:sz w:val="28"/>
          <w:szCs w:val="28"/>
          <w:lang w:val="uk-UA"/>
        </w:rPr>
        <w:t xml:space="preserve"> </w:t>
      </w:r>
      <w:r w:rsidRPr="005C1828">
        <w:rPr>
          <w:rFonts w:ascii="Times New Roman" w:eastAsia="Aptos" w:hAnsi="Times New Roman"/>
          <w:color w:val="000000"/>
          <w:kern w:val="2"/>
          <w:sz w:val="28"/>
          <w:szCs w:val="28"/>
          <w:lang w:val="uk-UA"/>
        </w:rPr>
        <w:t>України.</w:t>
      </w:r>
    </w:p>
    <w:p w:rsidR="00E12ED3" w:rsidRPr="00816B36" w:rsidRDefault="00E12ED3" w:rsidP="00E12ED3">
      <w:pPr>
        <w:spacing w:after="0" w:line="360" w:lineRule="auto"/>
        <w:ind w:firstLine="709"/>
        <w:jc w:val="both"/>
        <w:rPr>
          <w:rFonts w:ascii="Times New Roman" w:eastAsia="Aptos" w:hAnsi="Times New Roman"/>
          <w:kern w:val="2"/>
          <w:sz w:val="28"/>
          <w:szCs w:val="28"/>
          <w:lang w:val="uk-UA"/>
        </w:rPr>
      </w:pPr>
      <w:r w:rsidRPr="00816B36">
        <w:rPr>
          <w:rFonts w:ascii="Times New Roman" w:eastAsia="Aptos" w:hAnsi="Times New Roman"/>
          <w:b/>
          <w:bCs/>
          <w:kern w:val="2"/>
          <w:sz w:val="28"/>
          <w:szCs w:val="28"/>
          <w:lang w:val="uk-UA"/>
        </w:rPr>
        <w:t>Мета і завдання дослідження.</w:t>
      </w:r>
      <w:r w:rsidRPr="00816B36">
        <w:rPr>
          <w:rFonts w:ascii="Times New Roman" w:eastAsia="Aptos" w:hAnsi="Times New Roman"/>
          <w:kern w:val="2"/>
          <w:sz w:val="28"/>
          <w:szCs w:val="28"/>
          <w:lang w:val="uk-UA"/>
        </w:rPr>
        <w:t xml:space="preserve"> </w:t>
      </w:r>
      <w:r w:rsidRPr="00816B36">
        <w:rPr>
          <w:rFonts w:ascii="Times New Roman" w:eastAsia="Aptos" w:hAnsi="Times New Roman"/>
          <w:b/>
          <w:bCs/>
          <w:i/>
          <w:iCs/>
          <w:kern w:val="2"/>
          <w:sz w:val="28"/>
          <w:szCs w:val="28"/>
          <w:lang w:val="uk-UA"/>
        </w:rPr>
        <w:t>Метою</w:t>
      </w:r>
      <w:r w:rsidRPr="00816B36">
        <w:rPr>
          <w:rFonts w:ascii="Times New Roman" w:eastAsia="Aptos" w:hAnsi="Times New Roman"/>
          <w:kern w:val="2"/>
          <w:sz w:val="28"/>
          <w:szCs w:val="28"/>
          <w:lang w:val="uk-UA"/>
        </w:rPr>
        <w:t xml:space="preserve"> дисертаційного дослідження є подальший розвиток теоретико-методичних положень і розроблення </w:t>
      </w:r>
      <w:r w:rsidRPr="00816B36">
        <w:rPr>
          <w:rFonts w:ascii="Times New Roman" w:eastAsia="Aptos" w:hAnsi="Times New Roman"/>
          <w:kern w:val="2"/>
          <w:sz w:val="28"/>
          <w:szCs w:val="28"/>
          <w:lang w:val="uk-UA"/>
        </w:rPr>
        <w:lastRenderedPageBreak/>
        <w:t xml:space="preserve">практичних рекомендацій щодо формування </w:t>
      </w:r>
      <w:r w:rsidR="000001BB" w:rsidRPr="001878F2">
        <w:rPr>
          <w:rStyle w:val="docdata"/>
          <w:rFonts w:ascii="Times New Roman" w:hAnsi="Times New Roman"/>
          <w:color w:val="000000"/>
          <w:sz w:val="28"/>
          <w:szCs w:val="28"/>
          <w:lang w:val="uk-UA"/>
        </w:rPr>
        <w:t>економічного механізму розвитку інвестиційної привабливості сільськогосподарських підприємств</w:t>
      </w:r>
      <w:r w:rsidRPr="00816B36">
        <w:rPr>
          <w:rFonts w:ascii="Times New Roman" w:eastAsia="Aptos" w:hAnsi="Times New Roman"/>
          <w:kern w:val="2"/>
          <w:sz w:val="28"/>
          <w:szCs w:val="28"/>
          <w:lang w:val="uk-UA"/>
        </w:rPr>
        <w:t>.</w:t>
      </w:r>
    </w:p>
    <w:p w:rsidR="00E12ED3" w:rsidRPr="00816B36" w:rsidRDefault="00E12ED3" w:rsidP="00E12ED3">
      <w:pPr>
        <w:spacing w:after="0" w:line="360" w:lineRule="auto"/>
        <w:ind w:firstLine="709"/>
        <w:jc w:val="both"/>
        <w:rPr>
          <w:rFonts w:ascii="Times New Roman" w:eastAsia="Aptos" w:hAnsi="Times New Roman"/>
          <w:kern w:val="2"/>
          <w:sz w:val="28"/>
          <w:szCs w:val="28"/>
          <w:lang w:val="uk-UA"/>
        </w:rPr>
      </w:pPr>
      <w:r w:rsidRPr="00816B36">
        <w:rPr>
          <w:rFonts w:ascii="Times New Roman" w:eastAsia="Aptos" w:hAnsi="Times New Roman"/>
          <w:kern w:val="2"/>
          <w:sz w:val="28"/>
          <w:szCs w:val="28"/>
          <w:lang w:val="uk-UA"/>
        </w:rPr>
        <w:t xml:space="preserve">Для реалізації поставленої мети в роботі були вирішені такі </w:t>
      </w:r>
      <w:r w:rsidRPr="00816B36">
        <w:rPr>
          <w:rFonts w:ascii="Times New Roman" w:eastAsia="Aptos" w:hAnsi="Times New Roman"/>
          <w:b/>
          <w:bCs/>
          <w:i/>
          <w:iCs/>
          <w:kern w:val="2"/>
          <w:sz w:val="28"/>
          <w:szCs w:val="28"/>
          <w:lang w:val="uk-UA"/>
        </w:rPr>
        <w:t>завдання</w:t>
      </w:r>
      <w:r w:rsidRPr="00816B36">
        <w:rPr>
          <w:rFonts w:ascii="Times New Roman" w:eastAsia="Aptos" w:hAnsi="Times New Roman"/>
          <w:kern w:val="2"/>
          <w:sz w:val="28"/>
          <w:szCs w:val="28"/>
          <w:lang w:val="uk-UA"/>
        </w:rPr>
        <w:t>:</w:t>
      </w:r>
    </w:p>
    <w:p w:rsidR="00E12ED3" w:rsidRPr="00555828" w:rsidRDefault="00555828" w:rsidP="00555828">
      <w:pPr>
        <w:pStyle w:val="a6"/>
        <w:numPr>
          <w:ilvl w:val="0"/>
          <w:numId w:val="30"/>
        </w:numPr>
        <w:spacing w:after="0" w:line="360" w:lineRule="auto"/>
        <w:ind w:left="0" w:firstLine="709"/>
        <w:contextualSpacing w:val="0"/>
        <w:jc w:val="both"/>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уточнити зміст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w:t>
      </w:r>
    </w:p>
    <w:p w:rsidR="00E12ED3" w:rsidRPr="00555828" w:rsidRDefault="00555828" w:rsidP="00555828">
      <w:pPr>
        <w:numPr>
          <w:ilvl w:val="0"/>
          <w:numId w:val="30"/>
        </w:numPr>
        <w:spacing w:after="0" w:line="360" w:lineRule="auto"/>
        <w:ind w:left="0" w:firstLine="709"/>
        <w:jc w:val="both"/>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розвинути класифікаційні ознаки складових елементів розвитку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w:t>
      </w:r>
    </w:p>
    <w:p w:rsidR="00E12ED3" w:rsidRPr="00555828" w:rsidRDefault="00555828" w:rsidP="00555828">
      <w:pPr>
        <w:numPr>
          <w:ilvl w:val="0"/>
          <w:numId w:val="30"/>
        </w:numPr>
        <w:spacing w:after="0" w:line="360" w:lineRule="auto"/>
        <w:ind w:left="0" w:firstLine="709"/>
        <w:jc w:val="both"/>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 xml:space="preserve">удосконалити </w:t>
      </w:r>
      <w:r w:rsidR="001E49EA" w:rsidRPr="001E49EA">
        <w:rPr>
          <w:rFonts w:ascii="Times New Roman" w:eastAsia="Aptos" w:hAnsi="Times New Roman"/>
          <w:kern w:val="2"/>
          <w:sz w:val="28"/>
          <w:szCs w:val="28"/>
          <w:lang w:val="uk-UA"/>
        </w:rPr>
        <w:t>когнітивне моделювання розвитку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w:t>
      </w:r>
    </w:p>
    <w:p w:rsidR="00555828" w:rsidRPr="00555828" w:rsidRDefault="00555828" w:rsidP="00555828">
      <w:pPr>
        <w:numPr>
          <w:ilvl w:val="0"/>
          <w:numId w:val="30"/>
        </w:numPr>
        <w:spacing w:after="0" w:line="360" w:lineRule="auto"/>
        <w:ind w:left="0" w:firstLine="709"/>
        <w:jc w:val="both"/>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розвинути методичний підхід до оцінювання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w:t>
      </w:r>
    </w:p>
    <w:p w:rsidR="00555828" w:rsidRPr="00555828" w:rsidRDefault="00555828" w:rsidP="00555828">
      <w:pPr>
        <w:numPr>
          <w:ilvl w:val="0"/>
          <w:numId w:val="30"/>
        </w:numPr>
        <w:shd w:val="clear" w:color="auto" w:fill="FFFFFF"/>
        <w:spacing w:after="0" w:line="360" w:lineRule="auto"/>
        <w:ind w:left="0" w:firstLine="709"/>
        <w:jc w:val="both"/>
        <w:textAlignment w:val="baseline"/>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запропонувати концептуальні напрями до формування економічного механізму розвитку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w:t>
      </w:r>
    </w:p>
    <w:p w:rsidR="00E12ED3" w:rsidRPr="00555828" w:rsidRDefault="00555828" w:rsidP="00555828">
      <w:pPr>
        <w:numPr>
          <w:ilvl w:val="0"/>
          <w:numId w:val="30"/>
        </w:numPr>
        <w:shd w:val="clear" w:color="auto" w:fill="FFFFFF"/>
        <w:spacing w:after="0" w:line="360" w:lineRule="auto"/>
        <w:ind w:left="0" w:firstLine="709"/>
        <w:jc w:val="both"/>
        <w:textAlignment w:val="baseline"/>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обґрунтувати матричний підхід до стратегії формування економічного механізму розвитку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 xml:space="preserve">; </w:t>
      </w:r>
    </w:p>
    <w:p w:rsidR="00E12ED3" w:rsidRPr="00555828" w:rsidRDefault="00555828" w:rsidP="00555828">
      <w:pPr>
        <w:numPr>
          <w:ilvl w:val="0"/>
          <w:numId w:val="30"/>
        </w:numPr>
        <w:spacing w:after="0" w:line="360" w:lineRule="auto"/>
        <w:ind w:left="0" w:firstLine="709"/>
        <w:jc w:val="both"/>
        <w:rPr>
          <w:rFonts w:ascii="Times New Roman" w:eastAsia="Aptos" w:hAnsi="Times New Roman"/>
          <w:kern w:val="2"/>
          <w:sz w:val="28"/>
          <w:szCs w:val="28"/>
          <w:lang w:val="uk-UA"/>
        </w:rPr>
      </w:pPr>
      <w:r w:rsidRPr="00555828">
        <w:rPr>
          <w:rFonts w:ascii="Times New Roman" w:eastAsia="Aptos" w:hAnsi="Times New Roman"/>
          <w:kern w:val="2"/>
          <w:sz w:val="28"/>
          <w:szCs w:val="28"/>
          <w:lang w:val="uk-UA"/>
        </w:rPr>
        <w:t xml:space="preserve">удосконалити </w:t>
      </w:r>
      <w:r w:rsidRPr="00103781">
        <w:rPr>
          <w:rFonts w:ascii="Times New Roman" w:eastAsia="Aptos" w:hAnsi="Times New Roman"/>
          <w:kern w:val="2"/>
          <w:sz w:val="28"/>
          <w:szCs w:val="28"/>
          <w:lang w:val="uk-UA"/>
        </w:rPr>
        <w:t>функціонально –</w:t>
      </w:r>
      <w:r w:rsidRPr="00555828">
        <w:rPr>
          <w:rFonts w:ascii="Times New Roman" w:eastAsia="Aptos" w:hAnsi="Times New Roman"/>
          <w:kern w:val="2"/>
          <w:sz w:val="28"/>
          <w:szCs w:val="28"/>
          <w:lang w:val="uk-UA"/>
        </w:rPr>
        <w:t>економічний механізм підвищення інвестиційної привабливості сільськогосподарських підприємств</w:t>
      </w:r>
      <w:r w:rsidR="00E12ED3" w:rsidRPr="00555828">
        <w:rPr>
          <w:rFonts w:ascii="Times New Roman" w:eastAsia="Aptos" w:hAnsi="Times New Roman"/>
          <w:kern w:val="2"/>
          <w:sz w:val="28"/>
          <w:szCs w:val="28"/>
          <w:lang w:val="uk-UA"/>
        </w:rPr>
        <w:t>. </w:t>
      </w:r>
    </w:p>
    <w:p w:rsidR="00E12ED3" w:rsidRPr="00103781" w:rsidRDefault="00E12ED3" w:rsidP="00E12ED3">
      <w:pPr>
        <w:spacing w:after="0" w:line="360" w:lineRule="auto"/>
        <w:ind w:firstLine="709"/>
        <w:jc w:val="both"/>
        <w:rPr>
          <w:rFonts w:ascii="Times New Roman" w:hAnsi="Times New Roman"/>
          <w:sz w:val="28"/>
          <w:szCs w:val="28"/>
          <w:lang w:val="uk-UA"/>
        </w:rPr>
      </w:pPr>
      <w:r w:rsidRPr="00816B36">
        <w:rPr>
          <w:rFonts w:ascii="Times New Roman" w:eastAsia="Aptos" w:hAnsi="Times New Roman"/>
          <w:b/>
          <w:bCs/>
          <w:kern w:val="2"/>
          <w:sz w:val="28"/>
          <w:szCs w:val="28"/>
          <w:lang w:val="uk-UA"/>
        </w:rPr>
        <w:t>Об’єктом дослідження</w:t>
      </w:r>
      <w:r w:rsidRPr="00816B36">
        <w:rPr>
          <w:rFonts w:ascii="Times New Roman" w:eastAsia="Aptos" w:hAnsi="Times New Roman"/>
          <w:kern w:val="2"/>
          <w:sz w:val="28"/>
          <w:szCs w:val="28"/>
          <w:lang w:val="uk-UA"/>
        </w:rPr>
        <w:t xml:space="preserve"> </w:t>
      </w:r>
      <w:r w:rsidRPr="00103781">
        <w:rPr>
          <w:rFonts w:ascii="Times New Roman" w:hAnsi="Times New Roman"/>
          <w:sz w:val="28"/>
          <w:szCs w:val="28"/>
          <w:lang w:val="uk-UA"/>
        </w:rPr>
        <w:t xml:space="preserve">є процес формування </w:t>
      </w:r>
      <w:r w:rsidR="00A7388F" w:rsidRPr="001878F2">
        <w:rPr>
          <w:rStyle w:val="docdata"/>
          <w:rFonts w:ascii="Times New Roman" w:hAnsi="Times New Roman"/>
          <w:color w:val="000000"/>
          <w:sz w:val="28"/>
          <w:szCs w:val="28"/>
          <w:lang w:val="uk-UA"/>
        </w:rPr>
        <w:t>економічн</w:t>
      </w:r>
      <w:r w:rsidR="00A7388F">
        <w:rPr>
          <w:rStyle w:val="docdata"/>
          <w:rFonts w:ascii="Times New Roman" w:hAnsi="Times New Roman"/>
          <w:color w:val="000000"/>
          <w:sz w:val="28"/>
          <w:szCs w:val="28"/>
          <w:lang w:val="uk-UA"/>
        </w:rPr>
        <w:t>ого</w:t>
      </w:r>
      <w:r w:rsidR="00A7388F" w:rsidRPr="001878F2">
        <w:rPr>
          <w:rStyle w:val="docdata"/>
          <w:rFonts w:ascii="Times New Roman" w:hAnsi="Times New Roman"/>
          <w:color w:val="000000"/>
          <w:sz w:val="28"/>
          <w:szCs w:val="28"/>
          <w:lang w:val="uk-UA"/>
        </w:rPr>
        <w:t xml:space="preserve"> механізм</w:t>
      </w:r>
      <w:r w:rsidR="00A7388F">
        <w:rPr>
          <w:rStyle w:val="docdata"/>
          <w:rFonts w:ascii="Times New Roman" w:hAnsi="Times New Roman"/>
          <w:color w:val="000000"/>
          <w:sz w:val="28"/>
          <w:szCs w:val="28"/>
          <w:lang w:val="uk-UA"/>
        </w:rPr>
        <w:t>у</w:t>
      </w:r>
      <w:r w:rsidR="00A7388F" w:rsidRPr="001878F2">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Pr="00103781">
        <w:rPr>
          <w:rFonts w:ascii="Times New Roman" w:hAnsi="Times New Roman"/>
          <w:sz w:val="28"/>
          <w:szCs w:val="28"/>
          <w:lang w:val="uk-UA"/>
        </w:rPr>
        <w:t xml:space="preserve">, а його </w:t>
      </w:r>
      <w:r w:rsidRPr="00103781">
        <w:rPr>
          <w:rFonts w:ascii="Times New Roman" w:hAnsi="Times New Roman"/>
          <w:b/>
          <w:sz w:val="28"/>
          <w:szCs w:val="28"/>
          <w:lang w:val="uk-UA"/>
        </w:rPr>
        <w:t>предметом</w:t>
      </w:r>
      <w:r w:rsidRPr="00103781">
        <w:rPr>
          <w:rFonts w:ascii="Times New Roman" w:hAnsi="Times New Roman"/>
          <w:sz w:val="28"/>
          <w:szCs w:val="28"/>
          <w:lang w:val="uk-UA"/>
        </w:rPr>
        <w:t xml:space="preserve"> – теоретико-методичні положення та практичні рекомендації щодо </w:t>
      </w:r>
      <w:r w:rsidR="00A7388F">
        <w:rPr>
          <w:rStyle w:val="docdata"/>
          <w:rFonts w:ascii="Times New Roman" w:hAnsi="Times New Roman"/>
          <w:color w:val="000000"/>
          <w:sz w:val="28"/>
          <w:szCs w:val="28"/>
          <w:lang w:val="uk-UA"/>
        </w:rPr>
        <w:t>економічного</w:t>
      </w:r>
      <w:r w:rsidR="00A7388F" w:rsidRPr="001878F2">
        <w:rPr>
          <w:rStyle w:val="docdata"/>
          <w:rFonts w:ascii="Times New Roman" w:hAnsi="Times New Roman"/>
          <w:color w:val="000000"/>
          <w:sz w:val="28"/>
          <w:szCs w:val="28"/>
          <w:lang w:val="uk-UA"/>
        </w:rPr>
        <w:t xml:space="preserve"> механізм</w:t>
      </w:r>
      <w:r w:rsidR="00A7388F">
        <w:rPr>
          <w:rStyle w:val="docdata"/>
          <w:rFonts w:ascii="Times New Roman" w:hAnsi="Times New Roman"/>
          <w:color w:val="000000"/>
          <w:sz w:val="28"/>
          <w:szCs w:val="28"/>
          <w:lang w:val="uk-UA"/>
        </w:rPr>
        <w:t>у</w:t>
      </w:r>
      <w:r w:rsidR="00A7388F" w:rsidRPr="001878F2">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004009DE">
        <w:rPr>
          <w:rFonts w:ascii="Times New Roman" w:hAnsi="Times New Roman"/>
          <w:sz w:val="28"/>
          <w:szCs w:val="28"/>
          <w:lang w:val="uk-UA"/>
        </w:rPr>
        <w:t>.</w:t>
      </w:r>
    </w:p>
    <w:p w:rsidR="00E12ED3" w:rsidRPr="00103781" w:rsidRDefault="00E12ED3" w:rsidP="00E12ED3">
      <w:pPr>
        <w:spacing w:after="0" w:line="360" w:lineRule="auto"/>
        <w:ind w:firstLine="709"/>
        <w:jc w:val="both"/>
        <w:rPr>
          <w:rFonts w:ascii="Times New Roman" w:hAnsi="Times New Roman"/>
          <w:sz w:val="28"/>
          <w:szCs w:val="28"/>
          <w:lang w:val="uk-UA"/>
        </w:rPr>
      </w:pPr>
      <w:r w:rsidRPr="00816B36">
        <w:rPr>
          <w:rFonts w:ascii="Times New Roman" w:eastAsia="Aptos" w:hAnsi="Times New Roman"/>
          <w:b/>
          <w:bCs/>
          <w:kern w:val="2"/>
          <w:sz w:val="28"/>
          <w:szCs w:val="28"/>
          <w:lang w:val="uk-UA"/>
        </w:rPr>
        <w:t>Методи дослідження.</w:t>
      </w:r>
      <w:r w:rsidRPr="00816B36">
        <w:rPr>
          <w:rFonts w:ascii="Times New Roman" w:eastAsia="Aptos" w:hAnsi="Times New Roman"/>
          <w:kern w:val="2"/>
          <w:sz w:val="28"/>
          <w:szCs w:val="28"/>
          <w:lang w:val="uk-UA"/>
        </w:rPr>
        <w:t xml:space="preserve"> </w:t>
      </w:r>
      <w:r w:rsidRPr="00103781">
        <w:rPr>
          <w:rFonts w:ascii="Times New Roman" w:hAnsi="Times New Roman"/>
          <w:sz w:val="28"/>
          <w:szCs w:val="28"/>
          <w:lang w:val="uk-UA"/>
        </w:rPr>
        <w:t xml:space="preserve">Теоретичну та методологічну основу дисертаційної роботи склали фундаментальні положення економічної науки щодо досліджуваних процесів. У дослідженні застосовувалися як загальнонаукові методи (системний аналіз – при проведенні </w:t>
      </w:r>
      <w:r w:rsidR="00553D52" w:rsidRPr="00103781">
        <w:rPr>
          <w:rFonts w:ascii="Times New Roman" w:hAnsi="Times New Roman"/>
          <w:sz w:val="28"/>
          <w:szCs w:val="28"/>
          <w:lang w:val="uk-UA"/>
        </w:rPr>
        <w:t>оцінки життєздатності інвестиційної привабливості;</w:t>
      </w:r>
      <w:r w:rsidRPr="00103781">
        <w:rPr>
          <w:rFonts w:ascii="Times New Roman" w:hAnsi="Times New Roman"/>
          <w:sz w:val="28"/>
          <w:szCs w:val="28"/>
          <w:lang w:val="uk-UA"/>
        </w:rPr>
        <w:t xml:space="preserve"> індукції, дедукції та антології – </w:t>
      </w:r>
      <w:r w:rsidRPr="00103781">
        <w:rPr>
          <w:rFonts w:ascii="Times New Roman" w:hAnsi="Times New Roman"/>
          <w:sz w:val="28"/>
          <w:szCs w:val="28"/>
          <w:lang w:val="uk-UA"/>
        </w:rPr>
        <w:lastRenderedPageBreak/>
        <w:t xml:space="preserve">при обґрунтуванні </w:t>
      </w:r>
      <w:r w:rsidR="00C350D5" w:rsidRPr="00103781">
        <w:rPr>
          <w:rFonts w:ascii="Times New Roman" w:hAnsi="Times New Roman"/>
          <w:sz w:val="28"/>
          <w:szCs w:val="28"/>
          <w:lang w:val="uk-UA"/>
        </w:rPr>
        <w:t>концептуальних</w:t>
      </w:r>
      <w:r w:rsidR="00553D52" w:rsidRPr="00103781">
        <w:rPr>
          <w:rFonts w:ascii="Times New Roman" w:hAnsi="Times New Roman"/>
          <w:sz w:val="28"/>
          <w:szCs w:val="28"/>
          <w:lang w:val="uk-UA"/>
        </w:rPr>
        <w:t xml:space="preserve"> напрям</w:t>
      </w:r>
      <w:r w:rsidR="00C350D5" w:rsidRPr="00103781">
        <w:rPr>
          <w:rFonts w:ascii="Times New Roman" w:hAnsi="Times New Roman"/>
          <w:sz w:val="28"/>
          <w:szCs w:val="28"/>
          <w:lang w:val="uk-UA"/>
        </w:rPr>
        <w:t>ів</w:t>
      </w:r>
      <w:r w:rsidR="00553D52" w:rsidRPr="00103781">
        <w:rPr>
          <w:rFonts w:ascii="Times New Roman" w:hAnsi="Times New Roman"/>
          <w:sz w:val="28"/>
          <w:szCs w:val="28"/>
          <w:lang w:val="uk-UA"/>
        </w:rPr>
        <w:t xml:space="preserve"> формування економічного механізму інвестиційної привабливості сільськогосподарських підприємств</w:t>
      </w:r>
      <w:r w:rsidRPr="00103781">
        <w:rPr>
          <w:rFonts w:ascii="Times New Roman" w:hAnsi="Times New Roman"/>
          <w:sz w:val="28"/>
          <w:szCs w:val="28"/>
          <w:lang w:val="uk-UA"/>
        </w:rPr>
        <w:t xml:space="preserve">; порівняльний аналіз – при дослідженні </w:t>
      </w:r>
      <w:r w:rsidR="00C350D5" w:rsidRPr="00103781">
        <w:rPr>
          <w:rFonts w:ascii="Times New Roman" w:hAnsi="Times New Roman"/>
          <w:sz w:val="28"/>
          <w:szCs w:val="28"/>
          <w:lang w:val="uk-UA"/>
        </w:rPr>
        <w:t>класифікаційних ознак складових елементів розвитку інвестиційної привабливості сільськогосподарських підприємств</w:t>
      </w:r>
      <w:r w:rsidRPr="00103781">
        <w:rPr>
          <w:rFonts w:ascii="Times New Roman" w:hAnsi="Times New Roman"/>
          <w:sz w:val="28"/>
          <w:szCs w:val="28"/>
          <w:lang w:val="uk-UA"/>
        </w:rPr>
        <w:t xml:space="preserve">, так і спеціальні (таблично-графічний – при проведенні аналізу </w:t>
      </w:r>
      <w:r w:rsidR="00C350D5" w:rsidRPr="00103781">
        <w:rPr>
          <w:rFonts w:ascii="Times New Roman" w:hAnsi="Times New Roman"/>
          <w:sz w:val="28"/>
          <w:szCs w:val="28"/>
          <w:lang w:val="uk-UA"/>
        </w:rPr>
        <w:t>локальних детермінант розвитку сільськогосподарських підприємств</w:t>
      </w:r>
      <w:r w:rsidRPr="00103781">
        <w:rPr>
          <w:rFonts w:ascii="Times New Roman" w:hAnsi="Times New Roman"/>
          <w:sz w:val="28"/>
          <w:szCs w:val="28"/>
          <w:lang w:val="uk-UA"/>
        </w:rPr>
        <w:t xml:space="preserve">; метод інтегрального оцінювання – при визначенні факторів впливу </w:t>
      </w:r>
      <w:r w:rsidR="00C350D5" w:rsidRPr="00103781">
        <w:rPr>
          <w:rFonts w:ascii="Times New Roman" w:hAnsi="Times New Roman"/>
          <w:sz w:val="28"/>
          <w:szCs w:val="28"/>
          <w:lang w:val="uk-UA"/>
        </w:rPr>
        <w:t>нелінійних функціональних залежностей між параметрами інвестиційної активності сільськогосподарських підприємств</w:t>
      </w:r>
      <w:r w:rsidRPr="00103781">
        <w:rPr>
          <w:rFonts w:ascii="Times New Roman" w:hAnsi="Times New Roman"/>
          <w:sz w:val="28"/>
          <w:szCs w:val="28"/>
          <w:lang w:val="uk-UA"/>
        </w:rPr>
        <w:t xml:space="preserve">; програмно-цільовий – при </w:t>
      </w:r>
      <w:r w:rsidR="00C350D5" w:rsidRPr="00103781">
        <w:rPr>
          <w:rFonts w:ascii="Times New Roman" w:hAnsi="Times New Roman"/>
          <w:sz w:val="28"/>
          <w:szCs w:val="28"/>
          <w:lang w:val="uk-UA"/>
        </w:rPr>
        <w:t xml:space="preserve">обгрунтуванні </w:t>
      </w:r>
      <w:r w:rsidRPr="00103781">
        <w:rPr>
          <w:rFonts w:ascii="Times New Roman" w:hAnsi="Times New Roman"/>
          <w:sz w:val="28"/>
          <w:szCs w:val="28"/>
          <w:lang w:val="uk-UA"/>
        </w:rPr>
        <w:t xml:space="preserve"> </w:t>
      </w:r>
      <w:r w:rsidR="00C350D5" w:rsidRPr="00103781">
        <w:rPr>
          <w:rFonts w:ascii="Times New Roman" w:hAnsi="Times New Roman"/>
          <w:sz w:val="28"/>
          <w:szCs w:val="28"/>
          <w:lang w:val="uk-UA"/>
        </w:rPr>
        <w:t>матричного підходу до стратегії формування економічного механізму розвитку інвестиційної привабливості сільськогосподарських підприємств</w:t>
      </w:r>
      <w:r w:rsidRPr="00103781">
        <w:rPr>
          <w:rFonts w:ascii="Times New Roman" w:hAnsi="Times New Roman"/>
          <w:sz w:val="28"/>
          <w:szCs w:val="28"/>
          <w:lang w:val="uk-UA"/>
        </w:rPr>
        <w:t>)</w:t>
      </w:r>
      <w:r w:rsidR="004009DE">
        <w:rPr>
          <w:rFonts w:ascii="Times New Roman" w:hAnsi="Times New Roman"/>
          <w:sz w:val="28"/>
          <w:szCs w:val="28"/>
          <w:lang w:val="uk-UA"/>
        </w:rPr>
        <w:t>.</w:t>
      </w:r>
    </w:p>
    <w:p w:rsidR="00912C73" w:rsidRPr="00103781" w:rsidRDefault="00E12ED3" w:rsidP="00912C73">
      <w:pPr>
        <w:spacing w:after="0" w:line="360" w:lineRule="auto"/>
        <w:ind w:firstLine="709"/>
        <w:jc w:val="both"/>
        <w:rPr>
          <w:rFonts w:ascii="Times New Roman" w:hAnsi="Times New Roman"/>
          <w:sz w:val="28"/>
          <w:szCs w:val="28"/>
          <w:lang w:val="uk-UA"/>
        </w:rPr>
      </w:pPr>
      <w:r w:rsidRPr="00816B36">
        <w:rPr>
          <w:rFonts w:ascii="Times New Roman" w:eastAsia="Aptos" w:hAnsi="Times New Roman"/>
          <w:b/>
          <w:bCs/>
          <w:kern w:val="2"/>
          <w:sz w:val="28"/>
          <w:szCs w:val="28"/>
          <w:lang w:val="uk-UA"/>
        </w:rPr>
        <w:t>Інформаційною базою дослідження</w:t>
      </w:r>
      <w:r w:rsidRPr="00816B36">
        <w:rPr>
          <w:rFonts w:ascii="Times New Roman" w:eastAsia="Aptos" w:hAnsi="Times New Roman"/>
          <w:kern w:val="2"/>
          <w:sz w:val="28"/>
          <w:szCs w:val="28"/>
          <w:lang w:val="uk-UA"/>
        </w:rPr>
        <w:t xml:space="preserve"> </w:t>
      </w:r>
      <w:r w:rsidRPr="00103781">
        <w:rPr>
          <w:rFonts w:ascii="Times New Roman" w:hAnsi="Times New Roman"/>
          <w:sz w:val="28"/>
          <w:szCs w:val="28"/>
          <w:lang w:val="uk-UA"/>
        </w:rPr>
        <w:t xml:space="preserve">стали законодавчі акти Верховної Ради України, постанови і розпорядження Кабінету Міністрів України, статистична інформація Державної служби статистики України, звіти та статистичні дані </w:t>
      </w:r>
      <w:r w:rsidR="00912C73" w:rsidRPr="001878F2">
        <w:rPr>
          <w:rStyle w:val="docdata"/>
          <w:rFonts w:ascii="Times New Roman" w:hAnsi="Times New Roman"/>
          <w:color w:val="000000"/>
          <w:sz w:val="28"/>
          <w:szCs w:val="28"/>
          <w:lang w:val="uk-UA"/>
        </w:rPr>
        <w:t>сільськогосподарських підприємств</w:t>
      </w:r>
      <w:r w:rsidRPr="00103781">
        <w:rPr>
          <w:rFonts w:ascii="Times New Roman" w:hAnsi="Times New Roman"/>
          <w:sz w:val="28"/>
          <w:szCs w:val="28"/>
          <w:lang w:val="uk-UA"/>
        </w:rPr>
        <w:t xml:space="preserve">, документи та публікації науковців і практиків, а також власні дослідження автора проблем формування </w:t>
      </w:r>
      <w:r w:rsidR="00912C73">
        <w:rPr>
          <w:rStyle w:val="docdata"/>
          <w:rFonts w:ascii="Times New Roman" w:hAnsi="Times New Roman"/>
          <w:color w:val="000000"/>
          <w:sz w:val="28"/>
          <w:szCs w:val="28"/>
          <w:lang w:val="uk-UA"/>
        </w:rPr>
        <w:t>економічного</w:t>
      </w:r>
      <w:r w:rsidR="00912C73" w:rsidRPr="001878F2">
        <w:rPr>
          <w:rStyle w:val="docdata"/>
          <w:rFonts w:ascii="Times New Roman" w:hAnsi="Times New Roman"/>
          <w:color w:val="000000"/>
          <w:sz w:val="28"/>
          <w:szCs w:val="28"/>
          <w:lang w:val="uk-UA"/>
        </w:rPr>
        <w:t xml:space="preserve"> механізм</w:t>
      </w:r>
      <w:r w:rsidR="00912C73">
        <w:rPr>
          <w:rStyle w:val="docdata"/>
          <w:rFonts w:ascii="Times New Roman" w:hAnsi="Times New Roman"/>
          <w:color w:val="000000"/>
          <w:sz w:val="28"/>
          <w:szCs w:val="28"/>
          <w:lang w:val="uk-UA"/>
        </w:rPr>
        <w:t>у</w:t>
      </w:r>
      <w:r w:rsidR="00912C73" w:rsidRPr="001878F2">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004009DE">
        <w:rPr>
          <w:rFonts w:ascii="Times New Roman" w:hAnsi="Times New Roman"/>
          <w:sz w:val="28"/>
          <w:szCs w:val="28"/>
          <w:lang w:val="uk-UA"/>
        </w:rPr>
        <w:t>.</w:t>
      </w:r>
    </w:p>
    <w:p w:rsidR="00E12ED3" w:rsidRPr="004009DE" w:rsidRDefault="00E12ED3" w:rsidP="00E12ED3">
      <w:pPr>
        <w:spacing w:after="0" w:line="360" w:lineRule="auto"/>
        <w:ind w:firstLine="709"/>
        <w:jc w:val="both"/>
        <w:rPr>
          <w:rFonts w:ascii="Times New Roman" w:hAnsi="Times New Roman"/>
          <w:sz w:val="28"/>
          <w:szCs w:val="28"/>
          <w:lang w:val="uk-UA"/>
        </w:rPr>
      </w:pPr>
      <w:r w:rsidRPr="00816B36">
        <w:rPr>
          <w:rFonts w:ascii="Times New Roman" w:eastAsia="Times New Roman" w:hAnsi="Times New Roman"/>
          <w:b/>
          <w:bCs/>
          <w:color w:val="000000"/>
          <w:sz w:val="28"/>
          <w:szCs w:val="28"/>
          <w:lang w:val="uk-UA" w:eastAsia="uk-UA"/>
        </w:rPr>
        <w:t>Наукова новизна одержаних результатів.</w:t>
      </w:r>
      <w:r w:rsidRPr="00816B36">
        <w:rPr>
          <w:rFonts w:ascii="Times New Roman" w:eastAsia="Times New Roman" w:hAnsi="Times New Roman"/>
          <w:color w:val="000000"/>
          <w:sz w:val="28"/>
          <w:szCs w:val="28"/>
          <w:lang w:val="uk-UA" w:eastAsia="uk-UA"/>
        </w:rPr>
        <w:t xml:space="preserve"> </w:t>
      </w:r>
      <w:r w:rsidRPr="00912C73">
        <w:rPr>
          <w:rFonts w:ascii="Times New Roman" w:hAnsi="Times New Roman"/>
          <w:sz w:val="28"/>
          <w:szCs w:val="28"/>
          <w:lang w:val="uk-UA"/>
        </w:rPr>
        <w:t xml:space="preserve">Основним науковим результатом проведеного дослідження є розвиток теоретико-методичних положень щодо формування </w:t>
      </w:r>
      <w:r w:rsidR="00912C73" w:rsidRPr="001878F2">
        <w:rPr>
          <w:rStyle w:val="docdata"/>
          <w:rFonts w:ascii="Times New Roman" w:hAnsi="Times New Roman"/>
          <w:color w:val="000000"/>
          <w:sz w:val="28"/>
          <w:szCs w:val="28"/>
          <w:lang w:val="uk-UA"/>
        </w:rPr>
        <w:t>економічн</w:t>
      </w:r>
      <w:r w:rsidR="00912C73">
        <w:rPr>
          <w:rStyle w:val="docdata"/>
          <w:rFonts w:ascii="Times New Roman" w:hAnsi="Times New Roman"/>
          <w:color w:val="000000"/>
          <w:sz w:val="28"/>
          <w:szCs w:val="28"/>
          <w:lang w:val="uk-UA"/>
        </w:rPr>
        <w:t>ого</w:t>
      </w:r>
      <w:r w:rsidR="00912C73" w:rsidRPr="001878F2">
        <w:rPr>
          <w:rStyle w:val="docdata"/>
          <w:rFonts w:ascii="Times New Roman" w:hAnsi="Times New Roman"/>
          <w:color w:val="000000"/>
          <w:sz w:val="28"/>
          <w:szCs w:val="28"/>
          <w:lang w:val="uk-UA"/>
        </w:rPr>
        <w:t xml:space="preserve"> механізм</w:t>
      </w:r>
      <w:r w:rsidR="00912C73">
        <w:rPr>
          <w:rStyle w:val="docdata"/>
          <w:rFonts w:ascii="Times New Roman" w:hAnsi="Times New Roman"/>
          <w:color w:val="000000"/>
          <w:sz w:val="28"/>
          <w:szCs w:val="28"/>
          <w:lang w:val="uk-UA"/>
        </w:rPr>
        <w:t>у</w:t>
      </w:r>
      <w:r w:rsidR="00912C73" w:rsidRPr="001878F2">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Pr="00912C73">
        <w:rPr>
          <w:rFonts w:ascii="Times New Roman" w:hAnsi="Times New Roman"/>
          <w:sz w:val="28"/>
          <w:szCs w:val="28"/>
          <w:lang w:val="uk-UA"/>
        </w:rPr>
        <w:t>:</w:t>
      </w:r>
    </w:p>
    <w:p w:rsidR="00625F6D" w:rsidRDefault="00E12ED3" w:rsidP="00625F6D">
      <w:pPr>
        <w:spacing w:after="0" w:line="360" w:lineRule="auto"/>
        <w:ind w:firstLine="709"/>
        <w:jc w:val="both"/>
        <w:rPr>
          <w:rFonts w:ascii="Times New Roman" w:eastAsia="Times New Roman" w:hAnsi="Times New Roman"/>
          <w:i/>
          <w:iCs/>
          <w:color w:val="000000"/>
          <w:sz w:val="28"/>
          <w:szCs w:val="28"/>
          <w:lang w:val="uk-UA" w:eastAsia="uk-UA"/>
        </w:rPr>
      </w:pPr>
      <w:r w:rsidRPr="00816B36">
        <w:rPr>
          <w:rFonts w:ascii="Times New Roman" w:eastAsia="Times New Roman" w:hAnsi="Times New Roman"/>
          <w:i/>
          <w:iCs/>
          <w:color w:val="000000"/>
          <w:sz w:val="28"/>
          <w:szCs w:val="28"/>
          <w:lang w:val="uk-UA" w:eastAsia="uk-UA"/>
        </w:rPr>
        <w:t>удосконалено:</w:t>
      </w:r>
    </w:p>
    <w:p w:rsidR="00625F6D" w:rsidRPr="00625F6D" w:rsidRDefault="009E2C13" w:rsidP="00625F6D">
      <w:pPr>
        <w:spacing w:after="0" w:line="360" w:lineRule="auto"/>
        <w:ind w:firstLine="709"/>
        <w:jc w:val="both"/>
        <w:rPr>
          <w:rFonts w:ascii="Times New Roman" w:hAnsi="Times New Roman"/>
          <w:noProof/>
          <w:sz w:val="28"/>
          <w:szCs w:val="28"/>
          <w:lang w:val="uk-UA"/>
        </w:rPr>
      </w:pPr>
      <w:r>
        <w:rPr>
          <w:rFonts w:ascii="Times New Roman" w:hAnsi="Times New Roman"/>
          <w:sz w:val="28"/>
          <w:szCs w:val="28"/>
          <w:lang w:val="uk-UA"/>
        </w:rPr>
        <w:t xml:space="preserve">- </w:t>
      </w:r>
      <w:r w:rsidR="00625F6D" w:rsidRPr="00625F6D">
        <w:rPr>
          <w:rFonts w:ascii="Times New Roman" w:hAnsi="Times New Roman"/>
          <w:sz w:val="28"/>
          <w:szCs w:val="28"/>
          <w:lang w:val="uk-UA"/>
        </w:rPr>
        <w:t xml:space="preserve">класифікаційні ознаки складових елементів розвитку інвестиційної привабливості сільськогосподарських підприємств, які, на відміну від існуючих, базуються на концептуальній моделі, а саме: фінансово-економічний блок (ступінь диверсифікації та структура термінів погашення цінних паперів, що утворюють інвестиційний портфель підприємства (дані регулярного аналізу інвестиційних якостей зазначених цінних паперів); </w:t>
      </w:r>
      <w:r w:rsidR="00625F6D" w:rsidRPr="00625F6D">
        <w:rPr>
          <w:rFonts w:ascii="Times New Roman" w:hAnsi="Times New Roman"/>
          <w:sz w:val="28"/>
          <w:szCs w:val="28"/>
          <w:lang w:val="uk-UA"/>
        </w:rPr>
        <w:lastRenderedPageBreak/>
        <w:t>показники, що характеризують дивідендну політ</w:t>
      </w:r>
      <w:r w:rsidR="009C275C">
        <w:rPr>
          <w:rFonts w:ascii="Times New Roman" w:hAnsi="Times New Roman"/>
          <w:sz w:val="28"/>
          <w:szCs w:val="28"/>
          <w:lang w:val="uk-UA"/>
        </w:rPr>
        <w:t>ику підприємства</w:t>
      </w:r>
      <w:r w:rsidR="00625F6D" w:rsidRPr="00625F6D">
        <w:rPr>
          <w:rFonts w:ascii="Times New Roman" w:hAnsi="Times New Roman"/>
          <w:sz w:val="28"/>
          <w:szCs w:val="28"/>
          <w:lang w:val="uk-UA"/>
        </w:rPr>
        <w:t>; виробничо-технологічний блок (будівництво, розширення, реконструкція, технічне переозброєння об'єктів виробничого та невиробничого призначення; придбання рухомого та нерухомого майна (машин, обладнання, транспортних засобів, будівель та споруд)); управлінський блок (показники організаційно-технічного та кадрового рівня підприємства; показники використання ресурсів для підприємства); зовнішній блок (можливості реагування на зміну ринкового попиту; показники ринкового стану та конкурентоспроможності продукції підприємства), що забезпечить створення екосистеми для підвищення фінансової стійкості, сталого розвитку та гарантує окупність інвестицій</w:t>
      </w:r>
      <w:r w:rsidR="00E12ED3" w:rsidRPr="00625F6D">
        <w:rPr>
          <w:rFonts w:ascii="Times New Roman" w:hAnsi="Times New Roman"/>
          <w:noProof/>
          <w:sz w:val="28"/>
          <w:szCs w:val="28"/>
          <w:lang w:val="uk-UA"/>
        </w:rPr>
        <w:t>;</w:t>
      </w:r>
    </w:p>
    <w:p w:rsidR="00625F6D" w:rsidRPr="00625F6D" w:rsidRDefault="009E2C13" w:rsidP="00625F6D">
      <w:pPr>
        <w:spacing w:after="0" w:line="360" w:lineRule="auto"/>
        <w:ind w:firstLine="709"/>
        <w:jc w:val="both"/>
        <w:rPr>
          <w:rFonts w:ascii="Times New Roman" w:hAnsi="Times New Roman"/>
          <w:noProof/>
          <w:sz w:val="28"/>
          <w:szCs w:val="28"/>
          <w:lang w:val="uk-UA"/>
        </w:rPr>
      </w:pPr>
      <w:r>
        <w:rPr>
          <w:rFonts w:ascii="Times New Roman" w:hAnsi="Times New Roman"/>
          <w:sz w:val="28"/>
          <w:szCs w:val="28"/>
          <w:lang w:val="uk-UA"/>
        </w:rPr>
        <w:t xml:space="preserve">- </w:t>
      </w:r>
      <w:r w:rsidR="00625F6D" w:rsidRPr="00625F6D">
        <w:rPr>
          <w:rFonts w:ascii="Times New Roman" w:hAnsi="Times New Roman"/>
          <w:sz w:val="28"/>
          <w:szCs w:val="28"/>
          <w:lang w:val="uk-UA"/>
        </w:rPr>
        <w:t>когнітивне моделювання розвитку інвестиційної привабливості сільськогосподарських підприємств, який, на відміну від існуючих, базується на інтеграції методики UNIDO у архітектуру управління за рахунок поєднання: орієнтованість на інвестора (оцінити ефективність використання капіталу, сценарні варіанти розвитку економічного оточення та організаційно-правових форм реалізації проєкту (юридичне забезпечення податкова політика, економічна активність, державна підтримка)); ефекту від реалізації проєкту (фінансово-економічний, науково-технічний, соціально-екологічний); екологічності та стійкості (фокус на «зеленому» виробництві, енергоефективності та мінімізації відходів); універсальність (оцінити ризику, факторів невизначеності при реалізації проєкту), що реалізує алгоритм багатокритеріальної оцінки прийняття рішень у процесі формування інвестиційної привабливості підприємств</w:t>
      </w:r>
      <w:r w:rsidR="00625F6D" w:rsidRPr="00625F6D">
        <w:rPr>
          <w:rFonts w:ascii="Times New Roman" w:hAnsi="Times New Roman"/>
          <w:noProof/>
          <w:sz w:val="28"/>
          <w:szCs w:val="28"/>
          <w:lang w:val="uk-UA"/>
        </w:rPr>
        <w:t>;</w:t>
      </w:r>
    </w:p>
    <w:p w:rsidR="00625F6D" w:rsidRPr="00625F6D" w:rsidRDefault="009E2C13" w:rsidP="00625F6D">
      <w:pPr>
        <w:spacing w:after="0" w:line="360" w:lineRule="auto"/>
        <w:ind w:firstLine="709"/>
        <w:jc w:val="both"/>
        <w:rPr>
          <w:rFonts w:ascii="Times New Roman" w:hAnsi="Times New Roman"/>
          <w:color w:val="000000"/>
          <w:sz w:val="28"/>
          <w:szCs w:val="28"/>
          <w:lang w:val="uk-UA"/>
        </w:rPr>
      </w:pPr>
      <w:r>
        <w:rPr>
          <w:rStyle w:val="af1"/>
          <w:rFonts w:ascii="Times New Roman" w:hAnsi="Times New Roman"/>
          <w:b w:val="0"/>
          <w:bCs w:val="0"/>
          <w:color w:val="000000"/>
          <w:sz w:val="28"/>
          <w:szCs w:val="28"/>
          <w:lang w:val="uk-UA"/>
        </w:rPr>
        <w:t xml:space="preserve">- </w:t>
      </w:r>
      <w:r w:rsidR="00625F6D" w:rsidRPr="00625F6D">
        <w:rPr>
          <w:rStyle w:val="af1"/>
          <w:rFonts w:ascii="Times New Roman" w:hAnsi="Times New Roman"/>
          <w:b w:val="0"/>
          <w:bCs w:val="0"/>
          <w:color w:val="000000"/>
          <w:sz w:val="28"/>
          <w:szCs w:val="28"/>
          <w:lang w:val="uk-UA"/>
        </w:rPr>
        <w:t xml:space="preserve">концептуальні напрями формування економічного механізму інвестиційної привабливості сільськогосподарських підприємств, які на відміну від існуючих базуються на </w:t>
      </w:r>
      <w:r w:rsidR="00625F6D" w:rsidRPr="00625F6D">
        <w:rPr>
          <w:rFonts w:ascii="Times New Roman" w:hAnsi="Times New Roman"/>
          <w:color w:val="000000"/>
          <w:sz w:val="28"/>
          <w:szCs w:val="28"/>
          <w:lang w:val="uk-UA"/>
        </w:rPr>
        <w:t>структурно-функціональній моделі управління цінністю бізнесу, за рахунок застосування адаптивних засад з урахуванням визначення траєкторії зростання, а саме: теоретичного підґрунтя стратегічних елементів механізму</w:t>
      </w:r>
      <w:r w:rsidR="00625F6D" w:rsidRPr="00625F6D">
        <w:rPr>
          <w:rStyle w:val="apple-converted-space"/>
          <w:rFonts w:ascii="Times New Roman" w:hAnsi="Times New Roman"/>
          <w:color w:val="000000"/>
          <w:sz w:val="28"/>
          <w:szCs w:val="28"/>
          <w:lang w:val="uk-UA"/>
        </w:rPr>
        <w:t xml:space="preserve"> </w:t>
      </w:r>
      <w:r w:rsidR="00625F6D" w:rsidRPr="00625F6D">
        <w:rPr>
          <w:rFonts w:ascii="Times New Roman" w:hAnsi="Times New Roman"/>
          <w:color w:val="000000"/>
          <w:sz w:val="28"/>
          <w:szCs w:val="28"/>
          <w:lang w:val="uk-UA"/>
        </w:rPr>
        <w:t xml:space="preserve">(архітектурна структуризація </w:t>
      </w:r>
      <w:r w:rsidR="00625F6D" w:rsidRPr="00625F6D">
        <w:rPr>
          <w:rFonts w:ascii="Times New Roman" w:hAnsi="Times New Roman"/>
          <w:color w:val="000000"/>
          <w:sz w:val="28"/>
          <w:szCs w:val="28"/>
          <w:lang w:val="uk-UA"/>
        </w:rPr>
        <w:lastRenderedPageBreak/>
        <w:t>цілей максимізації капіталізації; систематизація принципів проактивності; стратегічного цілепокладання; конкретизація суб’єктно-об’єктної взаємодії в контурі інвестиційного ринку); використання методологічного блоку</w:t>
      </w:r>
      <w:r w:rsidR="00625F6D" w:rsidRPr="00625F6D">
        <w:rPr>
          <w:rStyle w:val="apple-converted-space"/>
          <w:rFonts w:ascii="Times New Roman" w:hAnsi="Times New Roman"/>
          <w:color w:val="000000"/>
          <w:sz w:val="28"/>
          <w:szCs w:val="28"/>
          <w:lang w:val="uk-UA"/>
        </w:rPr>
        <w:t xml:space="preserve"> </w:t>
      </w:r>
      <w:r w:rsidR="00625F6D" w:rsidRPr="00625F6D">
        <w:rPr>
          <w:rFonts w:ascii="Times New Roman" w:hAnsi="Times New Roman"/>
          <w:color w:val="000000"/>
          <w:sz w:val="28"/>
          <w:szCs w:val="28"/>
          <w:lang w:val="uk-UA"/>
        </w:rPr>
        <w:t>(запровадження методик проактивної діагностики інвестиційного профілю, стрес-тестування ризикової стійкості, моделювання фундаментальної вартості бізнесу через кореляцію грошових потоків та вартості капіталу); застосування функціональних складових</w:t>
      </w:r>
      <w:r w:rsidR="00625F6D" w:rsidRPr="00625F6D">
        <w:rPr>
          <w:rStyle w:val="apple-converted-space"/>
          <w:rFonts w:ascii="Times New Roman" w:hAnsi="Times New Roman"/>
          <w:color w:val="000000"/>
          <w:sz w:val="28"/>
          <w:szCs w:val="28"/>
          <w:lang w:val="uk-UA"/>
        </w:rPr>
        <w:t xml:space="preserve"> </w:t>
      </w:r>
      <w:r w:rsidR="00625F6D" w:rsidRPr="00625F6D">
        <w:rPr>
          <w:rFonts w:ascii="Times New Roman" w:hAnsi="Times New Roman"/>
          <w:color w:val="000000"/>
          <w:sz w:val="28"/>
          <w:szCs w:val="28"/>
          <w:lang w:val="uk-UA"/>
        </w:rPr>
        <w:t xml:space="preserve">(трансформації ресурсного потенціалу у ринкову цінність; інтеграції </w:t>
      </w:r>
      <w:r w:rsidR="00625F6D" w:rsidRPr="00625F6D">
        <w:rPr>
          <w:rFonts w:ascii="Times New Roman" w:hAnsi="Times New Roman"/>
          <w:color w:val="000000"/>
          <w:sz w:val="28"/>
          <w:szCs w:val="28"/>
        </w:rPr>
        <w:t>ESG</w:t>
      </w:r>
      <w:r w:rsidR="00625F6D" w:rsidRPr="00625F6D">
        <w:rPr>
          <w:rFonts w:ascii="Times New Roman" w:hAnsi="Times New Roman"/>
          <w:color w:val="000000"/>
          <w:sz w:val="28"/>
          <w:szCs w:val="28"/>
          <w:lang w:val="uk-UA"/>
        </w:rPr>
        <w:t>-факторів як нематеріальних драйверів; декомпозиції показників операційної та фінансової ефективності)</w:t>
      </w:r>
      <w:r w:rsidR="00625F6D">
        <w:rPr>
          <w:rFonts w:ascii="Times New Roman" w:hAnsi="Times New Roman"/>
          <w:color w:val="000000"/>
          <w:sz w:val="28"/>
          <w:szCs w:val="28"/>
          <w:lang w:val="uk-UA"/>
        </w:rPr>
        <w:t xml:space="preserve">, </w:t>
      </w:r>
      <w:r w:rsidR="00625F6D" w:rsidRPr="00625F6D">
        <w:rPr>
          <w:rFonts w:ascii="Times New Roman" w:hAnsi="Times New Roman"/>
          <w:color w:val="000000"/>
          <w:sz w:val="28"/>
          <w:szCs w:val="28"/>
          <w:lang w:val="uk-UA"/>
        </w:rPr>
        <w:t>що забезпечує вимірюваність, досяжність, стійку активізацію інвестиційного розвитку підприємств в умовах воєнної турбулентності та макроекономічної невизначеності;</w:t>
      </w:r>
    </w:p>
    <w:p w:rsidR="00625F6D" w:rsidRPr="00625F6D" w:rsidRDefault="009E2C13" w:rsidP="00625F6D">
      <w:pPr>
        <w:spacing w:after="0" w:line="360" w:lineRule="auto"/>
        <w:ind w:firstLine="709"/>
        <w:jc w:val="both"/>
        <w:rPr>
          <w:rFonts w:ascii="Times New Roman" w:hAnsi="Times New Roman"/>
          <w:noProof/>
          <w:sz w:val="28"/>
          <w:szCs w:val="28"/>
          <w:lang w:val="uk-UA"/>
        </w:rPr>
      </w:pPr>
      <w:r>
        <w:rPr>
          <w:rStyle w:val="citation-1203"/>
          <w:rFonts w:ascii="Times New Roman" w:hAnsi="Times New Roman"/>
          <w:color w:val="000000"/>
          <w:sz w:val="28"/>
          <w:szCs w:val="28"/>
          <w:lang w:val="uk-UA"/>
        </w:rPr>
        <w:t xml:space="preserve">- </w:t>
      </w:r>
      <w:r w:rsidR="00625F6D" w:rsidRPr="00625F6D">
        <w:rPr>
          <w:rStyle w:val="citation-1203"/>
          <w:rFonts w:ascii="Times New Roman" w:hAnsi="Times New Roman"/>
          <w:color w:val="000000"/>
          <w:sz w:val="28"/>
          <w:szCs w:val="28"/>
          <w:lang w:val="uk-UA"/>
        </w:rPr>
        <w:t>функціонально –</w:t>
      </w:r>
      <w:r w:rsidR="00625F6D" w:rsidRPr="00625F6D">
        <w:rPr>
          <w:rFonts w:ascii="Times New Roman" w:hAnsi="Times New Roman"/>
          <w:color w:val="000000"/>
          <w:sz w:val="28"/>
          <w:szCs w:val="28"/>
          <w:lang w:val="uk-UA"/>
        </w:rPr>
        <w:t>економічний механізм підвищення інвестиційної привабливості сільськогосподарських підприємств,</w:t>
      </w:r>
      <w:r w:rsidR="00625F6D" w:rsidRPr="00625F6D">
        <w:rPr>
          <w:rStyle w:val="apple-converted-space"/>
          <w:rFonts w:ascii="Times New Roman" w:hAnsi="Times New Roman"/>
          <w:color w:val="000000"/>
          <w:sz w:val="28"/>
          <w:szCs w:val="28"/>
          <w:lang w:val="uk-UA"/>
        </w:rPr>
        <w:t xml:space="preserve"> </w:t>
      </w:r>
      <w:r w:rsidR="00625F6D" w:rsidRPr="00625F6D">
        <w:rPr>
          <w:rStyle w:val="citation-1203"/>
          <w:rFonts w:ascii="Times New Roman" w:hAnsi="Times New Roman"/>
          <w:color w:val="000000"/>
          <w:sz w:val="28"/>
          <w:szCs w:val="28"/>
          <w:lang w:val="uk-UA"/>
        </w:rPr>
        <w:t>що базується на синергетичній інтеграції інструментів вартісно-орієнтованого управління (перехід від бухгалтерського прибутку до генерації економічної доданої вартості та управління драйверами</w:t>
      </w:r>
      <w:r w:rsidR="00625F6D" w:rsidRPr="00625F6D">
        <w:rPr>
          <w:rStyle w:val="apple-converted-space"/>
          <w:rFonts w:ascii="Times New Roman" w:hAnsi="Times New Roman"/>
          <w:color w:val="000000"/>
          <w:sz w:val="28"/>
          <w:szCs w:val="28"/>
          <w:lang w:val="uk-UA"/>
        </w:rPr>
        <w:t xml:space="preserve"> </w:t>
      </w:r>
      <w:r w:rsidR="00625F6D" w:rsidRPr="00625F6D">
        <w:rPr>
          <w:rStyle w:val="apple-converted-space"/>
          <w:rFonts w:ascii="Times New Roman" w:hAnsi="Times New Roman"/>
          <w:color w:val="000000"/>
          <w:sz w:val="28"/>
          <w:szCs w:val="28"/>
          <w:lang w:val="en-US"/>
        </w:rPr>
        <w:t>FCFF</w:t>
      </w:r>
      <w:r w:rsidR="00625F6D" w:rsidRPr="00625F6D">
        <w:rPr>
          <w:rStyle w:val="citation-1203"/>
          <w:rFonts w:ascii="Times New Roman" w:hAnsi="Times New Roman"/>
          <w:color w:val="000000"/>
          <w:sz w:val="28"/>
          <w:szCs w:val="28"/>
          <w:lang w:val="uk-UA"/>
        </w:rPr>
        <w:t xml:space="preserve">, </w:t>
      </w:r>
      <w:r w:rsidR="00625F6D" w:rsidRPr="00625F6D">
        <w:rPr>
          <w:rStyle w:val="apple-converted-space"/>
          <w:rFonts w:ascii="Times New Roman" w:hAnsi="Times New Roman"/>
          <w:color w:val="000000"/>
          <w:sz w:val="28"/>
          <w:szCs w:val="28"/>
        </w:rPr>
        <w:t>WACC</w:t>
      </w:r>
      <w:r w:rsidR="00625F6D" w:rsidRPr="00625F6D">
        <w:rPr>
          <w:rStyle w:val="citation-1202"/>
          <w:rFonts w:ascii="Times New Roman" w:hAnsi="Times New Roman"/>
          <w:color w:val="000000"/>
          <w:sz w:val="28"/>
          <w:szCs w:val="28"/>
          <w:lang w:val="uk-UA"/>
        </w:rPr>
        <w:t xml:space="preserve">), контрактно-інституційної стабілізації (використання </w:t>
      </w:r>
      <w:r w:rsidR="00625F6D" w:rsidRPr="00625F6D">
        <w:rPr>
          <w:rStyle w:val="citation-1202"/>
          <w:rFonts w:ascii="Times New Roman" w:hAnsi="Times New Roman"/>
          <w:color w:val="000000"/>
          <w:sz w:val="28"/>
          <w:szCs w:val="28"/>
        </w:rPr>
        <w:t>offtake</w:t>
      </w:r>
      <w:r w:rsidR="00625F6D" w:rsidRPr="00625F6D">
        <w:rPr>
          <w:rStyle w:val="citation-1202"/>
          <w:rFonts w:ascii="Times New Roman" w:hAnsi="Times New Roman"/>
          <w:color w:val="000000"/>
          <w:sz w:val="28"/>
          <w:szCs w:val="28"/>
          <w:lang w:val="uk-UA"/>
        </w:rPr>
        <w:t>-контрактів та аграрних розписок для зниження інформаційної асиметрії</w:t>
      </w:r>
      <w:r w:rsidR="00625F6D" w:rsidRPr="00625F6D">
        <w:rPr>
          <w:rStyle w:val="citation-1201"/>
          <w:rFonts w:ascii="Times New Roman" w:hAnsi="Times New Roman"/>
          <w:color w:val="000000"/>
          <w:sz w:val="28"/>
          <w:szCs w:val="28"/>
          <w:lang w:val="uk-UA"/>
        </w:rPr>
        <w:t xml:space="preserve">), вдосконаленого ризик-менеджменту (кількісна інтеграція ризиків через показники </w:t>
      </w:r>
      <w:r w:rsidR="00625F6D" w:rsidRPr="00625F6D">
        <w:rPr>
          <w:rStyle w:val="citation-1201"/>
          <w:rFonts w:ascii="Times New Roman" w:hAnsi="Times New Roman"/>
          <w:color w:val="000000"/>
          <w:sz w:val="28"/>
          <w:szCs w:val="28"/>
        </w:rPr>
        <w:t>RAROC</w:t>
      </w:r>
      <w:r w:rsidR="00625F6D" w:rsidRPr="00625F6D">
        <w:rPr>
          <w:rStyle w:val="citation-1201"/>
          <w:rFonts w:ascii="Times New Roman" w:hAnsi="Times New Roman"/>
          <w:color w:val="000000"/>
          <w:sz w:val="28"/>
          <w:szCs w:val="28"/>
          <w:lang w:val="uk-UA"/>
        </w:rPr>
        <w:t xml:space="preserve"> і </w:t>
      </w:r>
      <w:r w:rsidR="00625F6D" w:rsidRPr="00625F6D">
        <w:rPr>
          <w:rStyle w:val="citation-1201"/>
          <w:rFonts w:ascii="Times New Roman" w:hAnsi="Times New Roman"/>
          <w:color w:val="000000"/>
          <w:sz w:val="28"/>
          <w:szCs w:val="28"/>
        </w:rPr>
        <w:t>stress</w:t>
      </w:r>
      <w:r w:rsidR="00625F6D" w:rsidRPr="00625F6D">
        <w:rPr>
          <w:rStyle w:val="citation-1201"/>
          <w:rFonts w:ascii="Times New Roman" w:hAnsi="Times New Roman"/>
          <w:color w:val="000000"/>
          <w:sz w:val="28"/>
          <w:szCs w:val="28"/>
          <w:lang w:val="uk-UA"/>
        </w:rPr>
        <w:t>-</w:t>
      </w:r>
      <w:r w:rsidR="00625F6D" w:rsidRPr="00625F6D">
        <w:rPr>
          <w:rStyle w:val="citation-1201"/>
          <w:rFonts w:ascii="Times New Roman" w:hAnsi="Times New Roman"/>
          <w:color w:val="000000"/>
          <w:sz w:val="28"/>
          <w:szCs w:val="28"/>
        </w:rPr>
        <w:t>testing</w:t>
      </w:r>
      <w:r w:rsidR="00625F6D" w:rsidRPr="00625F6D">
        <w:rPr>
          <w:rStyle w:val="citation-1200"/>
          <w:rFonts w:ascii="Times New Roman" w:hAnsi="Times New Roman"/>
          <w:color w:val="000000"/>
          <w:sz w:val="28"/>
          <w:szCs w:val="28"/>
          <w:lang w:val="uk-UA"/>
        </w:rPr>
        <w:t>), що забезпечує авторегресійну підтримку інвестиційного сприйняття та дозволяє керувати можливостями капіталізації переваг через накопичений стратегічний потенціал;</w:t>
      </w:r>
    </w:p>
    <w:p w:rsidR="00625F6D" w:rsidRDefault="00E12ED3" w:rsidP="00625F6D">
      <w:pPr>
        <w:spacing w:after="0" w:line="360" w:lineRule="auto"/>
        <w:ind w:firstLine="709"/>
        <w:jc w:val="both"/>
        <w:rPr>
          <w:rFonts w:ascii="Times New Roman" w:eastAsia="Times New Roman" w:hAnsi="Times New Roman"/>
          <w:i/>
          <w:iCs/>
          <w:color w:val="000000"/>
          <w:sz w:val="28"/>
          <w:szCs w:val="28"/>
          <w:lang w:val="uk-UA" w:eastAsia="uk-UA"/>
        </w:rPr>
      </w:pPr>
      <w:r w:rsidRPr="00A47A82">
        <w:rPr>
          <w:rFonts w:ascii="Times New Roman" w:eastAsia="Times New Roman" w:hAnsi="Times New Roman"/>
          <w:i/>
          <w:iCs/>
          <w:color w:val="000000"/>
          <w:sz w:val="28"/>
          <w:szCs w:val="28"/>
          <w:lang w:val="uk-UA" w:eastAsia="uk-UA"/>
        </w:rPr>
        <w:t>набули подальшого розвитку:</w:t>
      </w:r>
    </w:p>
    <w:p w:rsidR="00E12ED3" w:rsidRPr="00625F6D" w:rsidRDefault="009E2C13" w:rsidP="00625F6D">
      <w:pPr>
        <w:spacing w:after="0" w:line="360" w:lineRule="auto"/>
        <w:ind w:firstLine="709"/>
        <w:jc w:val="both"/>
        <w:rPr>
          <w:rFonts w:ascii="Times New Roman" w:eastAsia="Aptos" w:hAnsi="Times New Roman"/>
          <w:kern w:val="2"/>
          <w:sz w:val="28"/>
          <w:szCs w:val="28"/>
          <w:lang w:val="uk-UA"/>
        </w:rPr>
      </w:pPr>
      <w:r>
        <w:rPr>
          <w:rFonts w:ascii="Times New Roman" w:hAnsi="Times New Roman"/>
          <w:sz w:val="28"/>
          <w:szCs w:val="28"/>
          <w:lang w:val="uk-UA"/>
        </w:rPr>
        <w:t xml:space="preserve">- </w:t>
      </w:r>
      <w:r w:rsidR="00625F6D" w:rsidRPr="00625F6D">
        <w:rPr>
          <w:rFonts w:ascii="Times New Roman" w:hAnsi="Times New Roman"/>
          <w:sz w:val="28"/>
          <w:szCs w:val="28"/>
          <w:lang w:val="uk-UA"/>
        </w:rPr>
        <w:t>понятійно-категорійний апарат дослідження шляхом доповнення та уточнення змісту понять, а саме: поняття інвестиційної привабливості сільськогосподарських підприємств яке базується на синтезі методів оцінки життєздатності інвестиційної привабливості, а саме: інвестування коштів (</w:t>
      </w:r>
      <w:r w:rsidR="00625F6D" w:rsidRPr="00625F6D">
        <w:rPr>
          <w:rFonts w:ascii="Times New Roman" w:hAnsi="Times New Roman"/>
          <w:bCs/>
          <w:sz w:val="28"/>
          <w:szCs w:val="28"/>
          <w:lang w:val="uk-UA"/>
        </w:rPr>
        <w:t>купівля активів за рахунок п</w:t>
      </w:r>
      <w:r w:rsidR="00625F6D" w:rsidRPr="00625F6D">
        <w:rPr>
          <w:rFonts w:ascii="Times New Roman" w:hAnsi="Times New Roman"/>
          <w:sz w:val="28"/>
          <w:szCs w:val="28"/>
          <w:lang w:val="uk-UA"/>
        </w:rPr>
        <w:t xml:space="preserve">ридбання земельних ділянок або частки у статутному капіталі для отримання контролю та підвищення прибутковості);   </w:t>
      </w:r>
      <w:r w:rsidR="00625F6D" w:rsidRPr="00625F6D">
        <w:rPr>
          <w:rFonts w:ascii="Times New Roman" w:hAnsi="Times New Roman"/>
          <w:sz w:val="28"/>
          <w:szCs w:val="28"/>
          <w:lang w:val="uk-UA"/>
        </w:rPr>
        <w:lastRenderedPageBreak/>
        <w:t>вкладення коштів через спеціалізовані і</w:t>
      </w:r>
      <w:r w:rsidR="00625F6D" w:rsidRPr="00625F6D">
        <w:rPr>
          <w:rFonts w:ascii="Times New Roman" w:hAnsi="Times New Roman"/>
          <w:bCs/>
          <w:sz w:val="28"/>
          <w:szCs w:val="28"/>
          <w:lang w:val="uk-UA"/>
        </w:rPr>
        <w:t xml:space="preserve">нвестиційні фонди (ПУАФ), за рахунок </w:t>
      </w:r>
      <w:r w:rsidR="00625F6D" w:rsidRPr="00625F6D">
        <w:rPr>
          <w:rFonts w:ascii="Times New Roman" w:hAnsi="Times New Roman"/>
          <w:sz w:val="28"/>
          <w:szCs w:val="28"/>
          <w:lang w:val="uk-UA"/>
        </w:rPr>
        <w:t>формування та управління  портфелем агрокомпаній, модернізацію, розширення земельного банку; придбання сільськогосподарської техніки, обладнання, земельних ділянок у л</w:t>
      </w:r>
      <w:r w:rsidR="00625F6D" w:rsidRPr="00625F6D">
        <w:rPr>
          <w:rFonts w:ascii="Times New Roman" w:hAnsi="Times New Roman"/>
          <w:bCs/>
          <w:sz w:val="28"/>
          <w:szCs w:val="28"/>
          <w:lang w:val="uk-UA"/>
        </w:rPr>
        <w:t>ізинг (</w:t>
      </w:r>
      <w:r w:rsidR="00625F6D" w:rsidRPr="00625F6D">
        <w:rPr>
          <w:rFonts w:ascii="Times New Roman" w:hAnsi="Times New Roman"/>
          <w:sz w:val="28"/>
          <w:szCs w:val="28"/>
          <w:lang w:val="uk-UA"/>
        </w:rPr>
        <w:t>довгострокова оренда з правом викупу)</w:t>
      </w:r>
      <w:r w:rsidR="00625F6D" w:rsidRPr="00625F6D">
        <w:rPr>
          <w:rFonts w:ascii="Times New Roman" w:hAnsi="Times New Roman"/>
          <w:bCs/>
          <w:sz w:val="28"/>
          <w:szCs w:val="28"/>
          <w:lang w:val="uk-UA"/>
        </w:rPr>
        <w:t xml:space="preserve"> та селинг</w:t>
      </w:r>
      <w:r w:rsidR="00625F6D" w:rsidRPr="00625F6D">
        <w:rPr>
          <w:rFonts w:ascii="Times New Roman" w:hAnsi="Times New Roman"/>
          <w:sz w:val="28"/>
          <w:szCs w:val="28"/>
          <w:lang w:val="uk-UA"/>
        </w:rPr>
        <w:t xml:space="preserve"> (продаж з наступною орендою); грантового фінансування та державної підтримки (купівля майбутнього врожаю (форвардні контракти) для забезпечення оборотності коштів; створення регіональних інвестиційних корпорацій)</w:t>
      </w:r>
      <w:r w:rsidR="00625F6D" w:rsidRPr="00625F6D">
        <w:rPr>
          <w:rStyle w:val="docdata"/>
          <w:rFonts w:ascii="Times New Roman" w:hAnsi="Times New Roman"/>
          <w:sz w:val="28"/>
          <w:szCs w:val="28"/>
          <w:lang w:val="uk-UA"/>
        </w:rPr>
        <w:t xml:space="preserve">, що забезпечить </w:t>
      </w:r>
      <w:r w:rsidR="00625F6D" w:rsidRPr="00625F6D">
        <w:rPr>
          <w:rFonts w:ascii="Times New Roman" w:hAnsi="Times New Roman"/>
          <w:sz w:val="28"/>
          <w:szCs w:val="28"/>
          <w:lang w:val="uk-UA"/>
        </w:rPr>
        <w:t>експертизу інвестиційної привабливості та  побудови прогнозів</w:t>
      </w:r>
      <w:r w:rsidR="00E12ED3" w:rsidRPr="00625F6D">
        <w:rPr>
          <w:rFonts w:ascii="Times New Roman" w:eastAsia="Aptos" w:hAnsi="Times New Roman"/>
          <w:color w:val="000000"/>
          <w:kern w:val="2"/>
          <w:sz w:val="28"/>
          <w:szCs w:val="28"/>
          <w:lang w:val="uk-UA"/>
        </w:rPr>
        <w:t>;</w:t>
      </w:r>
    </w:p>
    <w:p w:rsidR="00625F6D" w:rsidRPr="00625F6D" w:rsidRDefault="009E2C13" w:rsidP="00625F6D">
      <w:pPr>
        <w:spacing w:after="0" w:line="360" w:lineRule="auto"/>
        <w:ind w:firstLine="709"/>
        <w:jc w:val="both"/>
        <w:rPr>
          <w:rFonts w:ascii="Times New Roman" w:hAnsi="Times New Roman"/>
          <w:sz w:val="28"/>
          <w:szCs w:val="28"/>
          <w:lang w:val="uk-UA"/>
        </w:rPr>
      </w:pPr>
      <w:r>
        <w:rPr>
          <w:rFonts w:ascii="Times New Roman" w:hAnsi="Times New Roman"/>
          <w:color w:val="000000"/>
          <w:sz w:val="28"/>
          <w:szCs w:val="28"/>
          <w:lang w:val="uk-UA"/>
        </w:rPr>
        <w:t xml:space="preserve">- </w:t>
      </w:r>
      <w:r w:rsidR="00625F6D" w:rsidRPr="00625F6D">
        <w:rPr>
          <w:rFonts w:ascii="Times New Roman" w:hAnsi="Times New Roman"/>
          <w:color w:val="000000"/>
          <w:sz w:val="28"/>
          <w:szCs w:val="28"/>
          <w:lang w:val="uk-UA"/>
        </w:rPr>
        <w:t>методичний підхід до оцінювання інвестиційної привабливості сільськогосподарських підприємств, який на відміну від існуючих, базується на застосуванні деагрегованої системи локальних детермінант розвитку, за рахунок врахування нелінійних функціональних залежностей між параметрами інвестиційної активності й операційної ефективності капіталу (застосування розробленого математичного інструментарію: локальної детермінації, функціональної зв’язності та предиктивного моделювання чутливості показника інвестиційної вартості підприємства до динамічної варіації ключових факторів зовнішнього середовища (логістичних витрат, змінності цін на агропродукцію та вартості капіталу)), що в сукупності забезпечує перехід від фігурального визначення фінансового стану до активного проектування стійкого інвестиційного потенціалу суб’єктів господарювання, дозволяючи кількісно ідентифікувати точки стратегічного росту та мінімізувати інформаційну асиметрію в системі «підприємство-інвестор»;</w:t>
      </w:r>
    </w:p>
    <w:p w:rsidR="00912C73" w:rsidRPr="00625F6D" w:rsidRDefault="009E2C13" w:rsidP="00625F6D">
      <w:pPr>
        <w:pStyle w:val="a"/>
        <w:numPr>
          <w:ilvl w:val="0"/>
          <w:numId w:val="0"/>
        </w:numPr>
        <w:ind w:firstLine="709"/>
        <w:rPr>
          <w:snapToGrid/>
        </w:rPr>
      </w:pPr>
      <w:r>
        <w:t xml:space="preserve">- </w:t>
      </w:r>
      <w:r w:rsidR="00625F6D" w:rsidRPr="00625F6D">
        <w:t xml:space="preserve">матричний підхід до стратегії </w:t>
      </w:r>
      <w:r w:rsidR="00625F6D" w:rsidRPr="00625F6D">
        <w:rPr>
          <w:color w:val="000000"/>
        </w:rPr>
        <w:t xml:space="preserve">формування економічного механізму розвитку інвестиційної привабливості сільськогосподарських підприємств, який, на відміну від існуючих, базується на проактивній моделі вартісно-орієнтованого управління, за рахунок стратегічної матриці позиціонування об’єктів у координатах «потенціал–привабливість»; предиктивної діагностики драйверів капіталізації; системи випереджальних індикаторів </w:t>
      </w:r>
      <w:r w:rsidR="00625F6D" w:rsidRPr="00625F6D">
        <w:rPr>
          <w:color w:val="000000"/>
        </w:rPr>
        <w:lastRenderedPageBreak/>
        <w:t>ризикової стійкості до воєнних дестабілізаторів, що забезпечує нівелювання інформаційної асиметрії в системі взаємодії зі стейкхолдерами та дозволяє здійснювати активне проектування траєкторій зростання фундаментальної вартості бізнесу</w:t>
      </w:r>
      <w:r w:rsidR="00E12ED3" w:rsidRPr="00625F6D">
        <w:rPr>
          <w:snapToGrid/>
        </w:rPr>
        <w:t>.</w:t>
      </w:r>
    </w:p>
    <w:p w:rsidR="009A3A4E" w:rsidRPr="009A3A4E" w:rsidRDefault="009A3A4E" w:rsidP="009A3A4E">
      <w:pPr>
        <w:spacing w:after="0" w:line="360" w:lineRule="auto"/>
        <w:ind w:firstLine="709"/>
        <w:jc w:val="both"/>
        <w:rPr>
          <w:rFonts w:ascii="Times New Roman" w:eastAsia="Times New Roman" w:hAnsi="Times New Roman"/>
          <w:color w:val="000000"/>
          <w:sz w:val="28"/>
          <w:szCs w:val="28"/>
          <w:lang w:val="uk-UA" w:eastAsia="uk-UA"/>
        </w:rPr>
      </w:pPr>
      <w:r w:rsidRPr="009A3A4E">
        <w:rPr>
          <w:rFonts w:ascii="Times New Roman" w:eastAsia="Times New Roman" w:hAnsi="Times New Roman"/>
          <w:b/>
          <w:bCs/>
          <w:color w:val="000000"/>
          <w:sz w:val="28"/>
          <w:szCs w:val="28"/>
          <w:lang w:val="uk-UA" w:eastAsia="uk-UA"/>
        </w:rPr>
        <w:t>Практичне значення одержаних результатів</w:t>
      </w:r>
      <w:r>
        <w:rPr>
          <w:rFonts w:ascii="Times New Roman" w:eastAsia="Times New Roman" w:hAnsi="Times New Roman"/>
          <w:color w:val="000000"/>
          <w:sz w:val="28"/>
          <w:szCs w:val="28"/>
          <w:lang w:val="uk-UA" w:eastAsia="uk-UA"/>
        </w:rPr>
        <w:t xml:space="preserve"> </w:t>
      </w:r>
      <w:r w:rsidRPr="009A3A4E">
        <w:rPr>
          <w:rFonts w:ascii="Times New Roman" w:eastAsia="Times New Roman" w:hAnsi="Times New Roman"/>
          <w:color w:val="000000"/>
          <w:sz w:val="28"/>
          <w:szCs w:val="28"/>
          <w:lang w:val="uk-UA" w:eastAsia="uk-UA"/>
        </w:rPr>
        <w:t>полягає у використанні результатів дослідження для формування економічного механізму розвитку інвестиційної привабливості сільськогосподарських підприємств в умовах воєнної турбулентності та макроекономічної невизначеності.</w:t>
      </w:r>
    </w:p>
    <w:p w:rsidR="009A3A4E" w:rsidRPr="00CE1302" w:rsidRDefault="009A3A4E" w:rsidP="009A3A4E">
      <w:pPr>
        <w:spacing w:after="0" w:line="360" w:lineRule="auto"/>
        <w:ind w:firstLine="709"/>
        <w:jc w:val="both"/>
        <w:rPr>
          <w:rFonts w:ascii="Times New Roman" w:eastAsia="Times New Roman" w:hAnsi="Times New Roman"/>
          <w:color w:val="000000"/>
          <w:sz w:val="28"/>
          <w:szCs w:val="28"/>
          <w:lang w:val="uk-UA" w:eastAsia="uk-UA"/>
        </w:rPr>
      </w:pPr>
      <w:r w:rsidRPr="009A3A4E">
        <w:rPr>
          <w:rFonts w:ascii="Times New Roman" w:eastAsia="Times New Roman" w:hAnsi="Times New Roman"/>
          <w:color w:val="000000"/>
          <w:sz w:val="28"/>
          <w:szCs w:val="28"/>
          <w:lang w:val="uk-UA" w:eastAsia="uk-UA"/>
        </w:rPr>
        <w:t xml:space="preserve">Практичні рекомендації щодо впровадження деагрегованої системи </w:t>
      </w:r>
      <w:r w:rsidRPr="00CE1302">
        <w:rPr>
          <w:rFonts w:ascii="Times New Roman" w:eastAsia="Times New Roman" w:hAnsi="Times New Roman"/>
          <w:color w:val="000000"/>
          <w:sz w:val="28"/>
          <w:szCs w:val="28"/>
          <w:lang w:val="uk-UA" w:eastAsia="uk-UA"/>
        </w:rPr>
        <w:t xml:space="preserve">локальних детермінант для оцінювання інвестиційної привабливості, вартісно-орієнтованого управління, контрактно-інституційної стабілізації та матричного підходу до стратегічного позиціонування бізнес-сегментів </w:t>
      </w:r>
      <w:r w:rsidRPr="00CE1302">
        <w:rPr>
          <w:rFonts w:ascii="Times New Roman" w:eastAsia="Times New Roman" w:hAnsi="Times New Roman"/>
          <w:bCs/>
          <w:color w:val="000000"/>
          <w:sz w:val="28"/>
          <w:szCs w:val="28"/>
          <w:lang w:val="uk-UA" w:eastAsia="uk-UA"/>
        </w:rPr>
        <w:t xml:space="preserve">впроваджено у діяльність KERNEL HOLDING S.A. (Kernel) </w:t>
      </w:r>
      <w:r w:rsidRPr="00CE1302">
        <w:rPr>
          <w:rFonts w:ascii="Times New Roman" w:eastAsia="Times New Roman" w:hAnsi="Times New Roman"/>
          <w:color w:val="000000"/>
          <w:sz w:val="28"/>
          <w:szCs w:val="28"/>
          <w:lang w:val="uk-UA" w:eastAsia="uk-UA"/>
        </w:rPr>
        <w:t>(довідка від 18 березня 2026 р. № 5/28-33.06). Упровадження дозволило підвищити точність прогнозування вільного грошового потоку (FCF) на 15-20% та оптимізувати розподіл капітальних інвестицій (CAPEX) між термінальним сегментом та фармінгом.</w:t>
      </w:r>
    </w:p>
    <w:p w:rsidR="009A3A4E" w:rsidRPr="00CE1302" w:rsidRDefault="009A3A4E" w:rsidP="009A3A4E">
      <w:pPr>
        <w:spacing w:after="0" w:line="360" w:lineRule="auto"/>
        <w:ind w:firstLine="709"/>
        <w:jc w:val="both"/>
        <w:rPr>
          <w:rFonts w:ascii="Times New Roman" w:eastAsia="Times New Roman" w:hAnsi="Times New Roman"/>
          <w:color w:val="000000"/>
          <w:sz w:val="28"/>
          <w:szCs w:val="28"/>
          <w:lang w:val="uk-UA" w:eastAsia="uk-UA"/>
        </w:rPr>
      </w:pPr>
      <w:r w:rsidRPr="00CE1302">
        <w:rPr>
          <w:rFonts w:ascii="Times New Roman" w:eastAsia="Times New Roman" w:hAnsi="Times New Roman"/>
          <w:color w:val="000000"/>
          <w:sz w:val="28"/>
          <w:szCs w:val="28"/>
          <w:lang w:val="uk-UA" w:eastAsia="uk-UA"/>
        </w:rPr>
        <w:t xml:space="preserve">У діяльності </w:t>
      </w:r>
      <w:r w:rsidRPr="00CE1302">
        <w:rPr>
          <w:rFonts w:ascii="Times New Roman" w:eastAsia="Times New Roman" w:hAnsi="Times New Roman"/>
          <w:bCs/>
          <w:color w:val="000000"/>
          <w:sz w:val="28"/>
          <w:szCs w:val="28"/>
          <w:lang w:val="uk-UA" w:eastAsia="uk-UA"/>
        </w:rPr>
        <w:t>MHP SE (МХП)</w:t>
      </w:r>
      <w:r w:rsidRPr="00CE1302">
        <w:rPr>
          <w:rFonts w:ascii="Times New Roman" w:eastAsia="Times New Roman" w:hAnsi="Times New Roman"/>
          <w:color w:val="000000"/>
          <w:sz w:val="28"/>
          <w:szCs w:val="28"/>
          <w:lang w:val="uk-UA" w:eastAsia="uk-UA"/>
        </w:rPr>
        <w:t xml:space="preserve"> реалізовано результати дослідження щодо оптимізації структури капіталу через показник WACC з урахуванням ефекту від реалізації біогазових проєктів, управління інтегральним ризиковим профілем (RAROC) та сценарного моделювання стратегічного потенціалу (довідка від 5 травня 2026 р. № 46-86-25/34). Впровадження дозволило знизити середньозважену вартість капіталу на 1,5-2 п.п. та оптимізувати розподіл CAPEX між біоенергетичними та переробними проєктами.</w:t>
      </w:r>
    </w:p>
    <w:p w:rsidR="009A3A4E" w:rsidRPr="00CE1302" w:rsidRDefault="00CE1302" w:rsidP="009A3A4E">
      <w:pPr>
        <w:spacing w:after="0" w:line="360" w:lineRule="auto"/>
        <w:ind w:firstLine="709"/>
        <w:jc w:val="both"/>
        <w:rPr>
          <w:rFonts w:ascii="Times New Roman" w:eastAsia="Times New Roman" w:hAnsi="Times New Roman"/>
          <w:color w:val="000000"/>
          <w:sz w:val="28"/>
          <w:szCs w:val="28"/>
          <w:lang w:val="uk-UA" w:eastAsia="uk-UA"/>
        </w:rPr>
      </w:pPr>
      <w:r w:rsidRPr="00CE1302">
        <w:rPr>
          <w:rFonts w:ascii="Times New Roman" w:eastAsia="Times New Roman" w:hAnsi="Times New Roman"/>
          <w:color w:val="000000"/>
          <w:sz w:val="28"/>
          <w:szCs w:val="28"/>
          <w:lang w:val="uk-UA" w:eastAsia="uk-UA"/>
        </w:rPr>
        <w:t xml:space="preserve">У діяльності </w:t>
      </w:r>
      <w:r w:rsidR="009A3A4E" w:rsidRPr="00CE1302">
        <w:rPr>
          <w:rFonts w:ascii="Times New Roman" w:eastAsia="Times New Roman" w:hAnsi="Times New Roman"/>
          <w:bCs/>
          <w:color w:val="000000"/>
          <w:sz w:val="28"/>
          <w:szCs w:val="28"/>
          <w:lang w:val="uk-UA" w:eastAsia="uk-UA"/>
        </w:rPr>
        <w:t>Astarta Holding PLC (Astarta-Kyiv)</w:t>
      </w:r>
      <w:r w:rsidRPr="00CE1302">
        <w:rPr>
          <w:rFonts w:ascii="Times New Roman" w:eastAsia="Times New Roman" w:hAnsi="Times New Roman"/>
          <w:color w:val="000000"/>
          <w:sz w:val="28"/>
          <w:szCs w:val="28"/>
          <w:lang w:val="uk-UA" w:eastAsia="uk-UA"/>
        </w:rPr>
        <w:t xml:space="preserve"> </w:t>
      </w:r>
      <w:r w:rsidR="009A3A4E" w:rsidRPr="00CE1302">
        <w:rPr>
          <w:rFonts w:ascii="Times New Roman" w:eastAsia="Times New Roman" w:hAnsi="Times New Roman"/>
          <w:color w:val="000000"/>
          <w:sz w:val="28"/>
          <w:szCs w:val="28"/>
          <w:lang w:val="uk-UA" w:eastAsia="uk-UA"/>
        </w:rPr>
        <w:t xml:space="preserve">впроваджено результати дослідження щодо управління маржинальністю через індекс капітальної інвестиційної дохідності (I_CI) для оцінки віддачі від інвестицій у модернізацію цукрових заводів та біогазовий комплекс, інтеграції ESG-факторів у вартість бізнесу як нематеріальних драйверів, а також сценарного моделювання інвестиційної привабливості (довідка від 23 квітня 2026 р. № </w:t>
      </w:r>
      <w:r w:rsidR="009A3A4E" w:rsidRPr="00CE1302">
        <w:rPr>
          <w:rFonts w:ascii="Times New Roman" w:eastAsia="Times New Roman" w:hAnsi="Times New Roman"/>
          <w:color w:val="000000"/>
          <w:sz w:val="28"/>
          <w:szCs w:val="28"/>
          <w:lang w:val="uk-UA" w:eastAsia="uk-UA"/>
        </w:rPr>
        <w:lastRenderedPageBreak/>
        <w:t>4701-11/75516-08). Запровадження розробок автора сприяло підвищенню прогнозованості грошових потоків та зростанню інвестиційної привабливості для міжнародних інвесторів на Warsaw Stock Exchange.</w:t>
      </w:r>
    </w:p>
    <w:p w:rsidR="009A3A4E" w:rsidRPr="009A3A4E" w:rsidRDefault="00CE1302" w:rsidP="009A3A4E">
      <w:pPr>
        <w:spacing w:after="0" w:line="360" w:lineRule="auto"/>
        <w:ind w:firstLine="709"/>
        <w:jc w:val="both"/>
        <w:rPr>
          <w:rFonts w:ascii="Times New Roman" w:eastAsia="Times New Roman" w:hAnsi="Times New Roman"/>
          <w:color w:val="000000"/>
          <w:sz w:val="28"/>
          <w:szCs w:val="28"/>
          <w:lang w:val="uk-UA" w:eastAsia="uk-UA"/>
        </w:rPr>
      </w:pPr>
      <w:r w:rsidRPr="00CE1302">
        <w:rPr>
          <w:rFonts w:ascii="Times New Roman" w:eastAsia="Times New Roman" w:hAnsi="Times New Roman"/>
          <w:color w:val="000000"/>
          <w:sz w:val="28"/>
          <w:szCs w:val="28"/>
          <w:lang w:val="uk-UA" w:eastAsia="uk-UA"/>
        </w:rPr>
        <w:t>Р</w:t>
      </w:r>
      <w:r w:rsidR="009A3A4E" w:rsidRPr="00CE1302">
        <w:rPr>
          <w:rFonts w:ascii="Times New Roman" w:eastAsia="Times New Roman" w:hAnsi="Times New Roman"/>
          <w:color w:val="000000"/>
          <w:sz w:val="28"/>
          <w:szCs w:val="28"/>
          <w:lang w:val="uk-UA" w:eastAsia="uk-UA"/>
        </w:rPr>
        <w:t>езультати дисерта</w:t>
      </w:r>
      <w:r w:rsidRPr="00CE1302">
        <w:rPr>
          <w:rFonts w:ascii="Times New Roman" w:eastAsia="Times New Roman" w:hAnsi="Times New Roman"/>
          <w:color w:val="000000"/>
          <w:sz w:val="28"/>
          <w:szCs w:val="28"/>
          <w:lang w:val="uk-UA" w:eastAsia="uk-UA"/>
        </w:rPr>
        <w:t xml:space="preserve">ційного дослідження використано </w:t>
      </w:r>
      <w:r w:rsidR="009A3A4E" w:rsidRPr="00CE1302">
        <w:rPr>
          <w:rFonts w:ascii="Times New Roman" w:eastAsia="Times New Roman" w:hAnsi="Times New Roman"/>
          <w:bCs/>
          <w:color w:val="000000"/>
          <w:sz w:val="28"/>
          <w:szCs w:val="28"/>
          <w:lang w:val="uk-UA" w:eastAsia="uk-UA"/>
        </w:rPr>
        <w:t>Громадською організацією «Асоціація науковців України»</w:t>
      </w:r>
      <w:r w:rsidRPr="00CE1302">
        <w:rPr>
          <w:rFonts w:ascii="Times New Roman" w:eastAsia="Times New Roman" w:hAnsi="Times New Roman"/>
          <w:color w:val="000000"/>
          <w:sz w:val="28"/>
          <w:szCs w:val="28"/>
          <w:lang w:val="uk-UA" w:eastAsia="uk-UA"/>
        </w:rPr>
        <w:t xml:space="preserve"> </w:t>
      </w:r>
      <w:r w:rsidR="009A3A4E" w:rsidRPr="00CE1302">
        <w:rPr>
          <w:rFonts w:ascii="Times New Roman" w:eastAsia="Times New Roman" w:hAnsi="Times New Roman"/>
          <w:color w:val="000000"/>
          <w:sz w:val="28"/>
          <w:szCs w:val="28"/>
          <w:lang w:val="uk-UA" w:eastAsia="uk-UA"/>
        </w:rPr>
        <w:t>при підготовці рекомендацій щодо формування економічного механізму розвитку інвестиційної привабливості сільськогосподарських</w:t>
      </w:r>
      <w:r w:rsidR="009A3A4E" w:rsidRPr="009A3A4E">
        <w:rPr>
          <w:rFonts w:ascii="Times New Roman" w:eastAsia="Times New Roman" w:hAnsi="Times New Roman"/>
          <w:color w:val="000000"/>
          <w:sz w:val="28"/>
          <w:szCs w:val="28"/>
          <w:lang w:val="uk-UA" w:eastAsia="uk-UA"/>
        </w:rPr>
        <w:t xml:space="preserve"> підприємств (довідка від 16 квітня 2026 р. № 71/4-10).</w:t>
      </w:r>
    </w:p>
    <w:p w:rsidR="00E12ED3" w:rsidRPr="009C55E7" w:rsidRDefault="00E12ED3" w:rsidP="00E12ED3">
      <w:pPr>
        <w:spacing w:after="0" w:line="360" w:lineRule="auto"/>
        <w:ind w:firstLine="709"/>
        <w:jc w:val="both"/>
        <w:rPr>
          <w:rFonts w:ascii="Times New Roman" w:eastAsia="Times New Roman" w:hAnsi="Times New Roman"/>
          <w:color w:val="000000"/>
          <w:sz w:val="28"/>
          <w:szCs w:val="28"/>
          <w:lang w:val="uk-UA" w:eastAsia="uk-UA"/>
        </w:rPr>
      </w:pPr>
      <w:r w:rsidRPr="00816B36">
        <w:rPr>
          <w:rFonts w:ascii="Times New Roman" w:eastAsia="Times New Roman" w:hAnsi="Times New Roman"/>
          <w:b/>
          <w:bCs/>
          <w:color w:val="000000"/>
          <w:sz w:val="28"/>
          <w:szCs w:val="28"/>
          <w:lang w:val="uk-UA" w:eastAsia="uk-UA"/>
        </w:rPr>
        <w:t xml:space="preserve">Особистий внесок здобувача. </w:t>
      </w:r>
      <w:r w:rsidRPr="00816B36">
        <w:rPr>
          <w:rFonts w:ascii="Times New Roman" w:eastAsia="Times New Roman" w:hAnsi="Times New Roman"/>
          <w:color w:val="000000"/>
          <w:sz w:val="28"/>
          <w:szCs w:val="28"/>
          <w:lang w:val="uk-UA" w:eastAsia="uk-UA"/>
        </w:rPr>
        <w:t>Дисертаційна робота є завершеною одноосібною самостійною науковою працею. Наукові результати, викладені в дисертації, одержані автором самостійно та є його науковим здобутком.</w:t>
      </w:r>
      <w:r w:rsidR="003F02B7">
        <w:rPr>
          <w:rFonts w:ascii="Times New Roman" w:eastAsia="Times New Roman" w:hAnsi="Times New Roman"/>
          <w:color w:val="000000"/>
          <w:sz w:val="28"/>
          <w:szCs w:val="28"/>
          <w:lang w:val="uk-UA" w:eastAsia="uk-UA"/>
        </w:rPr>
        <w:t xml:space="preserve"> Особистий внесок здобувача у праці, що опубліковані у співавторстві, наведено у списку опублікованих праць за темою дисертації.</w:t>
      </w:r>
    </w:p>
    <w:p w:rsidR="00E12ED3" w:rsidRPr="009C55E7" w:rsidRDefault="00E12ED3" w:rsidP="00E12ED3">
      <w:pPr>
        <w:spacing w:after="0" w:line="360" w:lineRule="auto"/>
        <w:ind w:firstLine="709"/>
        <w:jc w:val="both"/>
        <w:rPr>
          <w:rFonts w:ascii="Times New Roman" w:eastAsia="Times New Roman" w:hAnsi="Times New Roman"/>
          <w:sz w:val="28"/>
          <w:szCs w:val="28"/>
          <w:lang w:val="uk-UA" w:eastAsia="uk-UA"/>
        </w:rPr>
      </w:pPr>
      <w:r w:rsidRPr="00816B36">
        <w:rPr>
          <w:rFonts w:ascii="Times New Roman" w:eastAsia="Times New Roman" w:hAnsi="Times New Roman"/>
          <w:b/>
          <w:bCs/>
          <w:color w:val="000000"/>
          <w:sz w:val="28"/>
          <w:szCs w:val="28"/>
          <w:lang w:val="uk-UA" w:eastAsia="uk-UA"/>
        </w:rPr>
        <w:t>Апробація результатів дисертації.</w:t>
      </w:r>
      <w:r w:rsidRPr="00816B36">
        <w:rPr>
          <w:rFonts w:ascii="Times New Roman" w:eastAsia="Times New Roman" w:hAnsi="Times New Roman"/>
          <w:b/>
          <w:bCs/>
          <w:i/>
          <w:iCs/>
          <w:color w:val="000000"/>
          <w:sz w:val="28"/>
          <w:szCs w:val="28"/>
          <w:lang w:val="uk-UA" w:eastAsia="uk-UA"/>
        </w:rPr>
        <w:t xml:space="preserve"> </w:t>
      </w:r>
      <w:r w:rsidRPr="00816B36">
        <w:rPr>
          <w:rFonts w:ascii="Times New Roman" w:eastAsia="Times New Roman" w:hAnsi="Times New Roman"/>
          <w:color w:val="000000"/>
          <w:sz w:val="28"/>
          <w:szCs w:val="28"/>
          <w:lang w:val="uk-UA" w:eastAsia="uk-UA"/>
        </w:rPr>
        <w:t xml:space="preserve">Основні положення дисертаційної роботи </w:t>
      </w:r>
      <w:r w:rsidRPr="000C1F33">
        <w:rPr>
          <w:rFonts w:ascii="Times New Roman" w:eastAsia="Times New Roman" w:hAnsi="Times New Roman"/>
          <w:sz w:val="28"/>
          <w:szCs w:val="28"/>
          <w:lang w:val="uk-UA" w:eastAsia="uk-UA"/>
        </w:rPr>
        <w:t>апробовувалися та отримали схвалення на 4 міжнародних наукових конференціях:</w:t>
      </w:r>
      <w:r w:rsidR="000C1F33" w:rsidRPr="000C1F33">
        <w:rPr>
          <w:rFonts w:ascii="Times New Roman" w:eastAsia="Times New Roman" w:hAnsi="Times New Roman"/>
          <w:sz w:val="28"/>
          <w:szCs w:val="28"/>
          <w:lang w:val="uk-UA" w:eastAsia="uk-UA"/>
        </w:rPr>
        <w:t xml:space="preserve"> </w:t>
      </w:r>
      <w:r w:rsidR="00FC4ABE">
        <w:rPr>
          <w:rFonts w:ascii="Times New Roman" w:eastAsia="Times New Roman" w:hAnsi="Times New Roman"/>
          <w:sz w:val="28"/>
          <w:szCs w:val="28"/>
          <w:lang w:val="uk-UA" w:eastAsia="uk-UA"/>
        </w:rPr>
        <w:t>«</w:t>
      </w:r>
      <w:r w:rsidR="000C1F33" w:rsidRPr="000C1F33">
        <w:rPr>
          <w:rFonts w:ascii="Times New Roman" w:eastAsia="Times New Roman" w:hAnsi="Times New Roman"/>
          <w:sz w:val="28"/>
          <w:szCs w:val="28"/>
          <w:lang w:val="uk-UA" w:eastAsia="uk-UA"/>
        </w:rPr>
        <w:t>Strategic Research Synergy 2026: International Academic Leadership and Innovation Summit</w:t>
      </w:r>
      <w:r w:rsidR="00FC4ABE">
        <w:rPr>
          <w:rFonts w:ascii="Times New Roman" w:eastAsia="Times New Roman" w:hAnsi="Times New Roman"/>
          <w:sz w:val="28"/>
          <w:szCs w:val="28"/>
          <w:lang w:val="uk-UA" w:eastAsia="uk-UA"/>
        </w:rPr>
        <w:t>»</w:t>
      </w:r>
      <w:r w:rsidR="000C1F33">
        <w:rPr>
          <w:rFonts w:ascii="Times New Roman" w:eastAsia="Times New Roman" w:hAnsi="Times New Roman"/>
          <w:sz w:val="28"/>
          <w:szCs w:val="28"/>
          <w:lang w:val="uk-UA" w:eastAsia="uk-UA"/>
        </w:rPr>
        <w:t xml:space="preserve"> (</w:t>
      </w:r>
      <w:r w:rsidR="000C1F33" w:rsidRPr="000C1F33">
        <w:rPr>
          <w:rFonts w:ascii="Times New Roman" w:eastAsia="Times New Roman" w:hAnsi="Times New Roman"/>
          <w:sz w:val="28"/>
          <w:szCs w:val="28"/>
          <w:lang w:val="uk-UA" w:eastAsia="uk-UA"/>
        </w:rPr>
        <w:t>Janu</w:t>
      </w:r>
      <w:r w:rsidR="00692178">
        <w:rPr>
          <w:rFonts w:ascii="Times New Roman" w:eastAsia="Times New Roman" w:hAnsi="Times New Roman"/>
          <w:sz w:val="28"/>
          <w:szCs w:val="28"/>
          <w:lang w:val="uk-UA" w:eastAsia="uk-UA"/>
        </w:rPr>
        <w:t>ary 6,  2026 in Berlin, Germany);</w:t>
      </w:r>
      <w:r w:rsidRPr="000C1F33">
        <w:rPr>
          <w:rFonts w:ascii="Times New Roman" w:eastAsia="Times New Roman" w:hAnsi="Times New Roman"/>
          <w:sz w:val="28"/>
          <w:szCs w:val="28"/>
          <w:lang w:val="uk-UA" w:eastAsia="uk-UA"/>
        </w:rPr>
        <w:t xml:space="preserve"> </w:t>
      </w:r>
      <w:r w:rsidR="00FC4ABE">
        <w:rPr>
          <w:rFonts w:ascii="Times New Roman" w:eastAsia="Times New Roman" w:hAnsi="Times New Roman"/>
          <w:sz w:val="28"/>
          <w:szCs w:val="28"/>
          <w:lang w:val="uk-UA" w:eastAsia="uk-UA"/>
        </w:rPr>
        <w:t>«</w:t>
      </w:r>
      <w:r w:rsidR="000C1F33" w:rsidRPr="000C1F33">
        <w:rPr>
          <w:rFonts w:ascii="Times New Roman" w:eastAsia="Times New Roman" w:hAnsi="Times New Roman"/>
          <w:sz w:val="28"/>
          <w:szCs w:val="28"/>
          <w:lang w:val="uk-UA" w:eastAsia="uk-UA"/>
        </w:rPr>
        <w:t>Global Synergy: Innovative Development and Sustainability in a Multidisciplinary Context</w:t>
      </w:r>
      <w:r w:rsidR="00FC4ABE">
        <w:rPr>
          <w:rFonts w:ascii="Times New Roman" w:eastAsia="Times New Roman" w:hAnsi="Times New Roman"/>
          <w:sz w:val="28"/>
          <w:szCs w:val="28"/>
          <w:lang w:val="uk-UA" w:eastAsia="uk-UA"/>
        </w:rPr>
        <w:t>»</w:t>
      </w:r>
      <w:r w:rsidR="000C1F33" w:rsidRPr="000C1F33">
        <w:rPr>
          <w:rFonts w:ascii="Times New Roman" w:eastAsia="Times New Roman" w:hAnsi="Times New Roman"/>
          <w:sz w:val="28"/>
          <w:szCs w:val="28"/>
          <w:lang w:val="uk-UA" w:eastAsia="uk-UA"/>
        </w:rPr>
        <w:t xml:space="preserve"> (January 14,  2026 in St Mary's University, London</w:t>
      </w:r>
      <w:r w:rsidR="00CD52EF">
        <w:rPr>
          <w:rFonts w:ascii="Times New Roman" w:eastAsia="Times New Roman" w:hAnsi="Times New Roman"/>
          <w:sz w:val="28"/>
          <w:szCs w:val="28"/>
          <w:lang w:val="uk-UA" w:eastAsia="uk-UA"/>
        </w:rPr>
        <w:t xml:space="preserve">, </w:t>
      </w:r>
      <w:r w:rsidR="00CD52EF">
        <w:rPr>
          <w:rFonts w:ascii="Times New Roman" w:eastAsia="Times New Roman" w:hAnsi="Times New Roman"/>
          <w:sz w:val="28"/>
          <w:szCs w:val="28"/>
          <w:lang w:val="en-US" w:eastAsia="uk-UA"/>
        </w:rPr>
        <w:t>UK</w:t>
      </w:r>
      <w:r w:rsidR="000C1F33" w:rsidRPr="000C1F33">
        <w:rPr>
          <w:rFonts w:ascii="Times New Roman" w:eastAsia="Times New Roman" w:hAnsi="Times New Roman"/>
          <w:sz w:val="28"/>
          <w:szCs w:val="28"/>
          <w:lang w:val="uk-UA" w:eastAsia="uk-UA"/>
        </w:rPr>
        <w:t>);</w:t>
      </w:r>
      <w:r w:rsidR="00692178">
        <w:rPr>
          <w:rFonts w:ascii="Times New Roman" w:eastAsia="Times New Roman" w:hAnsi="Times New Roman"/>
          <w:sz w:val="28"/>
          <w:szCs w:val="28"/>
          <w:lang w:val="uk-UA" w:eastAsia="uk-UA"/>
        </w:rPr>
        <w:t xml:space="preserve"> </w:t>
      </w:r>
      <w:r w:rsidR="00FC4ABE">
        <w:rPr>
          <w:rFonts w:ascii="Times New Roman" w:eastAsia="Times New Roman" w:hAnsi="Times New Roman"/>
          <w:sz w:val="28"/>
          <w:szCs w:val="28"/>
          <w:lang w:val="uk-UA" w:eastAsia="uk-UA"/>
        </w:rPr>
        <w:t>«</w:t>
      </w:r>
      <w:r w:rsidR="00CD52EF" w:rsidRPr="00F471CF">
        <w:rPr>
          <w:rFonts w:ascii="Times New Roman" w:hAnsi="Times New Roman"/>
          <w:sz w:val="28"/>
          <w:szCs w:val="28"/>
          <w:lang w:val="uk-UA"/>
        </w:rPr>
        <w:t>Global Scientific Horizons 2026: International Conference on Research, Innovation and Interdisciplinary Development</w:t>
      </w:r>
      <w:r w:rsidR="00FC4ABE">
        <w:rPr>
          <w:rFonts w:ascii="Times New Roman" w:eastAsia="Times New Roman" w:hAnsi="Times New Roman"/>
          <w:sz w:val="28"/>
          <w:szCs w:val="28"/>
          <w:lang w:val="uk-UA" w:eastAsia="uk-UA"/>
        </w:rPr>
        <w:t>»</w:t>
      </w:r>
      <w:r w:rsidR="00CD52EF" w:rsidRPr="00F471CF">
        <w:rPr>
          <w:rFonts w:ascii="Times New Roman" w:hAnsi="Times New Roman"/>
          <w:sz w:val="28"/>
          <w:szCs w:val="28"/>
          <w:lang w:val="uk-UA"/>
        </w:rPr>
        <w:t xml:space="preserve"> </w:t>
      </w:r>
      <w:r w:rsidR="00CD52EF">
        <w:rPr>
          <w:rFonts w:ascii="Times New Roman" w:hAnsi="Times New Roman"/>
          <w:sz w:val="28"/>
          <w:szCs w:val="28"/>
          <w:lang w:val="uk-UA"/>
        </w:rPr>
        <w:t>(</w:t>
      </w:r>
      <w:r w:rsidR="00CD52EF" w:rsidRPr="00F471CF">
        <w:rPr>
          <w:rFonts w:ascii="Times New Roman" w:hAnsi="Times New Roman"/>
          <w:sz w:val="28"/>
          <w:szCs w:val="28"/>
          <w:lang w:val="uk-UA"/>
        </w:rPr>
        <w:t>January 21, 2026 in Charles University, Prague, Czech Republic</w:t>
      </w:r>
      <w:r w:rsidR="00CD52EF">
        <w:rPr>
          <w:rFonts w:ascii="Times New Roman" w:hAnsi="Times New Roman"/>
          <w:sz w:val="28"/>
          <w:szCs w:val="28"/>
          <w:lang w:val="uk-UA"/>
        </w:rPr>
        <w:t>)</w:t>
      </w:r>
      <w:r w:rsidR="002E6843">
        <w:rPr>
          <w:rFonts w:ascii="Times New Roman" w:eastAsia="Times New Roman" w:hAnsi="Times New Roman"/>
          <w:sz w:val="28"/>
          <w:szCs w:val="28"/>
          <w:lang w:val="uk-UA" w:eastAsia="uk-UA"/>
        </w:rPr>
        <w:t xml:space="preserve">; </w:t>
      </w:r>
      <w:r w:rsidR="00FC4ABE">
        <w:rPr>
          <w:rFonts w:ascii="Times New Roman" w:eastAsia="Times New Roman" w:hAnsi="Times New Roman"/>
          <w:sz w:val="28"/>
          <w:szCs w:val="28"/>
          <w:lang w:val="uk-UA" w:eastAsia="uk-UA"/>
        </w:rPr>
        <w:t>«</w:t>
      </w:r>
      <w:r w:rsidR="002E6843" w:rsidRPr="002E6843">
        <w:rPr>
          <w:rFonts w:ascii="Times New Roman" w:hAnsi="Times New Roman"/>
          <w:sz w:val="28"/>
          <w:szCs w:val="28"/>
          <w:lang w:val="uk-UA"/>
        </w:rPr>
        <w:t>Interdisciplinary Horizons of Knowledge: Science, Society, Technology and Sustainable Futures</w:t>
      </w:r>
      <w:r w:rsidR="00FC4ABE">
        <w:rPr>
          <w:rFonts w:ascii="Times New Roman" w:eastAsia="Times New Roman" w:hAnsi="Times New Roman"/>
          <w:sz w:val="28"/>
          <w:szCs w:val="28"/>
          <w:lang w:val="uk-UA" w:eastAsia="uk-UA"/>
        </w:rPr>
        <w:t>»</w:t>
      </w:r>
      <w:r w:rsidR="002E6843" w:rsidRPr="00F471CF">
        <w:rPr>
          <w:rFonts w:ascii="Times New Roman" w:hAnsi="Times New Roman"/>
          <w:sz w:val="28"/>
          <w:szCs w:val="28"/>
          <w:lang w:val="uk-UA"/>
        </w:rPr>
        <w:t xml:space="preserve"> </w:t>
      </w:r>
      <w:r w:rsidR="002E6843">
        <w:rPr>
          <w:rFonts w:ascii="Times New Roman" w:hAnsi="Times New Roman"/>
          <w:sz w:val="28"/>
          <w:szCs w:val="28"/>
          <w:lang w:val="uk-UA"/>
        </w:rPr>
        <w:t>(</w:t>
      </w:r>
      <w:r w:rsidR="002E6843" w:rsidRPr="002E6843">
        <w:rPr>
          <w:rFonts w:ascii="Times New Roman" w:hAnsi="Times New Roman"/>
          <w:sz w:val="28"/>
          <w:szCs w:val="28"/>
          <w:lang w:val="uk-UA"/>
        </w:rPr>
        <w:t>October 1</w:t>
      </w:r>
      <w:r w:rsidR="002E6843" w:rsidRPr="00F471CF">
        <w:rPr>
          <w:rFonts w:ascii="Times New Roman" w:hAnsi="Times New Roman"/>
          <w:sz w:val="28"/>
          <w:szCs w:val="28"/>
          <w:lang w:val="uk-UA"/>
        </w:rPr>
        <w:t xml:space="preserve">, 2026 in </w:t>
      </w:r>
      <w:r w:rsidR="002E6843" w:rsidRPr="002E6843">
        <w:rPr>
          <w:rFonts w:ascii="Times New Roman" w:hAnsi="Times New Roman"/>
          <w:sz w:val="28"/>
          <w:szCs w:val="28"/>
          <w:lang w:val="uk-UA"/>
        </w:rPr>
        <w:t xml:space="preserve">Hainan </w:t>
      </w:r>
      <w:r w:rsidR="002E6843">
        <w:rPr>
          <w:rFonts w:ascii="Times New Roman" w:hAnsi="Times New Roman"/>
          <w:sz w:val="28"/>
          <w:szCs w:val="28"/>
          <w:lang w:val="uk-UA"/>
        </w:rPr>
        <w:t>Tropical Ocean University</w:t>
      </w:r>
      <w:r w:rsidR="002E6843" w:rsidRPr="002E6843">
        <w:rPr>
          <w:rFonts w:ascii="Times New Roman" w:hAnsi="Times New Roman"/>
          <w:sz w:val="28"/>
          <w:szCs w:val="28"/>
          <w:lang w:val="uk-UA"/>
        </w:rPr>
        <w:t>, Hainan, China</w:t>
      </w:r>
      <w:r w:rsidR="002E6843">
        <w:rPr>
          <w:rFonts w:ascii="Times New Roman" w:hAnsi="Times New Roman"/>
          <w:sz w:val="28"/>
          <w:szCs w:val="28"/>
          <w:lang w:val="uk-UA"/>
        </w:rPr>
        <w:t>).</w:t>
      </w:r>
    </w:p>
    <w:p w:rsidR="00E12ED3" w:rsidRPr="00816B36" w:rsidRDefault="00E12ED3" w:rsidP="00E12ED3">
      <w:pPr>
        <w:spacing w:after="0" w:line="360" w:lineRule="auto"/>
        <w:ind w:firstLine="709"/>
        <w:jc w:val="both"/>
        <w:rPr>
          <w:rFonts w:ascii="Times New Roman" w:eastAsia="Times New Roman" w:hAnsi="Times New Roman"/>
          <w:sz w:val="28"/>
          <w:szCs w:val="28"/>
          <w:lang w:val="uk-UA" w:eastAsia="uk-UA"/>
        </w:rPr>
      </w:pPr>
      <w:r w:rsidRPr="00816B36">
        <w:rPr>
          <w:rFonts w:ascii="Times New Roman" w:eastAsia="Times New Roman" w:hAnsi="Times New Roman"/>
          <w:b/>
          <w:bCs/>
          <w:color w:val="000000"/>
          <w:sz w:val="28"/>
          <w:szCs w:val="28"/>
          <w:lang w:val="uk-UA" w:eastAsia="uk-UA"/>
        </w:rPr>
        <w:t>Публікації.</w:t>
      </w:r>
      <w:r w:rsidRPr="00816B36">
        <w:rPr>
          <w:rFonts w:ascii="Times New Roman" w:eastAsia="Times New Roman" w:hAnsi="Times New Roman"/>
          <w:color w:val="000000"/>
          <w:sz w:val="28"/>
          <w:szCs w:val="28"/>
          <w:lang w:val="uk-UA" w:eastAsia="uk-UA"/>
        </w:rPr>
        <w:t xml:space="preserve"> </w:t>
      </w:r>
      <w:r w:rsidRPr="00816B36">
        <w:rPr>
          <w:rFonts w:ascii="Times New Roman" w:eastAsia="Times New Roman" w:hAnsi="Times New Roman"/>
          <w:sz w:val="28"/>
          <w:szCs w:val="28"/>
          <w:lang w:val="uk-UA" w:eastAsia="uk-UA"/>
        </w:rPr>
        <w:t>За резуль</w:t>
      </w:r>
      <w:r w:rsidR="00E04561">
        <w:rPr>
          <w:rFonts w:ascii="Times New Roman" w:eastAsia="Times New Roman" w:hAnsi="Times New Roman"/>
          <w:sz w:val="28"/>
          <w:szCs w:val="28"/>
          <w:lang w:val="uk-UA" w:eastAsia="uk-UA"/>
        </w:rPr>
        <w:t>татами дисертації опубліковано 7</w:t>
      </w:r>
      <w:r w:rsidRPr="00816B36">
        <w:rPr>
          <w:rFonts w:ascii="Times New Roman" w:eastAsia="Times New Roman" w:hAnsi="Times New Roman"/>
          <w:sz w:val="28"/>
          <w:szCs w:val="28"/>
          <w:lang w:val="uk-UA" w:eastAsia="uk-UA"/>
        </w:rPr>
        <w:t xml:space="preserve"> наукових праць, а саме: 3 статті – у наукових фахових виданнях України</w:t>
      </w:r>
      <w:r w:rsidR="00AD44E3">
        <w:rPr>
          <w:rFonts w:ascii="Times New Roman" w:eastAsia="Times New Roman" w:hAnsi="Times New Roman"/>
          <w:sz w:val="28"/>
          <w:szCs w:val="28"/>
          <w:lang w:val="uk-UA" w:eastAsia="uk-UA"/>
        </w:rPr>
        <w:t xml:space="preserve"> з економіки</w:t>
      </w:r>
      <w:r w:rsidRPr="00816B36">
        <w:rPr>
          <w:rFonts w:ascii="Times New Roman" w:eastAsia="Times New Roman" w:hAnsi="Times New Roman"/>
          <w:sz w:val="28"/>
          <w:szCs w:val="28"/>
          <w:lang w:val="uk-UA" w:eastAsia="uk-UA"/>
        </w:rPr>
        <w:t xml:space="preserve">, </w:t>
      </w:r>
      <w:r w:rsidR="00E9336A">
        <w:rPr>
          <w:rFonts w:ascii="Times New Roman" w:eastAsia="Times New Roman" w:hAnsi="Times New Roman"/>
          <w:sz w:val="28"/>
          <w:szCs w:val="28"/>
          <w:lang w:val="uk-UA" w:eastAsia="uk-UA"/>
        </w:rPr>
        <w:t>р</w:t>
      </w:r>
      <w:r w:rsidR="00E9336A" w:rsidRPr="00E9336A">
        <w:rPr>
          <w:rFonts w:ascii="Times New Roman" w:eastAsia="Times New Roman" w:hAnsi="Times New Roman"/>
          <w:sz w:val="28"/>
          <w:szCs w:val="28"/>
          <w:lang w:val="uk-UA" w:eastAsia="uk-UA"/>
        </w:rPr>
        <w:t>озділ у колективній монографії</w:t>
      </w:r>
      <w:r w:rsidR="00E9336A">
        <w:rPr>
          <w:rFonts w:ascii="Times New Roman" w:eastAsia="Times New Roman" w:hAnsi="Times New Roman"/>
          <w:sz w:val="28"/>
          <w:szCs w:val="28"/>
          <w:lang w:val="uk-UA" w:eastAsia="uk-UA"/>
        </w:rPr>
        <w:t>, с</w:t>
      </w:r>
      <w:r w:rsidR="00E9336A" w:rsidRPr="00E9336A">
        <w:rPr>
          <w:rFonts w:ascii="Times New Roman" w:eastAsia="Times New Roman" w:hAnsi="Times New Roman"/>
          <w:sz w:val="28"/>
          <w:szCs w:val="28"/>
          <w:lang w:val="uk-UA" w:eastAsia="uk-UA"/>
        </w:rPr>
        <w:t xml:space="preserve">таття у іноземному періодичному виданні ЄС </w:t>
      </w:r>
      <w:r w:rsidRPr="00816B36">
        <w:rPr>
          <w:rFonts w:ascii="Times New Roman" w:eastAsia="Times New Roman" w:hAnsi="Times New Roman"/>
          <w:sz w:val="28"/>
          <w:szCs w:val="28"/>
          <w:lang w:val="uk-UA" w:eastAsia="uk-UA"/>
        </w:rPr>
        <w:t xml:space="preserve">та </w:t>
      </w:r>
      <w:r w:rsidR="00E04561">
        <w:rPr>
          <w:rFonts w:ascii="Times New Roman" w:eastAsia="Times New Roman" w:hAnsi="Times New Roman"/>
          <w:sz w:val="28"/>
          <w:szCs w:val="28"/>
          <w:lang w:val="uk-UA" w:eastAsia="uk-UA"/>
        </w:rPr>
        <w:t xml:space="preserve">2 </w:t>
      </w:r>
      <w:r w:rsidRPr="00816B36">
        <w:rPr>
          <w:rFonts w:ascii="Times New Roman" w:eastAsia="Times New Roman" w:hAnsi="Times New Roman"/>
          <w:sz w:val="28"/>
          <w:szCs w:val="28"/>
          <w:lang w:val="uk-UA" w:eastAsia="uk-UA"/>
        </w:rPr>
        <w:t>тез</w:t>
      </w:r>
      <w:r w:rsidR="00E04561">
        <w:rPr>
          <w:rFonts w:ascii="Times New Roman" w:eastAsia="Times New Roman" w:hAnsi="Times New Roman"/>
          <w:sz w:val="28"/>
          <w:szCs w:val="28"/>
          <w:lang w:val="uk-UA" w:eastAsia="uk-UA"/>
        </w:rPr>
        <w:t>и</w:t>
      </w:r>
      <w:r w:rsidRPr="00816B36">
        <w:rPr>
          <w:rFonts w:ascii="Times New Roman" w:eastAsia="Times New Roman" w:hAnsi="Times New Roman"/>
          <w:sz w:val="28"/>
          <w:szCs w:val="28"/>
          <w:lang w:val="uk-UA" w:eastAsia="uk-UA"/>
        </w:rPr>
        <w:t xml:space="preserve"> доповід</w:t>
      </w:r>
      <w:r w:rsidR="00E04561">
        <w:rPr>
          <w:rFonts w:ascii="Times New Roman" w:eastAsia="Times New Roman" w:hAnsi="Times New Roman"/>
          <w:sz w:val="28"/>
          <w:szCs w:val="28"/>
          <w:lang w:val="uk-UA" w:eastAsia="uk-UA"/>
        </w:rPr>
        <w:t>ей</w:t>
      </w:r>
      <w:r w:rsidRPr="00816B36">
        <w:rPr>
          <w:rFonts w:ascii="Times New Roman" w:eastAsia="Times New Roman" w:hAnsi="Times New Roman"/>
          <w:sz w:val="28"/>
          <w:szCs w:val="28"/>
          <w:lang w:val="uk-UA" w:eastAsia="uk-UA"/>
        </w:rPr>
        <w:t xml:space="preserve"> у матеріалах наукових конференцій. Загальний обсяг публікацій складає </w:t>
      </w:r>
      <w:r w:rsidR="002802EB">
        <w:rPr>
          <w:rFonts w:ascii="Times New Roman" w:eastAsia="Times New Roman" w:hAnsi="Times New Roman"/>
          <w:sz w:val="28"/>
          <w:szCs w:val="28"/>
          <w:lang w:val="uk-UA" w:eastAsia="uk-UA"/>
        </w:rPr>
        <w:t>3</w:t>
      </w:r>
      <w:r w:rsidRPr="00816B36">
        <w:rPr>
          <w:rFonts w:ascii="Times New Roman" w:eastAsia="Times New Roman" w:hAnsi="Times New Roman"/>
          <w:sz w:val="28"/>
          <w:szCs w:val="28"/>
          <w:lang w:val="uk-UA" w:eastAsia="uk-UA"/>
        </w:rPr>
        <w:t>,8 обл. вид. арк.</w:t>
      </w:r>
      <w:r w:rsidR="002802EB">
        <w:rPr>
          <w:rFonts w:ascii="Times New Roman" w:eastAsia="Times New Roman" w:hAnsi="Times New Roman"/>
          <w:sz w:val="28"/>
          <w:szCs w:val="28"/>
          <w:lang w:val="uk-UA" w:eastAsia="uk-UA"/>
        </w:rPr>
        <w:t xml:space="preserve"> (особисто автору належить 3,5 </w:t>
      </w:r>
      <w:r w:rsidR="002802EB" w:rsidRPr="00816B36">
        <w:rPr>
          <w:rFonts w:ascii="Times New Roman" w:eastAsia="Times New Roman" w:hAnsi="Times New Roman"/>
          <w:sz w:val="28"/>
          <w:szCs w:val="28"/>
          <w:lang w:val="uk-UA" w:eastAsia="uk-UA"/>
        </w:rPr>
        <w:t>обл. вид. арк.</w:t>
      </w:r>
      <w:r w:rsidR="002802EB">
        <w:rPr>
          <w:rFonts w:ascii="Times New Roman" w:eastAsia="Times New Roman" w:hAnsi="Times New Roman"/>
          <w:sz w:val="28"/>
          <w:szCs w:val="28"/>
          <w:lang w:val="uk-UA" w:eastAsia="uk-UA"/>
        </w:rPr>
        <w:t>).</w:t>
      </w:r>
    </w:p>
    <w:p w:rsidR="00E12ED3" w:rsidRDefault="00E12ED3" w:rsidP="00E12ED3">
      <w:pPr>
        <w:spacing w:after="0" w:line="360" w:lineRule="auto"/>
        <w:ind w:firstLine="709"/>
        <w:jc w:val="both"/>
        <w:rPr>
          <w:rFonts w:ascii="Times New Roman" w:eastAsia="Times New Roman" w:hAnsi="Times New Roman"/>
          <w:b/>
          <w:bCs/>
          <w:color w:val="000000"/>
          <w:sz w:val="28"/>
          <w:szCs w:val="28"/>
          <w:lang w:val="uk-UA" w:eastAsia="uk-UA"/>
        </w:rPr>
      </w:pPr>
      <w:r w:rsidRPr="00816B36">
        <w:rPr>
          <w:rFonts w:ascii="Times New Roman" w:eastAsia="Times New Roman" w:hAnsi="Times New Roman"/>
          <w:b/>
          <w:bCs/>
          <w:color w:val="000000"/>
          <w:sz w:val="28"/>
          <w:szCs w:val="28"/>
          <w:lang w:val="uk-UA" w:eastAsia="uk-UA"/>
        </w:rPr>
        <w:lastRenderedPageBreak/>
        <w:t>Обсяг і структура роботи.</w:t>
      </w:r>
      <w:r w:rsidRPr="00816B36">
        <w:rPr>
          <w:rFonts w:ascii="Times New Roman" w:eastAsia="Times New Roman" w:hAnsi="Times New Roman"/>
          <w:color w:val="000000"/>
          <w:sz w:val="28"/>
          <w:szCs w:val="28"/>
          <w:lang w:val="uk-UA" w:eastAsia="uk-UA"/>
        </w:rPr>
        <w:t xml:space="preserve"> Дисертація складається з вступу, трьох розділів, висновків, списку використаних джерел (195 найменувань)</w:t>
      </w:r>
      <w:r w:rsidRPr="00640012">
        <w:rPr>
          <w:rFonts w:ascii="Times New Roman" w:eastAsia="Times New Roman" w:hAnsi="Times New Roman"/>
          <w:color w:val="000000"/>
          <w:sz w:val="28"/>
          <w:szCs w:val="28"/>
          <w:lang w:val="uk-UA" w:eastAsia="uk-UA"/>
        </w:rPr>
        <w:t xml:space="preserve"> та додатків. </w:t>
      </w:r>
      <w:r w:rsidR="00653E12" w:rsidRPr="00653E12">
        <w:rPr>
          <w:rFonts w:ascii="Times New Roman" w:eastAsia="Times New Roman" w:hAnsi="Times New Roman"/>
          <w:color w:val="000000"/>
          <w:sz w:val="28"/>
          <w:szCs w:val="28"/>
          <w:lang w:val="uk-UA" w:eastAsia="uk-UA"/>
        </w:rPr>
        <w:t>Робота містить 19 таблиць, 21 рисунок, 23 додатки</w:t>
      </w:r>
      <w:r w:rsidRPr="00653E12">
        <w:rPr>
          <w:rFonts w:ascii="Times New Roman" w:eastAsia="Times New Roman" w:hAnsi="Times New Roman"/>
          <w:color w:val="000000"/>
          <w:sz w:val="28"/>
          <w:szCs w:val="28"/>
          <w:lang w:val="uk-UA" w:eastAsia="uk-UA"/>
        </w:rPr>
        <w:t>.</w:t>
      </w:r>
    </w:p>
    <w:p w:rsidR="00E12ED3" w:rsidRDefault="00E12ED3" w:rsidP="00766D37">
      <w:pPr>
        <w:spacing w:after="0" w:line="360" w:lineRule="auto"/>
        <w:ind w:firstLine="709"/>
        <w:jc w:val="center"/>
        <w:rPr>
          <w:rStyle w:val="docdata"/>
          <w:rFonts w:ascii="Times New Roman" w:hAnsi="Times New Roman"/>
          <w:b/>
          <w:color w:val="000000"/>
          <w:sz w:val="28"/>
          <w:szCs w:val="28"/>
          <w:lang w:val="uk-UA"/>
        </w:rPr>
      </w:pPr>
      <w:r>
        <w:rPr>
          <w:rStyle w:val="docdata"/>
          <w:rFonts w:ascii="Times New Roman" w:hAnsi="Times New Roman"/>
          <w:b/>
          <w:color w:val="000000"/>
          <w:sz w:val="28"/>
          <w:szCs w:val="28"/>
          <w:lang w:val="uk-UA"/>
        </w:rPr>
        <w:br w:type="page"/>
      </w:r>
    </w:p>
    <w:p w:rsidR="00766D37" w:rsidRPr="00766D37" w:rsidRDefault="00766D37" w:rsidP="00766D37">
      <w:pPr>
        <w:spacing w:after="0" w:line="360" w:lineRule="auto"/>
        <w:ind w:firstLine="709"/>
        <w:jc w:val="center"/>
        <w:rPr>
          <w:rStyle w:val="docdata"/>
          <w:rFonts w:ascii="Times New Roman" w:hAnsi="Times New Roman"/>
          <w:b/>
          <w:color w:val="000000"/>
          <w:sz w:val="28"/>
          <w:szCs w:val="28"/>
          <w:lang w:val="uk-UA"/>
        </w:rPr>
      </w:pPr>
      <w:r w:rsidRPr="00766D37">
        <w:rPr>
          <w:rStyle w:val="docdata"/>
          <w:rFonts w:ascii="Times New Roman" w:hAnsi="Times New Roman"/>
          <w:b/>
          <w:color w:val="000000"/>
          <w:sz w:val="28"/>
          <w:szCs w:val="28"/>
          <w:lang w:val="uk-UA"/>
        </w:rPr>
        <w:lastRenderedPageBreak/>
        <w:t>РОЗДІЛ 1</w:t>
      </w:r>
    </w:p>
    <w:p w:rsidR="00766D37" w:rsidRDefault="00766D37" w:rsidP="00766D37">
      <w:pPr>
        <w:spacing w:after="0" w:line="360" w:lineRule="auto"/>
        <w:ind w:firstLine="709"/>
        <w:jc w:val="center"/>
        <w:rPr>
          <w:rStyle w:val="docdata"/>
          <w:rFonts w:ascii="Times New Roman" w:hAnsi="Times New Roman"/>
          <w:b/>
          <w:color w:val="000000"/>
          <w:sz w:val="28"/>
          <w:szCs w:val="28"/>
          <w:lang w:val="uk-UA"/>
        </w:rPr>
      </w:pPr>
      <w:r w:rsidRPr="00766D37">
        <w:rPr>
          <w:rStyle w:val="docdata"/>
          <w:rFonts w:ascii="Times New Roman" w:hAnsi="Times New Roman"/>
          <w:b/>
          <w:color w:val="000000"/>
          <w:sz w:val="28"/>
          <w:szCs w:val="28"/>
          <w:lang w:val="uk-UA"/>
        </w:rPr>
        <w:t xml:space="preserve">ТЕОРЕТИЧНІ </w:t>
      </w:r>
      <w:r w:rsidR="00027384">
        <w:rPr>
          <w:rStyle w:val="docdata"/>
          <w:rFonts w:ascii="Times New Roman" w:hAnsi="Times New Roman"/>
          <w:b/>
          <w:color w:val="000000"/>
          <w:sz w:val="28"/>
          <w:szCs w:val="28"/>
          <w:lang w:val="uk-UA"/>
        </w:rPr>
        <w:t>ЗАСАДИ</w:t>
      </w:r>
      <w:r w:rsidRPr="00766D37">
        <w:rPr>
          <w:rStyle w:val="docdata"/>
          <w:rFonts w:ascii="Times New Roman" w:hAnsi="Times New Roman"/>
          <w:b/>
          <w:color w:val="000000"/>
          <w:sz w:val="28"/>
          <w:szCs w:val="28"/>
          <w:lang w:val="uk-UA"/>
        </w:rPr>
        <w:t xml:space="preserve"> УПРАВЛІННЯ ЕКОНОМІЧНИМ МЕХАНІЗМОМ ІНВЕСТИЦІЙНОЇ</w:t>
      </w:r>
      <w:r w:rsidR="00F71E08" w:rsidRPr="00AF7F70">
        <w:rPr>
          <w:rStyle w:val="docdata"/>
          <w:rFonts w:ascii="Times New Roman" w:hAnsi="Times New Roman"/>
          <w:b/>
          <w:color w:val="000000"/>
          <w:sz w:val="28"/>
          <w:szCs w:val="28"/>
          <w:lang w:val="uk-UA"/>
        </w:rPr>
        <w:t xml:space="preserve"> П</w:t>
      </w:r>
      <w:r w:rsidR="00F71E08">
        <w:rPr>
          <w:rStyle w:val="docdata"/>
          <w:rFonts w:ascii="Times New Roman" w:hAnsi="Times New Roman"/>
          <w:b/>
          <w:color w:val="000000"/>
          <w:sz w:val="28"/>
          <w:szCs w:val="28"/>
          <w:lang w:val="uk-UA"/>
        </w:rPr>
        <w:t>РИВАБЛИВОСТІ</w:t>
      </w:r>
      <w:r w:rsidR="00705025">
        <w:rPr>
          <w:rStyle w:val="docdata"/>
          <w:rFonts w:ascii="Times New Roman" w:hAnsi="Times New Roman"/>
          <w:b/>
          <w:color w:val="000000"/>
          <w:sz w:val="28"/>
          <w:szCs w:val="28"/>
          <w:lang w:val="uk-UA"/>
        </w:rPr>
        <w:t xml:space="preserve"> СІЛЬСЬКОГОСПОДАРСЬКИХ ПІДПРИЄМСТВ</w:t>
      </w:r>
    </w:p>
    <w:p w:rsidR="00705025" w:rsidRPr="00F71E08" w:rsidRDefault="00705025" w:rsidP="00766D37">
      <w:pPr>
        <w:spacing w:after="0" w:line="360" w:lineRule="auto"/>
        <w:ind w:firstLine="709"/>
        <w:jc w:val="center"/>
        <w:rPr>
          <w:rFonts w:ascii="Times New Roman" w:hAnsi="Times New Roman"/>
          <w:b/>
          <w:sz w:val="28"/>
          <w:szCs w:val="28"/>
          <w:lang w:val="uk-UA"/>
        </w:rPr>
      </w:pPr>
    </w:p>
    <w:p w:rsidR="00766D37" w:rsidRPr="00766D37" w:rsidRDefault="00766D37" w:rsidP="00313EB1">
      <w:pPr>
        <w:spacing w:after="0" w:line="360" w:lineRule="auto"/>
        <w:ind w:firstLine="709"/>
        <w:jc w:val="both"/>
        <w:rPr>
          <w:rFonts w:ascii="Times New Roman" w:hAnsi="Times New Roman"/>
          <w:b/>
          <w:sz w:val="28"/>
          <w:szCs w:val="28"/>
          <w:lang w:val="uk-UA"/>
        </w:rPr>
      </w:pPr>
      <w:r w:rsidRPr="00766D37">
        <w:rPr>
          <w:rFonts w:ascii="Times New Roman" w:hAnsi="Times New Roman"/>
          <w:b/>
          <w:sz w:val="28"/>
          <w:szCs w:val="28"/>
          <w:lang w:val="uk-UA"/>
        </w:rPr>
        <w:t>1.1.</w:t>
      </w:r>
      <w:r>
        <w:rPr>
          <w:rFonts w:ascii="Times New Roman" w:hAnsi="Times New Roman"/>
          <w:b/>
          <w:sz w:val="28"/>
          <w:szCs w:val="28"/>
          <w:lang w:val="uk-UA"/>
        </w:rPr>
        <w:t xml:space="preserve"> </w:t>
      </w:r>
      <w:r w:rsidRPr="00766D37">
        <w:rPr>
          <w:rFonts w:ascii="Times New Roman" w:hAnsi="Times New Roman"/>
          <w:b/>
          <w:sz w:val="28"/>
          <w:szCs w:val="28"/>
          <w:lang w:val="uk-UA"/>
        </w:rPr>
        <w:t xml:space="preserve">Сутність еволюції поглядів </w:t>
      </w:r>
      <w:r w:rsidR="00027384">
        <w:rPr>
          <w:rFonts w:ascii="Times New Roman" w:hAnsi="Times New Roman"/>
          <w:b/>
          <w:sz w:val="28"/>
          <w:szCs w:val="28"/>
          <w:lang w:val="uk-UA"/>
        </w:rPr>
        <w:t xml:space="preserve">на </w:t>
      </w:r>
      <w:r w:rsidRPr="00766D37">
        <w:rPr>
          <w:rFonts w:ascii="Times New Roman" w:hAnsi="Times New Roman"/>
          <w:b/>
          <w:sz w:val="28"/>
          <w:szCs w:val="28"/>
          <w:lang w:val="uk-UA"/>
        </w:rPr>
        <w:t>розвит</w:t>
      </w:r>
      <w:r w:rsidR="00027384">
        <w:rPr>
          <w:rFonts w:ascii="Times New Roman" w:hAnsi="Times New Roman"/>
          <w:b/>
          <w:sz w:val="28"/>
          <w:szCs w:val="28"/>
          <w:lang w:val="uk-UA"/>
        </w:rPr>
        <w:t>ок</w:t>
      </w:r>
      <w:r w:rsidRPr="00766D37">
        <w:rPr>
          <w:rFonts w:ascii="Times New Roman" w:hAnsi="Times New Roman"/>
          <w:b/>
          <w:sz w:val="28"/>
          <w:szCs w:val="28"/>
          <w:lang w:val="uk-UA"/>
        </w:rPr>
        <w:t xml:space="preserve"> інвестиційної привабливості сільськогосподарських підприємств</w:t>
      </w:r>
    </w:p>
    <w:p w:rsidR="00766D37" w:rsidRDefault="00766D37" w:rsidP="00313EB1">
      <w:pPr>
        <w:spacing w:after="0" w:line="360" w:lineRule="auto"/>
        <w:ind w:firstLine="709"/>
        <w:jc w:val="both"/>
        <w:rPr>
          <w:rFonts w:ascii="Times New Roman" w:hAnsi="Times New Roman"/>
          <w:sz w:val="28"/>
          <w:szCs w:val="28"/>
          <w:lang w:val="uk-UA"/>
        </w:rPr>
      </w:pP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Одним </w:t>
      </w:r>
      <w:r w:rsidR="006F455B">
        <w:rPr>
          <w:rFonts w:ascii="Times New Roman" w:hAnsi="Times New Roman"/>
          <w:sz w:val="28"/>
          <w:szCs w:val="28"/>
          <w:lang w:val="uk-UA"/>
        </w:rPr>
        <w:t>і</w:t>
      </w:r>
      <w:r w:rsidRPr="00313EB1">
        <w:rPr>
          <w:rFonts w:ascii="Times New Roman" w:hAnsi="Times New Roman"/>
          <w:sz w:val="28"/>
          <w:szCs w:val="28"/>
          <w:lang w:val="uk-UA"/>
        </w:rPr>
        <w:t xml:space="preserve">з основних моментів інвестиційної діяльності є оцінка та вибір найкращого варіанту інвестування. Як показує світовий досвід, пріоритетними сферами інвестицій є ті, які дозволяють домагатися швидкої окупності вкладень і одночасно зумовлюють виникнення потреб у розвитку сполучених виробництв. Із сутності інвестиційного процесу випливають об'єктивні інтереси: будь-який інвестор зацікавлений у надійності та ефективності власних вкладень. Управління інвестиційною привабливістю тотожне управлінню розвитком підприємства, тобто крім об'єктивного інтересу інвесторів, тут є об'єктивний інтерес кадрів і суспільства. Отже, технологія управління інвестиційною привабливістю, побудована на </w:t>
      </w:r>
      <w:r w:rsidR="00DB1F48">
        <w:rPr>
          <w:rFonts w:ascii="Times New Roman" w:hAnsi="Times New Roman"/>
          <w:sz w:val="28"/>
          <w:szCs w:val="28"/>
          <w:lang w:val="uk-UA"/>
        </w:rPr>
        <w:t>врахуванні</w:t>
      </w:r>
      <w:r w:rsidRPr="00313EB1">
        <w:rPr>
          <w:rFonts w:ascii="Times New Roman" w:hAnsi="Times New Roman"/>
          <w:sz w:val="28"/>
          <w:szCs w:val="28"/>
          <w:lang w:val="uk-UA"/>
        </w:rPr>
        <w:t xml:space="preserve"> цих об'єктивних інтересів, працюватиме на будь-якому рівні </w:t>
      </w:r>
      <w:r w:rsidR="00DB1F48">
        <w:rPr>
          <w:rFonts w:ascii="Times New Roman" w:hAnsi="Times New Roman"/>
          <w:sz w:val="28"/>
          <w:szCs w:val="28"/>
          <w:lang w:val="uk-UA"/>
        </w:rPr>
        <w:t>і</w:t>
      </w:r>
      <w:r w:rsidRPr="00313EB1">
        <w:rPr>
          <w:rFonts w:ascii="Times New Roman" w:hAnsi="Times New Roman"/>
          <w:sz w:val="28"/>
          <w:szCs w:val="28"/>
          <w:lang w:val="uk-UA"/>
        </w:rPr>
        <w:t xml:space="preserve"> в будь-якому місці та гарантуватиме результат.</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Таким чином, збіг інтересів суспільства з інтересами інвесторів виводить завдання управління інвестиційною привабливістю із розряду приватних у розряд суспільно значимих, а специфіка поточного моменту робить її не просто ключовою, але надпріоритетною</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[3, 137]</w:t>
      </w:r>
      <w:r w:rsidR="004009DE">
        <w:rPr>
          <w:rFonts w:ascii="Times New Roman" w:hAnsi="Times New Roman"/>
          <w:sz w:val="28"/>
          <w:szCs w:val="28"/>
          <w:lang w:val="uk-UA"/>
        </w:rPr>
        <w:t>.</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Успішне функціонування підприємства передбачає здійснення інвестиційної діяльності, пов'язаної з проведенням гнучкої інвестиційної політики, формуванням реальної інвестиційної привабливості підприємства, з урахуванням вимог інвесторів, і, як наслідок, отримання інвестицій та реалізації інвестиційних </w:t>
      </w:r>
      <w:r w:rsidR="00DB1F48">
        <w:rPr>
          <w:rFonts w:ascii="Times New Roman" w:hAnsi="Times New Roman"/>
          <w:sz w:val="28"/>
          <w:szCs w:val="28"/>
          <w:lang w:val="uk-UA"/>
        </w:rPr>
        <w:t>проєк</w:t>
      </w:r>
      <w:r w:rsidRPr="00313EB1">
        <w:rPr>
          <w:rFonts w:ascii="Times New Roman" w:hAnsi="Times New Roman"/>
          <w:sz w:val="28"/>
          <w:szCs w:val="28"/>
          <w:lang w:val="uk-UA"/>
        </w:rPr>
        <w:t>тів</w:t>
      </w:r>
      <w:r w:rsidR="002A16E4" w:rsidRPr="002A16E4">
        <w:rPr>
          <w:rFonts w:ascii="Times New Roman" w:hAnsi="Times New Roman"/>
          <w:sz w:val="28"/>
          <w:szCs w:val="28"/>
          <w:lang w:val="uk-UA"/>
        </w:rPr>
        <w:t xml:space="preserve"> </w:t>
      </w:r>
      <w:r w:rsidR="002A16E4" w:rsidRPr="002A16E4">
        <w:rPr>
          <w:rFonts w:ascii="Times New Roman" w:eastAsia="Times New Roman" w:hAnsi="Times New Roman"/>
          <w:sz w:val="28"/>
          <w:szCs w:val="28"/>
          <w:lang w:val="uk-UA"/>
        </w:rPr>
        <w:t>[14, c. 11]</w:t>
      </w:r>
      <w:r w:rsidRPr="00313EB1">
        <w:rPr>
          <w:rFonts w:ascii="Times New Roman" w:hAnsi="Times New Roman"/>
          <w:sz w:val="28"/>
          <w:szCs w:val="28"/>
          <w:lang w:val="uk-UA"/>
        </w:rPr>
        <w:t>.</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lastRenderedPageBreak/>
        <w:t xml:space="preserve">В умовах обмеженості ресурсів одним із актуальних стає питання про їх найбільш раціональне використання, тобто про вибір найкращого варіанта інвестування та процесу реалізації </w:t>
      </w:r>
      <w:r w:rsidR="00DB1F48">
        <w:rPr>
          <w:rFonts w:ascii="Times New Roman" w:hAnsi="Times New Roman"/>
          <w:sz w:val="28"/>
          <w:szCs w:val="28"/>
          <w:lang w:val="uk-UA"/>
        </w:rPr>
        <w:t>проєк</w:t>
      </w:r>
      <w:r w:rsidRPr="00313EB1">
        <w:rPr>
          <w:rFonts w:ascii="Times New Roman" w:hAnsi="Times New Roman"/>
          <w:sz w:val="28"/>
          <w:szCs w:val="28"/>
          <w:lang w:val="uk-UA"/>
        </w:rPr>
        <w:t>тів.</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Все зводиться не лише до оцінки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ту, а й до проведення аналізу, що фіксує масштаби витрат, віддачу цих витрат і часу, необхідного для повного циклу інвестиційного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ту, проведення фінансово-економічного аналізу </w:t>
      </w:r>
      <w:r w:rsidR="00DB1F48">
        <w:rPr>
          <w:rFonts w:ascii="Times New Roman" w:hAnsi="Times New Roman"/>
          <w:sz w:val="28"/>
          <w:szCs w:val="28"/>
          <w:lang w:val="uk-UA"/>
        </w:rPr>
        <w:t>–</w:t>
      </w:r>
      <w:r w:rsidRPr="00313EB1">
        <w:rPr>
          <w:rFonts w:ascii="Times New Roman" w:hAnsi="Times New Roman"/>
          <w:sz w:val="28"/>
          <w:szCs w:val="28"/>
          <w:lang w:val="uk-UA"/>
        </w:rPr>
        <w:t xml:space="preserve"> пошуку та виявлення оптимальних для цього </w:t>
      </w:r>
      <w:r w:rsidR="00DB1F48">
        <w:rPr>
          <w:rFonts w:ascii="Times New Roman" w:hAnsi="Times New Roman"/>
          <w:sz w:val="28"/>
          <w:szCs w:val="28"/>
          <w:lang w:val="uk-UA"/>
        </w:rPr>
        <w:t>проєк</w:t>
      </w:r>
      <w:r w:rsidRPr="00313EB1">
        <w:rPr>
          <w:rFonts w:ascii="Times New Roman" w:hAnsi="Times New Roman"/>
          <w:sz w:val="28"/>
          <w:szCs w:val="28"/>
          <w:lang w:val="uk-UA"/>
        </w:rPr>
        <w:t>ту витрат, максимального прибутку за мінімальних термінів. У той самий час вирішення цих завдань неспроможн</w:t>
      </w:r>
      <w:r w:rsidR="00DB1F48">
        <w:rPr>
          <w:rFonts w:ascii="Times New Roman" w:hAnsi="Times New Roman"/>
          <w:sz w:val="28"/>
          <w:szCs w:val="28"/>
          <w:lang w:val="uk-UA"/>
        </w:rPr>
        <w:t>е</w:t>
      </w:r>
      <w:r w:rsidRPr="00313EB1">
        <w:rPr>
          <w:rFonts w:ascii="Times New Roman" w:hAnsi="Times New Roman"/>
          <w:sz w:val="28"/>
          <w:szCs w:val="28"/>
          <w:lang w:val="uk-UA"/>
        </w:rPr>
        <w:t xml:space="preserve"> суперечити якості </w:t>
      </w:r>
      <w:r w:rsidR="00DB1F48">
        <w:rPr>
          <w:rFonts w:ascii="Times New Roman" w:hAnsi="Times New Roman"/>
          <w:sz w:val="28"/>
          <w:szCs w:val="28"/>
          <w:lang w:val="uk-UA"/>
        </w:rPr>
        <w:t>проєк</w:t>
      </w:r>
      <w:r w:rsidRPr="00313EB1">
        <w:rPr>
          <w:rFonts w:ascii="Times New Roman" w:hAnsi="Times New Roman"/>
          <w:sz w:val="28"/>
          <w:szCs w:val="28"/>
          <w:lang w:val="uk-UA"/>
        </w:rPr>
        <w:t>ту і шкодити його соціальним характеристикам.</w:t>
      </w:r>
    </w:p>
    <w:p w:rsidR="00625D39" w:rsidRPr="004009DE" w:rsidRDefault="005670E0" w:rsidP="004009DE">
      <w:pPr>
        <w:spacing w:after="0" w:line="360" w:lineRule="auto"/>
        <w:ind w:firstLine="709"/>
        <w:jc w:val="both"/>
        <w:rPr>
          <w:rFonts w:ascii="Times New Roman" w:hAnsi="Times New Roman"/>
          <w:sz w:val="28"/>
          <w:szCs w:val="28"/>
          <w:lang w:val="uk-UA"/>
        </w:rPr>
      </w:pPr>
      <w:r w:rsidRPr="004009DE">
        <w:rPr>
          <w:rFonts w:ascii="Times New Roman" w:hAnsi="Times New Roman"/>
          <w:sz w:val="28"/>
          <w:szCs w:val="28"/>
          <w:lang w:val="uk-UA"/>
        </w:rPr>
        <w:t xml:space="preserve">Для уточнення еволюції наукових підходів доцільно розмежувати чотири взаємопов’язані аналітичні етапи. На першому (традиційний фінансово-проєктний підхід) переважали критерії прибутковості, ліквідності, строку окупності й дисконтування грошових потоків. На другому, інституційно-ризиковому, до оцінювання долучилися асиметрія інформації, структура власності, доступ до капіталу й ризик втрати платоспроможності. Третій етап характеризується вартісно-орієнтованим управлінням: порівнянням результатів інвестування з вартістю капіталу, прогнозуванням FCFF і розглядом ризиків як складових вартості підприємства. Сучасний четвертий етап, особливо помітний у працях 2020–2025 рр., інтегрує до фінансових критеріїв чинники сталості та ESG, але не припускає, що ці чинники автоматично </w:t>
      </w:r>
      <w:r w:rsidR="004009DE">
        <w:rPr>
          <w:rFonts w:ascii="Times New Roman" w:hAnsi="Times New Roman"/>
          <w:sz w:val="28"/>
          <w:szCs w:val="28"/>
          <w:lang w:val="uk-UA"/>
        </w:rPr>
        <w:t xml:space="preserve">збільшують капіталізацію </w:t>
      </w:r>
      <w:r w:rsidR="004009DE">
        <w:rPr>
          <w:rFonts w:ascii="Times New Roman" w:eastAsia="Times New Roman" w:hAnsi="Times New Roman"/>
          <w:sz w:val="28"/>
          <w:szCs w:val="28"/>
          <w:lang w:val="uk-UA"/>
        </w:rPr>
        <w:t>[169, 186, 188]</w:t>
      </w:r>
      <w:r w:rsidR="004009DE">
        <w:rPr>
          <w:rFonts w:ascii="Times New Roman" w:hAnsi="Times New Roman"/>
          <w:sz w:val="28"/>
          <w:szCs w:val="28"/>
          <w:lang w:val="uk-UA"/>
        </w:rPr>
        <w:t>.</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Таким чином, для керівника, який відповідає за підготовку, вибір та прийняття рішення щодо реалізації інвестиційного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ту, </w:t>
      </w:r>
      <w:r w:rsidR="00DB1F48">
        <w:rPr>
          <w:rFonts w:ascii="Times New Roman" w:hAnsi="Times New Roman"/>
          <w:sz w:val="28"/>
          <w:szCs w:val="28"/>
          <w:lang w:val="uk-UA"/>
        </w:rPr>
        <w:t xml:space="preserve">інвестиційна привабливість </w:t>
      </w:r>
      <w:r w:rsidRPr="00313EB1">
        <w:rPr>
          <w:rFonts w:ascii="Times New Roman" w:hAnsi="Times New Roman"/>
          <w:sz w:val="28"/>
          <w:szCs w:val="28"/>
          <w:lang w:val="uk-UA"/>
        </w:rPr>
        <w:t>є однією з основних функцій</w:t>
      </w:r>
      <w:r w:rsidR="006633CD">
        <w:rPr>
          <w:rFonts w:ascii="Times New Roman" w:hAnsi="Times New Roman"/>
          <w:sz w:val="28"/>
          <w:szCs w:val="28"/>
          <w:lang w:val="uk-UA"/>
        </w:rPr>
        <w:t>,</w:t>
      </w:r>
      <w:r w:rsidRPr="00313EB1">
        <w:rPr>
          <w:rFonts w:ascii="Times New Roman" w:hAnsi="Times New Roman"/>
          <w:sz w:val="28"/>
          <w:szCs w:val="28"/>
          <w:lang w:val="uk-UA"/>
        </w:rPr>
        <w:t xml:space="preserve"> а володіння методами прийняття інвестиційних рішень визначають його компетентність та ефективність.</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Велике значення мають інвестиції при реалізації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тів у </w:t>
      </w:r>
      <w:r w:rsidR="00D838FE" w:rsidRPr="00D838FE">
        <w:rPr>
          <w:rFonts w:ascii="Times New Roman" w:hAnsi="Times New Roman"/>
          <w:sz w:val="28"/>
          <w:szCs w:val="28"/>
          <w:lang w:val="uk-UA"/>
        </w:rPr>
        <w:t>сільськогосподарських підприємствах</w:t>
      </w:r>
      <w:r w:rsidRPr="00313EB1">
        <w:rPr>
          <w:rFonts w:ascii="Times New Roman" w:hAnsi="Times New Roman"/>
          <w:sz w:val="28"/>
          <w:szCs w:val="28"/>
          <w:lang w:val="uk-UA"/>
        </w:rPr>
        <w:t xml:space="preserve">, які спрямовуються як на підвищення ефективності існуючої інфраструктури, так і на її постійне відтворення та </w:t>
      </w:r>
      <w:r w:rsidRPr="00313EB1">
        <w:rPr>
          <w:rFonts w:ascii="Times New Roman" w:hAnsi="Times New Roman"/>
          <w:sz w:val="28"/>
          <w:szCs w:val="28"/>
          <w:lang w:val="uk-UA"/>
        </w:rPr>
        <w:lastRenderedPageBreak/>
        <w:t>оновлення</w:t>
      </w:r>
      <w:r w:rsidR="006633CD">
        <w:rPr>
          <w:rFonts w:ascii="Times New Roman" w:hAnsi="Times New Roman"/>
          <w:sz w:val="28"/>
          <w:szCs w:val="28"/>
          <w:lang w:val="uk-UA"/>
        </w:rPr>
        <w:t>,</w:t>
      </w:r>
      <w:r w:rsidRPr="00313EB1">
        <w:rPr>
          <w:rFonts w:ascii="Times New Roman" w:hAnsi="Times New Roman"/>
          <w:sz w:val="28"/>
          <w:szCs w:val="28"/>
          <w:lang w:val="uk-UA"/>
        </w:rPr>
        <w:t xml:space="preserve"> та є основою нормального функціонування всього </w:t>
      </w:r>
      <w:r w:rsidR="00D838FE" w:rsidRPr="00D838FE">
        <w:rPr>
          <w:rFonts w:ascii="Times New Roman" w:hAnsi="Times New Roman"/>
          <w:sz w:val="28"/>
          <w:szCs w:val="28"/>
          <w:lang w:val="uk-UA"/>
        </w:rPr>
        <w:t>сільського</w:t>
      </w:r>
      <w:r w:rsidR="00586507">
        <w:rPr>
          <w:rFonts w:ascii="Times New Roman" w:hAnsi="Times New Roman"/>
          <w:sz w:val="28"/>
          <w:szCs w:val="28"/>
          <w:lang w:val="uk-UA"/>
        </w:rPr>
        <w:t xml:space="preserve"> го</w:t>
      </w:r>
      <w:r w:rsidR="00D838FE" w:rsidRPr="00D838FE">
        <w:rPr>
          <w:rFonts w:ascii="Times New Roman" w:hAnsi="Times New Roman"/>
          <w:sz w:val="28"/>
          <w:szCs w:val="28"/>
          <w:lang w:val="uk-UA"/>
        </w:rPr>
        <w:t>сподарс</w:t>
      </w:r>
      <w:r w:rsidR="00D838FE">
        <w:rPr>
          <w:rFonts w:ascii="Times New Roman" w:hAnsi="Times New Roman"/>
          <w:sz w:val="28"/>
          <w:szCs w:val="28"/>
          <w:lang w:val="uk-UA"/>
        </w:rPr>
        <w:t>тва</w:t>
      </w:r>
      <w:r w:rsidRPr="00313EB1">
        <w:rPr>
          <w:rFonts w:ascii="Times New Roman" w:hAnsi="Times New Roman"/>
          <w:sz w:val="28"/>
          <w:szCs w:val="28"/>
          <w:lang w:val="uk-UA"/>
        </w:rPr>
        <w:t xml:space="preserve"> країни</w:t>
      </w:r>
      <w:r w:rsidRPr="005670E0">
        <w:rPr>
          <w:lang w:val="uk-UA"/>
        </w:rPr>
        <w:t xml:space="preserve"> </w:t>
      </w:r>
      <w:r w:rsidRPr="005670E0">
        <w:rPr>
          <w:rFonts w:ascii="Times New Roman" w:eastAsia="Times New Roman" w:hAnsi="Times New Roman"/>
          <w:sz w:val="28"/>
          <w:szCs w:val="28"/>
          <w:lang w:val="uk-UA"/>
        </w:rPr>
        <w:t>[121]</w:t>
      </w:r>
      <w:r w:rsidRPr="005670E0">
        <w:rPr>
          <w:lang w:val="uk-UA"/>
        </w:rPr>
        <w:t>.</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Інвестиційні рішення відрізняються від більшості управлінських рішень своєю унікальністю, складністю, часткою ризику, стратегічною спрямованістю, а використання кількісних методів і моделей розроблено в даний час досить слаб</w:t>
      </w:r>
      <w:r w:rsidR="00313EB1">
        <w:rPr>
          <w:rFonts w:ascii="Times New Roman" w:hAnsi="Times New Roman"/>
          <w:sz w:val="28"/>
          <w:szCs w:val="28"/>
          <w:lang w:val="uk-UA"/>
        </w:rPr>
        <w:t>к</w:t>
      </w:r>
      <w:r w:rsidRPr="00313EB1">
        <w:rPr>
          <w:rFonts w:ascii="Times New Roman" w:hAnsi="Times New Roman"/>
          <w:sz w:val="28"/>
          <w:szCs w:val="28"/>
          <w:lang w:val="uk-UA"/>
        </w:rPr>
        <w:t>о.</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Інвестиції є вкладення капіталу </w:t>
      </w:r>
      <w:r w:rsidR="006633CD">
        <w:rPr>
          <w:rFonts w:ascii="Times New Roman" w:hAnsi="Times New Roman"/>
          <w:sz w:val="28"/>
          <w:szCs w:val="28"/>
          <w:lang w:val="uk-UA"/>
        </w:rPr>
        <w:t>з метою</w:t>
      </w:r>
      <w:r w:rsidRPr="00313EB1">
        <w:rPr>
          <w:rFonts w:ascii="Times New Roman" w:hAnsi="Times New Roman"/>
          <w:sz w:val="28"/>
          <w:szCs w:val="28"/>
          <w:lang w:val="uk-UA"/>
        </w:rPr>
        <w:t xml:space="preserve"> подальшого його збільшення. При цьому приріст капіталу має бути достатнім для того, щоб компенсувати інвестору відмову від використання наявних коштів на споживання у поточному періоді, винагородити його за ризик, відшкодувати втрати від інфляції у майбутньому</w:t>
      </w:r>
      <w:r w:rsidR="002A16E4" w:rsidRPr="002A16E4">
        <w:rPr>
          <w:rFonts w:ascii="Times New Roman" w:hAnsi="Times New Roman"/>
          <w:sz w:val="28"/>
          <w:szCs w:val="28"/>
          <w:lang w:val="uk-UA"/>
        </w:rPr>
        <w:t xml:space="preserve"> </w:t>
      </w:r>
      <w:r w:rsidR="002A16E4" w:rsidRPr="002A16E4">
        <w:rPr>
          <w:rFonts w:ascii="Times New Roman" w:eastAsia="Times New Roman" w:hAnsi="Times New Roman"/>
          <w:sz w:val="28"/>
          <w:szCs w:val="28"/>
          <w:lang w:val="uk-UA"/>
        </w:rPr>
        <w:t>[5, c. 62]</w:t>
      </w:r>
      <w:r w:rsidRPr="00313EB1">
        <w:rPr>
          <w:rFonts w:ascii="Times New Roman" w:hAnsi="Times New Roman"/>
          <w:sz w:val="28"/>
          <w:szCs w:val="28"/>
          <w:lang w:val="uk-UA"/>
        </w:rPr>
        <w:t>. Основними ознаками інвестиційної діяльності, що визначають підходи до її аналізу, є:</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 </w:t>
      </w:r>
      <w:r w:rsidR="00313EB1" w:rsidRPr="00313EB1">
        <w:rPr>
          <w:rFonts w:ascii="Times New Roman" w:hAnsi="Times New Roman"/>
          <w:sz w:val="28"/>
          <w:szCs w:val="28"/>
          <w:lang w:val="uk-UA"/>
        </w:rPr>
        <w:t>необоротність, пов'язана з тимчасовою втратою споживчої цінності капіталу (наприклад, ліквідності);</w:t>
      </w:r>
    </w:p>
    <w:p w:rsidR="00DA0FC9" w:rsidRPr="00313EB1" w:rsidRDefault="00313EB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очікування збільшення вихідного рівня добробуту;</w:t>
      </w:r>
    </w:p>
    <w:p w:rsidR="00DA0FC9" w:rsidRPr="00313EB1" w:rsidRDefault="00313EB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невизначеність</w:t>
      </w:r>
      <w:r w:rsidR="00DA0FC9" w:rsidRPr="00313EB1">
        <w:rPr>
          <w:rFonts w:ascii="Times New Roman" w:hAnsi="Times New Roman"/>
          <w:sz w:val="28"/>
          <w:szCs w:val="28"/>
          <w:lang w:val="uk-UA"/>
        </w:rPr>
        <w:t xml:space="preserve">, пов'язана з віднесенням результатів </w:t>
      </w:r>
      <w:r w:rsidR="006633CD">
        <w:rPr>
          <w:rFonts w:ascii="Times New Roman" w:hAnsi="Times New Roman"/>
          <w:sz w:val="28"/>
          <w:szCs w:val="28"/>
          <w:lang w:val="uk-UA"/>
        </w:rPr>
        <w:t xml:space="preserve">на </w:t>
      </w:r>
      <w:r w:rsidR="00DA0FC9" w:rsidRPr="00313EB1">
        <w:rPr>
          <w:rFonts w:ascii="Times New Roman" w:hAnsi="Times New Roman"/>
          <w:sz w:val="28"/>
          <w:szCs w:val="28"/>
          <w:lang w:val="uk-UA"/>
        </w:rPr>
        <w:t>довгострокову перспективу.</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У загальному випадку прийнято ро</w:t>
      </w:r>
      <w:r w:rsidR="002A16E4">
        <w:rPr>
          <w:rFonts w:ascii="Times New Roman" w:hAnsi="Times New Roman"/>
          <w:sz w:val="28"/>
          <w:szCs w:val="28"/>
          <w:lang w:val="uk-UA"/>
        </w:rPr>
        <w:t xml:space="preserve">зрізняти такі типи інвестицій </w:t>
      </w:r>
      <w:r w:rsidR="002A16E4">
        <w:rPr>
          <w:rFonts w:ascii="Times New Roman" w:eastAsia="Times New Roman" w:hAnsi="Times New Roman"/>
          <w:sz w:val="28"/>
          <w:szCs w:val="28"/>
          <w:lang w:val="uk-UA"/>
        </w:rPr>
        <w:t>[33, c. 5]</w:t>
      </w:r>
      <w:r w:rsidRPr="00313EB1">
        <w:rPr>
          <w:rFonts w:ascii="Times New Roman" w:hAnsi="Times New Roman"/>
          <w:sz w:val="28"/>
          <w:szCs w:val="28"/>
          <w:lang w:val="uk-UA"/>
        </w:rPr>
        <w:t>:</w:t>
      </w:r>
    </w:p>
    <w:p w:rsidR="00DA0FC9" w:rsidRPr="00313EB1" w:rsidRDefault="00DA0FC9"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 </w:t>
      </w:r>
      <w:r w:rsidR="00313EB1" w:rsidRPr="00313EB1">
        <w:rPr>
          <w:rFonts w:ascii="Times New Roman" w:hAnsi="Times New Roman"/>
          <w:sz w:val="28"/>
          <w:szCs w:val="28"/>
          <w:lang w:val="uk-UA"/>
        </w:rPr>
        <w:t>інвестиції у фізичні активи (реальні інвестиції);</w:t>
      </w:r>
    </w:p>
    <w:p w:rsidR="00DA0FC9" w:rsidRPr="00313EB1" w:rsidRDefault="00313EB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інвестиції у грошові активи (фінансові інвестиції);</w:t>
      </w:r>
    </w:p>
    <w:p w:rsidR="004865ED" w:rsidRPr="00313EB1" w:rsidRDefault="00313EB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 інвестиції </w:t>
      </w:r>
      <w:r w:rsidR="00DA0FC9" w:rsidRPr="00313EB1">
        <w:rPr>
          <w:rFonts w:ascii="Times New Roman" w:hAnsi="Times New Roman"/>
          <w:sz w:val="28"/>
          <w:szCs w:val="28"/>
          <w:lang w:val="uk-UA"/>
        </w:rPr>
        <w:t>в нематеріальні (незримі) активи.</w:t>
      </w:r>
    </w:p>
    <w:p w:rsidR="00012FCD" w:rsidRPr="00313EB1"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У разі, якщо обсяг інвестицій виявляється суттєвим для даного економічного суб'єкта з погляду впливу на його поточний та перспективний фінансовий стан, прийняттю відповідних управлінських рішень має передувати формальна стадія планування чи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тування, тобто стадія передінвестиційних досліджень, що завершується розробкою інвестиційного </w:t>
      </w:r>
      <w:r w:rsidR="00DB1F48">
        <w:rPr>
          <w:rFonts w:ascii="Times New Roman" w:hAnsi="Times New Roman"/>
          <w:sz w:val="28"/>
          <w:szCs w:val="28"/>
          <w:lang w:val="uk-UA"/>
        </w:rPr>
        <w:t>проєк</w:t>
      </w:r>
      <w:r w:rsidRPr="00313EB1">
        <w:rPr>
          <w:rFonts w:ascii="Times New Roman" w:hAnsi="Times New Roman"/>
          <w:sz w:val="28"/>
          <w:szCs w:val="28"/>
          <w:lang w:val="uk-UA"/>
        </w:rPr>
        <w:t>ту.</w:t>
      </w:r>
    </w:p>
    <w:p w:rsidR="00012FCD" w:rsidRPr="00313EB1"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При цьому під інвестиційним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том розуміється план або програма заходів, пов'язаних із здійсненням капітальних вкладень та їх подальшим </w:t>
      </w:r>
      <w:r w:rsidRPr="00313EB1">
        <w:rPr>
          <w:rFonts w:ascii="Times New Roman" w:hAnsi="Times New Roman"/>
          <w:sz w:val="28"/>
          <w:szCs w:val="28"/>
          <w:lang w:val="uk-UA"/>
        </w:rPr>
        <w:lastRenderedPageBreak/>
        <w:t xml:space="preserve">відшкодуванням та отриманням прибутку. Завдання розробки привабливого інвестиційного </w:t>
      </w:r>
      <w:r w:rsidR="00DB1F48">
        <w:rPr>
          <w:rFonts w:ascii="Times New Roman" w:hAnsi="Times New Roman"/>
          <w:sz w:val="28"/>
          <w:szCs w:val="28"/>
          <w:lang w:val="uk-UA"/>
        </w:rPr>
        <w:t>проєк</w:t>
      </w:r>
      <w:r w:rsidRPr="00313EB1">
        <w:rPr>
          <w:rFonts w:ascii="Times New Roman" w:hAnsi="Times New Roman"/>
          <w:sz w:val="28"/>
          <w:szCs w:val="28"/>
          <w:lang w:val="uk-UA"/>
        </w:rPr>
        <w:t>ту – підготовка інформації, необхідної для обґрунтованого ухвалення рішення</w:t>
      </w:r>
      <w:r w:rsidR="00313EB1">
        <w:rPr>
          <w:rFonts w:ascii="Times New Roman" w:hAnsi="Times New Roman"/>
          <w:sz w:val="28"/>
          <w:szCs w:val="28"/>
          <w:lang w:val="uk-UA"/>
        </w:rPr>
        <w:t xml:space="preserve"> </w:t>
      </w:r>
      <w:r w:rsidRPr="00313EB1">
        <w:rPr>
          <w:rFonts w:ascii="Times New Roman" w:hAnsi="Times New Roman"/>
          <w:sz w:val="28"/>
          <w:szCs w:val="28"/>
          <w:lang w:val="uk-UA"/>
        </w:rPr>
        <w:t xml:space="preserve">щодо здійснення інвестицій </w:t>
      </w:r>
      <w:r w:rsidRPr="00313EB1">
        <w:rPr>
          <w:rFonts w:ascii="Times New Roman" w:eastAsia="Times New Roman" w:hAnsi="Times New Roman"/>
          <w:sz w:val="28"/>
          <w:szCs w:val="28"/>
          <w:lang w:val="uk-UA"/>
        </w:rPr>
        <w:t>[51, c. 91]</w:t>
      </w:r>
      <w:r w:rsidRPr="00313EB1">
        <w:rPr>
          <w:rFonts w:ascii="Times New Roman" w:hAnsi="Times New Roman"/>
          <w:sz w:val="28"/>
          <w:szCs w:val="28"/>
          <w:lang w:val="uk-UA"/>
        </w:rPr>
        <w:t>.</w:t>
      </w:r>
    </w:p>
    <w:p w:rsidR="00625D39" w:rsidRPr="004009DE" w:rsidRDefault="005670E0" w:rsidP="004009DE">
      <w:pPr>
        <w:spacing w:after="0" w:line="360" w:lineRule="auto"/>
        <w:ind w:firstLine="709"/>
        <w:jc w:val="both"/>
        <w:rPr>
          <w:rFonts w:ascii="Times New Roman" w:hAnsi="Times New Roman"/>
          <w:sz w:val="28"/>
          <w:szCs w:val="28"/>
          <w:lang w:val="uk-UA"/>
        </w:rPr>
      </w:pPr>
      <w:r w:rsidRPr="004009DE">
        <w:rPr>
          <w:rFonts w:ascii="Times New Roman" w:hAnsi="Times New Roman"/>
          <w:sz w:val="28"/>
          <w:szCs w:val="28"/>
          <w:lang w:val="uk-UA"/>
        </w:rPr>
        <w:t xml:space="preserve">З позицій вартісно-орієнтованого підходу інвестиційна привабливість має відображати не лише бухгалтерський прибуток, а й здатність проєкту створювати вільний грошовий потік понад очікувану вартість залученого капіталу. Xin Chang та співавтори в огляді досліджень сталого фінансування аналізують канали впливу ESG на вартість бізнесу через взаємодію зі стейкхолдерами, довгострокове зростання й фінансування </w:t>
      </w:r>
      <w:r w:rsidRPr="004009DE">
        <w:rPr>
          <w:rFonts w:ascii="Times New Roman" w:eastAsia="Times New Roman" w:hAnsi="Times New Roman"/>
          <w:sz w:val="28"/>
          <w:szCs w:val="28"/>
          <w:lang w:val="uk-UA"/>
        </w:rPr>
        <w:t>[169]</w:t>
      </w:r>
      <w:r w:rsidRPr="004009DE">
        <w:rPr>
          <w:rFonts w:ascii="Times New Roman" w:hAnsi="Times New Roman"/>
          <w:sz w:val="28"/>
          <w:szCs w:val="28"/>
          <w:lang w:val="uk-UA"/>
        </w:rPr>
        <w:t xml:space="preserve">. </w:t>
      </w:r>
      <w:r w:rsidR="00FC4ABE">
        <w:rPr>
          <w:rFonts w:ascii="Times New Roman" w:hAnsi="Times New Roman"/>
          <w:sz w:val="28"/>
          <w:szCs w:val="28"/>
          <w:lang w:val="uk-UA"/>
        </w:rPr>
        <w:br/>
      </w:r>
      <w:r w:rsidRPr="004009DE">
        <w:rPr>
          <w:rFonts w:ascii="Times New Roman" w:hAnsi="Times New Roman"/>
          <w:sz w:val="28"/>
          <w:szCs w:val="28"/>
          <w:lang w:val="uk-UA"/>
        </w:rPr>
        <w:t>M. Postiglione, C. Carini та A. Falini уточнюють, що висновки про вплив ESG на вартість боргового та власного капіталу залежать від методик рейтингування і транспарентності ESG</w:t>
      </w:r>
      <w:r w:rsidR="004009DE">
        <w:rPr>
          <w:rFonts w:ascii="Times New Roman" w:hAnsi="Times New Roman"/>
          <w:sz w:val="28"/>
          <w:szCs w:val="28"/>
          <w:lang w:val="uk-UA"/>
        </w:rPr>
        <w:t xml:space="preserve">-даних </w:t>
      </w:r>
      <w:r w:rsidR="004009DE">
        <w:rPr>
          <w:rFonts w:ascii="Times New Roman" w:eastAsia="Times New Roman" w:hAnsi="Times New Roman"/>
          <w:sz w:val="28"/>
          <w:szCs w:val="28"/>
          <w:lang w:val="uk-UA"/>
        </w:rPr>
        <w:t>[186, 195]</w:t>
      </w:r>
      <w:r w:rsidR="004009DE">
        <w:rPr>
          <w:rFonts w:ascii="Times New Roman" w:hAnsi="Times New Roman"/>
          <w:sz w:val="28"/>
          <w:szCs w:val="28"/>
          <w:lang w:val="uk-UA"/>
        </w:rPr>
        <w:t>.</w:t>
      </w:r>
    </w:p>
    <w:p w:rsidR="00012FCD" w:rsidRPr="00313EB1"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Здійснення діяльності підприємств із забезпечення</w:t>
      </w:r>
      <w:r w:rsidR="00313EB1">
        <w:rPr>
          <w:rFonts w:ascii="Times New Roman" w:hAnsi="Times New Roman"/>
          <w:sz w:val="28"/>
          <w:szCs w:val="28"/>
          <w:lang w:val="uk-UA"/>
        </w:rPr>
        <w:t xml:space="preserve"> </w:t>
      </w:r>
      <w:r w:rsidRPr="00313EB1">
        <w:rPr>
          <w:rFonts w:ascii="Times New Roman" w:hAnsi="Times New Roman"/>
          <w:sz w:val="28"/>
          <w:szCs w:val="28"/>
          <w:lang w:val="uk-UA"/>
        </w:rPr>
        <w:t>інвестиційної привабливості пов'язано з особливостями прийняття управлінських рішень під час формування: стратегії аналізу</w:t>
      </w:r>
      <w:r w:rsidR="00313EB1">
        <w:rPr>
          <w:rFonts w:ascii="Times New Roman" w:hAnsi="Times New Roman"/>
          <w:sz w:val="28"/>
          <w:szCs w:val="28"/>
          <w:lang w:val="uk-UA"/>
        </w:rPr>
        <w:t xml:space="preserve"> </w:t>
      </w:r>
      <w:r w:rsidRPr="00313EB1">
        <w:rPr>
          <w:rFonts w:ascii="Times New Roman" w:hAnsi="Times New Roman"/>
          <w:sz w:val="28"/>
          <w:szCs w:val="28"/>
          <w:lang w:val="uk-UA"/>
        </w:rPr>
        <w:t>інвестиційного та товарного ринків; гнучко</w:t>
      </w:r>
      <w:r w:rsidR="006633CD">
        <w:rPr>
          <w:rFonts w:ascii="Times New Roman" w:hAnsi="Times New Roman"/>
          <w:sz w:val="28"/>
          <w:szCs w:val="28"/>
          <w:lang w:val="uk-UA"/>
        </w:rPr>
        <w:t>ї</w:t>
      </w:r>
      <w:r w:rsidRPr="00313EB1">
        <w:rPr>
          <w:rFonts w:ascii="Times New Roman" w:hAnsi="Times New Roman"/>
          <w:sz w:val="28"/>
          <w:szCs w:val="28"/>
          <w:lang w:val="uk-UA"/>
        </w:rPr>
        <w:t xml:space="preserve"> інвестиційної політики; інвестиційних привабливих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тів підприємств та їх оцінки; етапності отримання інвестицій та реалізації інвестиційних привабливих </w:t>
      </w:r>
      <w:r w:rsidR="00DB1F48">
        <w:rPr>
          <w:rFonts w:ascii="Times New Roman" w:hAnsi="Times New Roman"/>
          <w:sz w:val="28"/>
          <w:szCs w:val="28"/>
          <w:lang w:val="uk-UA"/>
        </w:rPr>
        <w:t>проєк</w:t>
      </w:r>
      <w:r w:rsidRPr="00313EB1">
        <w:rPr>
          <w:rFonts w:ascii="Times New Roman" w:hAnsi="Times New Roman"/>
          <w:sz w:val="28"/>
          <w:szCs w:val="28"/>
          <w:lang w:val="uk-UA"/>
        </w:rPr>
        <w:t>тів. Слід зазначити, що існують</w:t>
      </w:r>
      <w:r w:rsidR="00313EB1">
        <w:rPr>
          <w:rFonts w:ascii="Times New Roman" w:hAnsi="Times New Roman"/>
          <w:sz w:val="28"/>
          <w:szCs w:val="28"/>
          <w:lang w:val="uk-UA"/>
        </w:rPr>
        <w:t xml:space="preserve"> </w:t>
      </w:r>
      <w:r w:rsidRPr="00313EB1">
        <w:rPr>
          <w:rFonts w:ascii="Times New Roman" w:hAnsi="Times New Roman"/>
          <w:sz w:val="28"/>
          <w:szCs w:val="28"/>
          <w:lang w:val="uk-UA"/>
        </w:rPr>
        <w:t>стримуючі чинники інвестиційної діяльності, які суперечать вимогам інвесторів</w:t>
      </w:r>
      <w:r w:rsidR="006633CD">
        <w:rPr>
          <w:rFonts w:ascii="Times New Roman" w:hAnsi="Times New Roman"/>
          <w:sz w:val="28"/>
          <w:szCs w:val="28"/>
          <w:lang w:val="uk-UA"/>
        </w:rPr>
        <w:t>,</w:t>
      </w:r>
      <w:r w:rsidRPr="00313EB1">
        <w:rPr>
          <w:rFonts w:ascii="Times New Roman" w:hAnsi="Times New Roman"/>
          <w:sz w:val="28"/>
          <w:szCs w:val="28"/>
          <w:lang w:val="uk-UA"/>
        </w:rPr>
        <w:t xml:space="preserve"> та чинники</w:t>
      </w:r>
      <w:r w:rsidR="006633CD">
        <w:rPr>
          <w:rFonts w:ascii="Times New Roman" w:hAnsi="Times New Roman"/>
          <w:sz w:val="28"/>
          <w:szCs w:val="28"/>
          <w:lang w:val="uk-UA"/>
        </w:rPr>
        <w:t>, що</w:t>
      </w:r>
      <w:r w:rsidRPr="00313EB1">
        <w:rPr>
          <w:rFonts w:ascii="Times New Roman" w:hAnsi="Times New Roman"/>
          <w:sz w:val="28"/>
          <w:szCs w:val="28"/>
          <w:lang w:val="uk-UA"/>
        </w:rPr>
        <w:t xml:space="preserve"> визначають інвестиційну привабливість підприємства, від</w:t>
      </w:r>
      <w:r w:rsidR="006633CD">
        <w:rPr>
          <w:rFonts w:ascii="Times New Roman" w:hAnsi="Times New Roman"/>
          <w:sz w:val="28"/>
          <w:szCs w:val="28"/>
          <w:lang w:val="uk-UA"/>
        </w:rPr>
        <w:t>ображають</w:t>
      </w:r>
      <w:r w:rsidRPr="00313EB1">
        <w:rPr>
          <w:rFonts w:ascii="Times New Roman" w:hAnsi="Times New Roman"/>
          <w:sz w:val="28"/>
          <w:szCs w:val="28"/>
          <w:lang w:val="uk-UA"/>
        </w:rPr>
        <w:t xml:space="preserve"> їх фінансово</w:t>
      </w:r>
      <w:r w:rsidR="006633CD">
        <w:rPr>
          <w:rFonts w:ascii="Times New Roman" w:hAnsi="Times New Roman"/>
          <w:sz w:val="28"/>
          <w:szCs w:val="28"/>
          <w:lang w:val="uk-UA"/>
        </w:rPr>
        <w:t>-</w:t>
      </w:r>
      <w:r w:rsidRPr="00313EB1">
        <w:rPr>
          <w:rFonts w:ascii="Times New Roman" w:hAnsi="Times New Roman"/>
          <w:sz w:val="28"/>
          <w:szCs w:val="28"/>
          <w:lang w:val="uk-UA"/>
        </w:rPr>
        <w:t>господарську діяльність.</w:t>
      </w:r>
    </w:p>
    <w:p w:rsidR="00012FCD" w:rsidRPr="00313EB1"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Очевидно, мінімізація дії перших факторів та максимізація других є гарантією успішної інвестиційної діяльності.</w:t>
      </w:r>
    </w:p>
    <w:p w:rsidR="00154AA6" w:rsidRDefault="00012FCD" w:rsidP="004009D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Загальн</w:t>
      </w:r>
      <w:r w:rsidR="006633CD">
        <w:rPr>
          <w:rFonts w:ascii="Times New Roman" w:hAnsi="Times New Roman"/>
          <w:sz w:val="28"/>
          <w:szCs w:val="28"/>
          <w:lang w:val="uk-UA"/>
        </w:rPr>
        <w:t>у</w:t>
      </w:r>
      <w:r w:rsidRPr="00313EB1">
        <w:rPr>
          <w:rFonts w:ascii="Times New Roman" w:hAnsi="Times New Roman"/>
          <w:sz w:val="28"/>
          <w:szCs w:val="28"/>
          <w:lang w:val="uk-UA"/>
        </w:rPr>
        <w:t xml:space="preserve"> структур</w:t>
      </w:r>
      <w:r w:rsidR="006633CD">
        <w:rPr>
          <w:rFonts w:ascii="Times New Roman" w:hAnsi="Times New Roman"/>
          <w:sz w:val="28"/>
          <w:szCs w:val="28"/>
          <w:lang w:val="uk-UA"/>
        </w:rPr>
        <w:t>у</w:t>
      </w:r>
      <w:r w:rsidRPr="00313EB1">
        <w:rPr>
          <w:rFonts w:ascii="Times New Roman" w:hAnsi="Times New Roman"/>
          <w:sz w:val="28"/>
          <w:szCs w:val="28"/>
          <w:lang w:val="uk-UA"/>
        </w:rPr>
        <w:t xml:space="preserve"> формування інвестиційної привабливості підприємства показано на рис. </w:t>
      </w:r>
      <w:r w:rsidR="00AD0D2A">
        <w:rPr>
          <w:rFonts w:ascii="Times New Roman" w:hAnsi="Times New Roman"/>
          <w:sz w:val="28"/>
          <w:szCs w:val="28"/>
          <w:lang w:val="uk-UA"/>
        </w:rPr>
        <w:t xml:space="preserve">1.1. </w:t>
      </w:r>
    </w:p>
    <w:p w:rsidR="00816BAD" w:rsidRDefault="00816BAD" w:rsidP="00816BAD">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Інвестиційні привабливі </w:t>
      </w:r>
      <w:r>
        <w:rPr>
          <w:rFonts w:ascii="Times New Roman" w:hAnsi="Times New Roman"/>
          <w:sz w:val="28"/>
          <w:szCs w:val="28"/>
          <w:lang w:val="uk-UA"/>
        </w:rPr>
        <w:t>проєк</w:t>
      </w:r>
      <w:r w:rsidRPr="00313EB1">
        <w:rPr>
          <w:rFonts w:ascii="Times New Roman" w:hAnsi="Times New Roman"/>
          <w:sz w:val="28"/>
          <w:szCs w:val="28"/>
          <w:lang w:val="uk-UA"/>
        </w:rPr>
        <w:t xml:space="preserve">ти можуть бути класифіковані за різними ознаками, що показані на рис. </w:t>
      </w:r>
      <w:r>
        <w:rPr>
          <w:rFonts w:ascii="Times New Roman" w:hAnsi="Times New Roman"/>
          <w:sz w:val="28"/>
          <w:szCs w:val="28"/>
          <w:lang w:val="uk-UA"/>
        </w:rPr>
        <w:t>1.2.</w:t>
      </w:r>
      <w:r w:rsidRPr="00313EB1">
        <w:rPr>
          <w:rFonts w:ascii="Times New Roman" w:hAnsi="Times New Roman"/>
          <w:sz w:val="28"/>
          <w:szCs w:val="28"/>
          <w:lang w:val="uk-UA"/>
        </w:rPr>
        <w:t xml:space="preserve"> Безумовно, деякі з наведених характеристик при класифікації </w:t>
      </w:r>
      <w:r>
        <w:rPr>
          <w:rFonts w:ascii="Times New Roman" w:hAnsi="Times New Roman"/>
          <w:sz w:val="28"/>
          <w:szCs w:val="28"/>
          <w:lang w:val="uk-UA"/>
        </w:rPr>
        <w:t>проєк</w:t>
      </w:r>
      <w:r w:rsidRPr="00313EB1">
        <w:rPr>
          <w:rFonts w:ascii="Times New Roman" w:hAnsi="Times New Roman"/>
          <w:sz w:val="28"/>
          <w:szCs w:val="28"/>
          <w:lang w:val="uk-UA"/>
        </w:rPr>
        <w:t xml:space="preserve">тів не є абсолютними та у певному сенсі досить умовні. Зокрема, підрозділ за обсягом необхідних інвестицій </w:t>
      </w:r>
      <w:r w:rsidRPr="00313EB1">
        <w:rPr>
          <w:rFonts w:ascii="Times New Roman" w:hAnsi="Times New Roman"/>
          <w:sz w:val="28"/>
          <w:szCs w:val="28"/>
          <w:lang w:val="uk-UA"/>
        </w:rPr>
        <w:lastRenderedPageBreak/>
        <w:t xml:space="preserve">найчастіше залежить від розмірів компанії, оскільки очевидно, що критерії віднесення </w:t>
      </w:r>
      <w:r>
        <w:rPr>
          <w:rFonts w:ascii="Times New Roman" w:hAnsi="Times New Roman"/>
          <w:sz w:val="28"/>
          <w:szCs w:val="28"/>
          <w:lang w:val="uk-UA"/>
        </w:rPr>
        <w:t>проєк</w:t>
      </w:r>
      <w:r w:rsidRPr="00313EB1">
        <w:rPr>
          <w:rFonts w:ascii="Times New Roman" w:hAnsi="Times New Roman"/>
          <w:sz w:val="28"/>
          <w:szCs w:val="28"/>
          <w:lang w:val="uk-UA"/>
        </w:rPr>
        <w:t>ту до великого або дрібного істотно різняться.</w:t>
      </w: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r>
        <w:rPr>
          <w:noProof/>
          <w:lang w:val="uk-UA" w:eastAsia="uk-UA"/>
        </w:rPr>
        <mc:AlternateContent>
          <mc:Choice Requires="wpg">
            <w:drawing>
              <wp:anchor distT="0" distB="0" distL="114300" distR="114300" simplePos="0" relativeHeight="251674112" behindDoc="0" locked="0" layoutInCell="1" allowOverlap="1" wp14:anchorId="20A79A6B" wp14:editId="58DBB371">
                <wp:simplePos x="0" y="0"/>
                <wp:positionH relativeFrom="column">
                  <wp:posOffset>466725</wp:posOffset>
                </wp:positionH>
                <wp:positionV relativeFrom="paragraph">
                  <wp:posOffset>3811</wp:posOffset>
                </wp:positionV>
                <wp:extent cx="5191125" cy="5581650"/>
                <wp:effectExtent l="0" t="0" r="28575" b="19050"/>
                <wp:wrapNone/>
                <wp:docPr id="8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1125" cy="5581650"/>
                          <a:chOff x="2505" y="840"/>
                          <a:chExt cx="7905" cy="9300"/>
                        </a:xfrm>
                      </wpg:grpSpPr>
                      <wps:wsp>
                        <wps:cNvPr id="83" name="Rectangle 13"/>
                        <wps:cNvSpPr>
                          <a:spLocks noChangeArrowheads="1"/>
                        </wps:cNvSpPr>
                        <wps:spPr bwMode="auto">
                          <a:xfrm>
                            <a:off x="3660" y="840"/>
                            <a:ext cx="5385" cy="7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Rectangle 2"/>
                        <wps:cNvSpPr>
                          <a:spLocks noChangeArrowheads="1"/>
                        </wps:cNvSpPr>
                        <wps:spPr bwMode="auto">
                          <a:xfrm>
                            <a:off x="4155" y="1050"/>
                            <a:ext cx="4620" cy="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5B4E" w:rsidRPr="002251B8" w:rsidRDefault="00EB5B4E" w:rsidP="004009DE">
                              <w:pPr>
                                <w:jc w:val="center"/>
                                <w:rPr>
                                  <w:rFonts w:ascii="Times New Roman" w:hAnsi="Times New Roman"/>
                                  <w:lang w:val="uk-UA"/>
                                </w:rPr>
                              </w:pPr>
                              <w:r w:rsidRPr="002251B8">
                                <w:rPr>
                                  <w:rFonts w:ascii="Times New Roman" w:hAnsi="Times New Roman"/>
                                  <w:lang w:val="uk-UA"/>
                                </w:rPr>
                                <w:t>Діяльність підприємства по забезпеченню інвестиційної привабливості</w:t>
                              </w:r>
                            </w:p>
                          </w:txbxContent>
                        </wps:txbx>
                        <wps:bodyPr rot="0" vert="horz" wrap="square" lIns="91440" tIns="45720" rIns="91440" bIns="45720" anchor="t" anchorCtr="0" upright="1">
                          <a:noAutofit/>
                        </wps:bodyPr>
                      </wps:wsp>
                      <wps:wsp>
                        <wps:cNvPr id="85" name="Rectangle 3"/>
                        <wps:cNvSpPr>
                          <a:spLocks noChangeArrowheads="1"/>
                        </wps:cNvSpPr>
                        <wps:spPr bwMode="auto">
                          <a:xfrm>
                            <a:off x="4155" y="2220"/>
                            <a:ext cx="462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Гнучка інвестиційна політика</w:t>
                              </w:r>
                            </w:p>
                          </w:txbxContent>
                        </wps:txbx>
                        <wps:bodyPr rot="0" vert="horz" wrap="square" lIns="91440" tIns="45720" rIns="91440" bIns="45720" anchor="t" anchorCtr="0" upright="1">
                          <a:noAutofit/>
                        </wps:bodyPr>
                      </wps:wsp>
                      <wps:wsp>
                        <wps:cNvPr id="86" name="Rectangle 4"/>
                        <wps:cNvSpPr>
                          <a:spLocks noChangeArrowheads="1"/>
                        </wps:cNvSpPr>
                        <wps:spPr bwMode="auto">
                          <a:xfrm>
                            <a:off x="4155" y="3360"/>
                            <a:ext cx="4620" cy="9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 xml:space="preserve">Формування та оцінка </w:t>
                              </w:r>
                              <w:r w:rsidRPr="002251B8">
                                <w:rPr>
                                  <w:rFonts w:ascii="Times New Roman" w:hAnsi="Times New Roman"/>
                                  <w:lang w:val="uk-UA"/>
                                </w:rPr>
                                <w:t>інвестиційної привабливості</w:t>
                              </w:r>
                              <w:r>
                                <w:rPr>
                                  <w:rFonts w:ascii="Times New Roman" w:hAnsi="Times New Roman"/>
                                  <w:lang w:val="uk-UA"/>
                                </w:rPr>
                                <w:t xml:space="preserve"> проєктів сільськогосподарського підприємства</w:t>
                              </w:r>
                            </w:p>
                          </w:txbxContent>
                        </wps:txbx>
                        <wps:bodyPr rot="0" vert="horz" wrap="square" lIns="91440" tIns="45720" rIns="91440" bIns="45720" anchor="t" anchorCtr="0" upright="1">
                          <a:noAutofit/>
                        </wps:bodyPr>
                      </wps:wsp>
                      <wps:wsp>
                        <wps:cNvPr id="87" name="Rectangle 5"/>
                        <wps:cNvSpPr>
                          <a:spLocks noChangeArrowheads="1"/>
                        </wps:cNvSpPr>
                        <wps:spPr bwMode="auto">
                          <a:xfrm>
                            <a:off x="4155" y="4800"/>
                            <a:ext cx="462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Отримання інвестицій</w:t>
                              </w:r>
                            </w:p>
                          </w:txbxContent>
                        </wps:txbx>
                        <wps:bodyPr rot="0" vert="horz" wrap="square" lIns="91440" tIns="45720" rIns="91440" bIns="45720" anchor="t" anchorCtr="0" upright="1">
                          <a:noAutofit/>
                        </wps:bodyPr>
                      </wps:wsp>
                      <wps:wsp>
                        <wps:cNvPr id="88" name="Rectangle 6"/>
                        <wps:cNvSpPr>
                          <a:spLocks noChangeArrowheads="1"/>
                        </wps:cNvSpPr>
                        <wps:spPr bwMode="auto">
                          <a:xfrm>
                            <a:off x="4155" y="5730"/>
                            <a:ext cx="462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Реалізація інвестиційних проєктів</w:t>
                              </w:r>
                            </w:p>
                          </w:txbxContent>
                        </wps:txbx>
                        <wps:bodyPr rot="0" vert="horz" wrap="square" lIns="91440" tIns="45720" rIns="91440" bIns="45720" anchor="t" anchorCtr="0" upright="1">
                          <a:noAutofit/>
                        </wps:bodyPr>
                      </wps:wsp>
                      <wps:wsp>
                        <wps:cNvPr id="89" name="Rectangle 7"/>
                        <wps:cNvSpPr>
                          <a:spLocks noChangeArrowheads="1"/>
                        </wps:cNvSpPr>
                        <wps:spPr bwMode="auto">
                          <a:xfrm>
                            <a:off x="4155" y="7080"/>
                            <a:ext cx="462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Функціонування підприємства</w:t>
                              </w:r>
                            </w:p>
                          </w:txbxContent>
                        </wps:txbx>
                        <wps:bodyPr rot="0" vert="horz" wrap="square" lIns="91440" tIns="45720" rIns="91440" bIns="45720" anchor="t" anchorCtr="0" upright="1">
                          <a:noAutofit/>
                        </wps:bodyPr>
                      </wps:wsp>
                      <wps:wsp>
                        <wps:cNvPr id="90" name="Rectangle 8"/>
                        <wps:cNvSpPr>
                          <a:spLocks noChangeArrowheads="1"/>
                        </wps:cNvSpPr>
                        <wps:spPr bwMode="auto">
                          <a:xfrm>
                            <a:off x="2505" y="9465"/>
                            <a:ext cx="330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Інвестори, вимоги інвесторів</w:t>
                              </w:r>
                            </w:p>
                          </w:txbxContent>
                        </wps:txbx>
                        <wps:bodyPr rot="0" vert="horz" wrap="square" lIns="91440" tIns="45720" rIns="91440" bIns="45720" anchor="t" anchorCtr="0" upright="1">
                          <a:noAutofit/>
                        </wps:bodyPr>
                      </wps:wsp>
                      <wps:wsp>
                        <wps:cNvPr id="91" name="Rectangle 12"/>
                        <wps:cNvSpPr>
                          <a:spLocks noChangeArrowheads="1"/>
                        </wps:cNvSpPr>
                        <wps:spPr bwMode="auto">
                          <a:xfrm>
                            <a:off x="3810" y="6510"/>
                            <a:ext cx="187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Інвестиції</w:t>
                              </w:r>
                            </w:p>
                          </w:txbxContent>
                        </wps:txbx>
                        <wps:bodyPr rot="0" vert="horz" wrap="square" lIns="91440" tIns="45720" rIns="91440" bIns="45720" anchor="t" anchorCtr="0" upright="1">
                          <a:noAutofit/>
                        </wps:bodyPr>
                      </wps:wsp>
                      <wps:wsp>
                        <wps:cNvPr id="92" name="Rectangle 9"/>
                        <wps:cNvSpPr>
                          <a:spLocks noChangeArrowheads="1"/>
                        </wps:cNvSpPr>
                        <wps:spPr bwMode="auto">
                          <a:xfrm>
                            <a:off x="7110" y="9465"/>
                            <a:ext cx="3300" cy="675"/>
                          </a:xfrm>
                          <a:prstGeom prst="rect">
                            <a:avLst/>
                          </a:prstGeom>
                          <a:solidFill>
                            <a:srgbClr val="FFFFFF"/>
                          </a:solidFill>
                          <a:ln w="9525">
                            <a:solidFill>
                              <a:srgbClr val="000000"/>
                            </a:solidFill>
                            <a:miter lim="800000"/>
                            <a:headEnd/>
                            <a:tailEnd/>
                          </a:ln>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Товарний ринок</w:t>
                              </w:r>
                            </w:p>
                          </w:txbxContent>
                        </wps:txbx>
                        <wps:bodyPr rot="0" vert="horz" wrap="square" lIns="91440" tIns="45720" rIns="91440" bIns="45720" anchor="t" anchorCtr="0" upright="1">
                          <a:noAutofit/>
                        </wps:bodyPr>
                      </wps:wsp>
                      <wps:wsp>
                        <wps:cNvPr id="93" name="Rectangle 10"/>
                        <wps:cNvSpPr>
                          <a:spLocks noChangeArrowheads="1"/>
                        </wps:cNvSpPr>
                        <wps:spPr bwMode="auto">
                          <a:xfrm>
                            <a:off x="4725" y="8835"/>
                            <a:ext cx="3300"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Показники  підприємства</w:t>
                              </w:r>
                            </w:p>
                          </w:txbxContent>
                        </wps:txbx>
                        <wps:bodyPr rot="0" vert="horz" wrap="square" lIns="91440" tIns="45720" rIns="91440" bIns="45720" anchor="t" anchorCtr="0" upright="1">
                          <a:noAutofit/>
                        </wps:bodyPr>
                      </wps:wsp>
                      <wps:wsp>
                        <wps:cNvPr id="94" name="Rectangle 11"/>
                        <wps:cNvSpPr>
                          <a:spLocks noChangeArrowheads="1"/>
                        </wps:cNvSpPr>
                        <wps:spPr bwMode="auto">
                          <a:xfrm>
                            <a:off x="7515" y="8175"/>
                            <a:ext cx="1875" cy="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5B4E" w:rsidRPr="002251B8" w:rsidRDefault="00EB5B4E" w:rsidP="004009DE">
                              <w:pPr>
                                <w:jc w:val="center"/>
                                <w:rPr>
                                  <w:rFonts w:ascii="Times New Roman" w:hAnsi="Times New Roman"/>
                                  <w:lang w:val="uk-UA"/>
                                </w:rPr>
                              </w:pPr>
                              <w:r>
                                <w:rPr>
                                  <w:rFonts w:ascii="Times New Roman" w:hAnsi="Times New Roman"/>
                                  <w:lang w:val="uk-UA"/>
                                </w:rPr>
                                <w:t>Продукція</w:t>
                              </w:r>
                            </w:p>
                          </w:txbxContent>
                        </wps:txbx>
                        <wps:bodyPr rot="0" vert="horz" wrap="square" lIns="91440" tIns="45720" rIns="91440" bIns="45720" anchor="t" anchorCtr="0" upright="1">
                          <a:noAutofit/>
                        </wps:bodyPr>
                      </wps:wsp>
                      <wps:wsp>
                        <wps:cNvPr id="95" name="AutoShape 14"/>
                        <wps:cNvCnPr>
                          <a:cxnSpLocks noChangeShapeType="1"/>
                        </wps:cNvCnPr>
                        <wps:spPr bwMode="auto">
                          <a:xfrm>
                            <a:off x="6375" y="2895"/>
                            <a:ext cx="0" cy="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15"/>
                        <wps:cNvCnPr>
                          <a:cxnSpLocks noChangeShapeType="1"/>
                        </wps:cNvCnPr>
                        <wps:spPr bwMode="auto">
                          <a:xfrm>
                            <a:off x="6375" y="4335"/>
                            <a:ext cx="0" cy="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16"/>
                        <wps:cNvCnPr>
                          <a:cxnSpLocks noChangeShapeType="1"/>
                        </wps:cNvCnPr>
                        <wps:spPr bwMode="auto">
                          <a:xfrm>
                            <a:off x="6375" y="5475"/>
                            <a:ext cx="0" cy="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17"/>
                        <wps:cNvCnPr>
                          <a:cxnSpLocks noChangeShapeType="1"/>
                        </wps:cNvCnPr>
                        <wps:spPr bwMode="auto">
                          <a:xfrm>
                            <a:off x="6375" y="6405"/>
                            <a:ext cx="0" cy="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18"/>
                        <wps:cNvCnPr>
                          <a:cxnSpLocks noChangeShapeType="1"/>
                        </wps:cNvCnPr>
                        <wps:spPr bwMode="auto">
                          <a:xfrm flipH="1">
                            <a:off x="4260" y="7860"/>
                            <a:ext cx="1965" cy="1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AutoShape 19"/>
                        <wps:cNvCnPr>
                          <a:cxnSpLocks noChangeShapeType="1"/>
                        </wps:cNvCnPr>
                        <wps:spPr bwMode="auto">
                          <a:xfrm>
                            <a:off x="6225" y="7860"/>
                            <a:ext cx="2820" cy="1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0"/>
                        <wps:cNvCnPr>
                          <a:cxnSpLocks noChangeShapeType="1"/>
                        </wps:cNvCnPr>
                        <wps:spPr bwMode="auto">
                          <a:xfrm flipV="1">
                            <a:off x="3330" y="5085"/>
                            <a:ext cx="0" cy="4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 name="AutoShape 21"/>
                        <wps:cNvCnPr>
                          <a:cxnSpLocks noChangeShapeType="1"/>
                        </wps:cNvCnPr>
                        <wps:spPr bwMode="auto">
                          <a:xfrm>
                            <a:off x="3330" y="5085"/>
                            <a:ext cx="8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22"/>
                        <wps:cNvCnPr>
                          <a:cxnSpLocks noChangeShapeType="1"/>
                        </wps:cNvCnPr>
                        <wps:spPr bwMode="auto">
                          <a:xfrm flipV="1">
                            <a:off x="3120" y="4035"/>
                            <a:ext cx="0" cy="5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23"/>
                        <wps:cNvCnPr>
                          <a:cxnSpLocks noChangeShapeType="1"/>
                        </wps:cNvCnPr>
                        <wps:spPr bwMode="auto">
                          <a:xfrm>
                            <a:off x="3120" y="4035"/>
                            <a:ext cx="1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24"/>
                        <wps:cNvCnPr>
                          <a:cxnSpLocks noChangeShapeType="1"/>
                        </wps:cNvCnPr>
                        <wps:spPr bwMode="auto">
                          <a:xfrm flipH="1">
                            <a:off x="2955" y="3660"/>
                            <a:ext cx="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25"/>
                        <wps:cNvCnPr>
                          <a:cxnSpLocks noChangeShapeType="1"/>
                        </wps:cNvCnPr>
                        <wps:spPr bwMode="auto">
                          <a:xfrm>
                            <a:off x="2955" y="3660"/>
                            <a:ext cx="0" cy="5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26"/>
                        <wps:cNvCnPr>
                          <a:cxnSpLocks noChangeShapeType="1"/>
                        </wps:cNvCnPr>
                        <wps:spPr bwMode="auto">
                          <a:xfrm flipV="1">
                            <a:off x="9465" y="4035"/>
                            <a:ext cx="0" cy="5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AutoShape 27"/>
                        <wps:cNvCnPr>
                          <a:cxnSpLocks noChangeShapeType="1"/>
                        </wps:cNvCnPr>
                        <wps:spPr bwMode="auto">
                          <a:xfrm flipH="1">
                            <a:off x="8775" y="4035"/>
                            <a:ext cx="6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28"/>
                        <wps:cNvCnPr>
                          <a:cxnSpLocks noChangeShapeType="1"/>
                        </wps:cNvCnPr>
                        <wps:spPr bwMode="auto">
                          <a:xfrm flipV="1">
                            <a:off x="9705" y="2595"/>
                            <a:ext cx="0" cy="6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AutoShape 29"/>
                        <wps:cNvCnPr>
                          <a:cxnSpLocks noChangeShapeType="1"/>
                        </wps:cNvCnPr>
                        <wps:spPr bwMode="auto">
                          <a:xfrm flipH="1">
                            <a:off x="8775" y="2595"/>
                            <a:ext cx="9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30"/>
                        <wps:cNvCnPr>
                          <a:cxnSpLocks noChangeShapeType="1"/>
                        </wps:cNvCnPr>
                        <wps:spPr bwMode="auto">
                          <a:xfrm>
                            <a:off x="5805" y="9675"/>
                            <a:ext cx="13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31"/>
                        <wps:cNvCnPr>
                          <a:cxnSpLocks noChangeShapeType="1"/>
                        </wps:cNvCnPr>
                        <wps:spPr bwMode="auto">
                          <a:xfrm flipH="1">
                            <a:off x="5805" y="9870"/>
                            <a:ext cx="13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left:0;text-align:left;margin-left:36.75pt;margin-top:.3pt;width:408.75pt;height:439.5pt;z-index:251674112" coordorigin="2505,840" coordsize="7905,9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">
                <v:rect id="Rectangle 13" o:spid="_x0000_s1027" style="position:absolute;left:3660;top:840;width:5385;height:7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GbsEA&#10;AADbAAAADwAAAGRycy9kb3ducmV2LnhtbESPQYvCMBSE74L/ITzBm6YqiFuNIoriHrVevD2bZ1tt&#10;XkoTte6vN4Kwx2FmvmFmi8aU4kG1KywrGPQjEMSp1QVnCo7JpjcB4TyyxtIyKXiRg8W83ZphrO2T&#10;9/Q4+EwECLsYFeTeV7GULs3JoOvbijh4F1sb9EHWmdQ1PgPclHIYRWNpsOCwkGNFq5zS2+FuFJyL&#10;4RH/9sk2Mj+bkf9tkuv9tFaq22mWUxCeGv8f/rZ3WsFkB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J3Rm7BAAAA2wAAAA8AAAAAAAAAAAAAAAAAmAIAAGRycy9kb3du&#10;cmV2LnhtbFBLBQYAAAAABAAEAPUAAACGAwAAAAA=&#10;"/>
                <v:rect id="Rectangle 2" o:spid="_x0000_s1028" style="position:absolute;left:4155;top:1050;width:462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kIosQA&#10;AADbAAAADwAAAGRycy9kb3ducmV2LnhtbESPQWvCQBSE7wX/w/IEb3XXaoONbkIRBKHtoVro9ZF9&#10;JsHs25hdk/TfdwsFj8PMfMNs89E2oqfO1441LOYKBHHhTM2lhq/T/nENwgdkg41j0vBDHvJs8rDF&#10;1LiBP6k/hlJECPsUNVQhtKmUvqjIop+7ljh6Z9dZDFF2pTQdDhFuG/mkVCIt1hwXKmxpV1FxOd6s&#10;BkxW5vpxXr6f3m4JvpSj2j9/K61n0/F1AyLQGO7h//bBaFiv4O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ZCKLEAAAA2wAAAA8AAAAAAAAAAAAAAAAAmAIAAGRycy9k&#10;b3ducmV2LnhtbFBLBQYAAAAABAAEAPUAAACJAwAAAAA=&#10;" stroked="f">
                  <v:textbox>
                    <w:txbxContent>
                      <w:p w:rsidR="00EB5B4E" w:rsidRPr="002251B8" w:rsidRDefault="00EB5B4E" w:rsidP="004009DE">
                        <w:pPr>
                          <w:jc w:val="center"/>
                          <w:rPr>
                            <w:rFonts w:ascii="Times New Roman" w:hAnsi="Times New Roman"/>
                            <w:lang w:val="uk-UA"/>
                          </w:rPr>
                        </w:pPr>
                        <w:r w:rsidRPr="002251B8">
                          <w:rPr>
                            <w:rFonts w:ascii="Times New Roman" w:hAnsi="Times New Roman"/>
                            <w:lang w:val="uk-UA"/>
                          </w:rPr>
                          <w:t>Діяльність підприємства по забезпеченню інвестиційної привабливості</w:t>
                        </w:r>
                      </w:p>
                    </w:txbxContent>
                  </v:textbox>
                </v:rect>
                <v:rect id="Rectangle 3" o:spid="_x0000_s1029" style="position:absolute;left:4155;top:2220;width:462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gcQA&#10;AADbAAAADwAAAGRycy9kb3ducmV2LnhtbESPQWvCQBSE70L/w/IKvemmi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Se4HEAAAA2wAAAA8AAAAAAAAAAAAAAAAAmAIAAGRycy9k&#10;b3ducmV2LnhtbFBLBQYAAAAABAAEAPUAAACJAw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Гнучка інвестиційна політика</w:t>
                        </w:r>
                      </w:p>
                    </w:txbxContent>
                  </v:textbox>
                </v:rect>
                <v:rect id="Rectangle 4" o:spid="_x0000_s1030" style="position:absolute;left:4155;top:3360;width:462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Dl9sMA&#10;AADbAAAADwAAAGRycy9kb3ducmV2LnhtbESPQYvCMBSE78L+h/AW9qapFcStxiKKsnvUevH2bJ5t&#10;tXkpTdTqr98Iwh6HmfmGmaWdqcWNWldZVjAcRCCIc6srLhTss3V/AsJ5ZI21ZVLwIAfp/KM3w0Tb&#10;O2/ptvOFCBB2CSoovW8SKV1ekkE3sA1x8E62NeiDbAupW7wHuKllHEVjabDisFBiQ8uS8svuahQc&#10;q3iPz222icz3euR/u+x8PayU+vrsFlMQnjr/H363f7SCyRheX8IPk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Dl9sMAAADbAAAADwAAAAAAAAAAAAAAAACYAgAAZHJzL2Rv&#10;d25yZXYueG1sUEsFBgAAAAAEAAQA9QAAAIgDA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 xml:space="preserve">Формування та оцінка </w:t>
                        </w:r>
                        <w:r w:rsidRPr="002251B8">
                          <w:rPr>
                            <w:rFonts w:ascii="Times New Roman" w:hAnsi="Times New Roman"/>
                            <w:lang w:val="uk-UA"/>
                          </w:rPr>
                          <w:t>інвестиційної привабливості</w:t>
                        </w:r>
                        <w:r>
                          <w:rPr>
                            <w:rFonts w:ascii="Times New Roman" w:hAnsi="Times New Roman"/>
                            <w:lang w:val="uk-UA"/>
                          </w:rPr>
                          <w:t xml:space="preserve"> проєктів сільськогосподарського підприємства</w:t>
                        </w:r>
                      </w:p>
                    </w:txbxContent>
                  </v:textbox>
                </v:rect>
                <v:rect id="Rectangle 5" o:spid="_x0000_s1031" style="position:absolute;left:4155;top:4800;width:462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Отримання інвестицій</w:t>
                        </w:r>
                      </w:p>
                    </w:txbxContent>
                  </v:textbox>
                </v:rect>
                <v:rect id="Rectangle 6" o:spid="_x0000_s1032" style="position:absolute;left:4155;top:5730;width:462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Реалізація інвестиційних проєктів</w:t>
                        </w:r>
                      </w:p>
                    </w:txbxContent>
                  </v:textbox>
                </v:rect>
                <v:rect id="Rectangle 7" o:spid="_x0000_s1033" style="position:absolute;left:4155;top:7080;width:462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9xhMQA&#10;AADbAAAADwAAAGRycy9kb3ducmV2LnhtbESPT2vCQBTE74LfYXlCb7rRgmjqKkVR2mOMl95es88k&#10;Nvs2ZDd/2k/vCkKPw8z8htnsBlOJjhpXWlYwn0UgiDOrS84VXNLjdAXCeWSNlWVS8EsOdtvxaIOx&#10;tj0n1J19LgKEXYwKCu/rWEqXFWTQzWxNHLyrbQz6IJtc6gb7ADeVXETRUhosOSwUWNO+oOzn3BoF&#10;3+Xign9JeorM+vjqP4f01n4dlHqZDO9vIDwN/j/8bH9oBas1PL6EH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fcYTEAAAA2wAAAA8AAAAAAAAAAAAAAAAAmAIAAGRycy9k&#10;b3ducmV2LnhtbFBLBQYAAAAABAAEAPUAAACJAw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Функціонування підприємства</w:t>
                        </w:r>
                      </w:p>
                    </w:txbxContent>
                  </v:textbox>
                </v:rect>
                <v:rect id="Rectangle 8" o:spid="_x0000_s1034" style="position:absolute;left:2505;top:9465;width:330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xOxL8A&#10;AADbAAAADwAAAGRycy9kb3ducmV2LnhtbERPTa/BQBTdS/yHyZXYMUUiTxkihLCk3bzdfZ2rLZ07&#10;TWdQfr1ZSN7y5HwvVq2pxIMaV1pWMBpGIIgzq0vOFaTJbvADwnlkjZVlUvAiB6tlt7PAWNsnn+hx&#10;9rkIIexiVFB4X8dSuqwgg25oa+LAXWxj0AfY5FI3+AzhppLjKJpKgyWHhgJr2hSU3c53o+CvHKf4&#10;PiX7yMx2E39sk+v9d6tUv9eu5yA8tf5f/HUftIJZWB++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fE7EvwAAANsAAAAPAAAAAAAAAAAAAAAAAJgCAABkcnMvZG93bnJl&#10;di54bWxQSwUGAAAAAAQABAD1AAAAhAM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Інвестори, вимоги інвесторів</w:t>
                        </w:r>
                      </w:p>
                    </w:txbxContent>
                  </v:textbox>
                </v:rect>
                <v:rect id="Rectangle 12" o:spid="_x0000_s1035" style="position:absolute;left:3810;top:6510;width:187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c958QA&#10;AADbAAAADwAAAGRycy9kb3ducmV2LnhtbESPQWvCQBSE70L/w/IK3nRXraFGVylCoNB6aFLo9ZF9&#10;JsHs2zS7xvTfdwsFj8PMfMPsDqNtxUC9bxxrWMwVCOLSmYYrDZ9FNnsG4QOywdYxafghD4f9w2SH&#10;qXE3/qAhD5WIEPYpaqhD6FIpfVmTRT93HXH0zq63GKLsK2l6vEW4beVSqURabDgu1NjRsabykl+t&#10;BkyezPfpvHov3q4JbqpRZesvpfX0cXzZggg0hnv4v/1qNGwW8Pcl/gC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3PefEAAAA2wAAAA8AAAAAAAAAAAAAAAAAmAIAAGRycy9k&#10;b3ducmV2LnhtbFBLBQYAAAAABAAEAPUAAACJAwAAAAA=&#10;" stroked="f">
                  <v:textbox>
                    <w:txbxContent>
                      <w:p w:rsidR="00EB5B4E" w:rsidRPr="002251B8" w:rsidRDefault="00EB5B4E" w:rsidP="004009DE">
                        <w:pPr>
                          <w:jc w:val="center"/>
                          <w:rPr>
                            <w:rFonts w:ascii="Times New Roman" w:hAnsi="Times New Roman"/>
                            <w:lang w:val="uk-UA"/>
                          </w:rPr>
                        </w:pPr>
                        <w:r>
                          <w:rPr>
                            <w:rFonts w:ascii="Times New Roman" w:hAnsi="Times New Roman"/>
                            <w:lang w:val="uk-UA"/>
                          </w:rPr>
                          <w:t>Інвестиції</w:t>
                        </w:r>
                      </w:p>
                    </w:txbxContent>
                  </v:textbox>
                </v:rect>
                <v:rect id="Rectangle 9" o:spid="_x0000_s1036" style="position:absolute;left:7110;top:9465;width:3300;height:6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textbox>
                    <w:txbxContent>
                      <w:p w:rsidR="00EB5B4E" w:rsidRPr="002251B8" w:rsidRDefault="00EB5B4E" w:rsidP="004009DE">
                        <w:pPr>
                          <w:jc w:val="center"/>
                          <w:rPr>
                            <w:rFonts w:ascii="Times New Roman" w:hAnsi="Times New Roman"/>
                            <w:lang w:val="uk-UA"/>
                          </w:rPr>
                        </w:pPr>
                        <w:r>
                          <w:rPr>
                            <w:rFonts w:ascii="Times New Roman" w:hAnsi="Times New Roman"/>
                            <w:lang w:val="uk-UA"/>
                          </w:rPr>
                          <w:t>Товарний ринок</w:t>
                        </w:r>
                      </w:p>
                    </w:txbxContent>
                  </v:textbox>
                </v:rect>
                <v:rect id="Rectangle 10" o:spid="_x0000_s1037" style="position:absolute;left:4725;top:8835;width:330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kGC8MA&#10;AADbAAAADwAAAGRycy9kb3ducmV2LnhtbESPT4vCMBTE7wt+h/AEb2ui7hatRhFBEHb34B/w+mie&#10;bbF5qU3U+u03guBxmJnfMLNFaytxo8aXjjUM+goEceZMybmGw379OQbhA7LByjFpeJCHxbzzMcPU&#10;uDtv6bYLuYgQ9ilqKEKoUyl9VpBF33c1cfROrrEYomxyaRq8R7it5FCpRFosOS4UWNOqoOy8u1oN&#10;mHyZy99p9Lv/uSY4yVu1/j4qrXvddjkFEagN7/CrvTEaJi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kGC8MAAADbAAAADwAAAAAAAAAAAAAAAACYAgAAZHJzL2Rv&#10;d25yZXYueG1sUEsFBgAAAAAEAAQA9QAAAIgDAAAAAA==&#10;" stroked="f">
                  <v:textbox>
                    <w:txbxContent>
                      <w:p w:rsidR="00EB5B4E" w:rsidRPr="002251B8" w:rsidRDefault="00EB5B4E" w:rsidP="004009DE">
                        <w:pPr>
                          <w:jc w:val="center"/>
                          <w:rPr>
                            <w:rFonts w:ascii="Times New Roman" w:hAnsi="Times New Roman"/>
                            <w:lang w:val="uk-UA"/>
                          </w:rPr>
                        </w:pPr>
                        <w:r>
                          <w:rPr>
                            <w:rFonts w:ascii="Times New Roman" w:hAnsi="Times New Roman"/>
                            <w:lang w:val="uk-UA"/>
                          </w:rPr>
                          <w:t>Показники  підприємства</w:t>
                        </w:r>
                      </w:p>
                    </w:txbxContent>
                  </v:textbox>
                </v:rect>
                <v:rect id="Rectangle 11" o:spid="_x0000_s1038" style="position:absolute;left:7515;top:8175;width:187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ef8QA&#10;AADbAAAADwAAAGRycy9kb3ducmV2LnhtbESPQWvCQBSE7wX/w/IEb3XXakONbkIRBKHtoVro9ZF9&#10;JsHs25hdk/TfdwsFj8PMfMNs89E2oqfO1441LOYKBHHhTM2lhq/T/vEFhA/IBhvHpOGHPOTZ5GGL&#10;qXEDf1J/DKWIEPYpaqhCaFMpfVGRRT93LXH0zq6zGKLsSmk6HCLcNvJJqURarDkuVNjSrqLicrxZ&#10;DZiszPXjvHw/vd0SXJej2j9/K61n0/F1AyLQGO7h//bBaFiv4O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Ann/EAAAA2wAAAA8AAAAAAAAAAAAAAAAAmAIAAGRycy9k&#10;b3ducmV2LnhtbFBLBQYAAAAABAAEAPUAAACJAwAAAAA=&#10;" stroked="f">
                  <v:textbox>
                    <w:txbxContent>
                      <w:p w:rsidR="00EB5B4E" w:rsidRPr="002251B8" w:rsidRDefault="00EB5B4E" w:rsidP="004009DE">
                        <w:pPr>
                          <w:jc w:val="center"/>
                          <w:rPr>
                            <w:rFonts w:ascii="Times New Roman" w:hAnsi="Times New Roman"/>
                            <w:lang w:val="uk-UA"/>
                          </w:rPr>
                        </w:pPr>
                        <w:r>
                          <w:rPr>
                            <w:rFonts w:ascii="Times New Roman" w:hAnsi="Times New Roman"/>
                            <w:lang w:val="uk-UA"/>
                          </w:rPr>
                          <w:t>Продукція</w:t>
                        </w:r>
                      </w:p>
                    </w:txbxContent>
                  </v:textbox>
                </v:rect>
                <v:shapetype id="_x0000_t32" coordsize="21600,21600" o:spt="32" o:oned="t" path="m,l21600,21600e" filled="f">
                  <v:path arrowok="t" fillok="f" o:connecttype="none"/>
                  <o:lock v:ext="edit" shapetype="t"/>
                </v:shapetype>
                <v:shape id="AutoShape 14" o:spid="_x0000_s1039" type="#_x0000_t32" style="position:absolute;left:6375;top:289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15" o:spid="_x0000_s1040" type="#_x0000_t32" style="position:absolute;left:6375;top:433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16" o:spid="_x0000_s1041" type="#_x0000_t32" style="position:absolute;left:6375;top:5475;width:0;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17" o:spid="_x0000_s1042" type="#_x0000_t32" style="position:absolute;left:6375;top:6405;width:0;height:6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18" o:spid="_x0000_s1043" type="#_x0000_t32" style="position:absolute;left:4260;top:7860;width:1965;height:15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O6nMIAAADbAAAADwAAAGRycy9kb3ducmV2LnhtbESPQWvCQBSE74L/YXlCb7qx0KLRTVCh&#10;IL2U2oIeH9lnsph9G7LbbPz33ULB4zAz3zDbcrStGKj3xrGC5SIDQVw5bbhW8P31Nl+B8AFZY+uY&#10;FNzJQ1lMJ1vMtYv8ScMp1CJB2OeooAmhy6X0VUMW/cJ1xMm7ut5iSLKvpe4xJrht5XOWvUqLhtNC&#10;gx0dGqpupx+rwMQPM3THQ9y/ny9eRzL3F2eUepqNuw2IQGN4hP/bR61gvYa/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5O6nMIAAADbAAAADwAAAAAAAAAAAAAA&#10;AAChAgAAZHJzL2Rvd25yZXYueG1sUEsFBgAAAAAEAAQA+QAAAJADAAAAAA==&#10;">
                  <v:stroke endarrow="block"/>
                </v:shape>
                <v:shape id="AutoShape 19" o:spid="_x0000_s1044" type="#_x0000_t32" style="position:absolute;left:6225;top:7860;width:2820;height:1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8ulMYAAADcAAAADwAAAGRycy9kb3ducmV2LnhtbESPQWvCQBCF74L/YRmhN93YQ9HUVUqh&#10;pSgeNCW0tyE7TUKzs2F31eivdw6F3mZ4b977ZrUZXKfOFGLr2cB8loEirrxtuTbwWbxNF6BiQrbY&#10;eSYDV4qwWY9HK8ytv/CBzsdUKwnhmKOBJqU+1zpWDTmMM98Ti/bjg8Mka6i1DXiRcNfpxyx70g5b&#10;loYGe3ptqPo9npyBr93yVF7LPW3L+XL7jcHFW/FuzMNkeHkGlWhI/+a/6w8r+Jngyz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LpTGAAAA3AAAAA8AAAAAAAAA&#10;AAAAAAAAoQIAAGRycy9kb3ducmV2LnhtbFBLBQYAAAAABAAEAPkAAACUAwAAAAA=&#10;">
                  <v:stroke endarrow="block"/>
                </v:shape>
                <v:shape id="AutoShape 20" o:spid="_x0000_s1045" type="#_x0000_t32" style="position:absolute;left:3330;top:5085;width:0;height:43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WnM8EAAADcAAAADwAAAGRycy9kb3ducmV2LnhtbERPTYvCMBC9C/sfwizsRTTtHkSqUWRh&#10;QTwsqD14HJKxLTaTmsTa/fdGELzN433Ocj3YVvTkQ+NYQT7NQBBrZxquFJTH38kcRIjIBlvHpOCf&#10;AqxXH6MlFsbdeU/9IVYihXAoUEEdY1dIGXRNFsPUdcSJOztvMSboK2k83lO4beV3ls2kxYZTQ40d&#10;/dSkL4ebVdDsyr+yH1+j1/NdfvJ5OJ5ardTX57BZgIg0xLf45d6aND/L4flMukC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xaczwQAAANwAAAAPAAAAAAAAAAAAAAAA&#10;AKECAABkcnMvZG93bnJldi54bWxQSwUGAAAAAAQABAD5AAAAjwMAAAAA&#10;"/>
                <v:shape id="AutoShape 21" o:spid="_x0000_s1046" type="#_x0000_t32" style="position:absolute;left:3330;top:5085;width:8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22" o:spid="_x0000_s1047" type="#_x0000_t32" style="position:absolute;left:3120;top:4035;width:0;height:54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uc38IAAADcAAAADwAAAGRycy9kb3ducmV2LnhtbERPTYvCMBC9L/gfwgh7WTStwiLVKCII&#10;4mFhtQePQzK2xWZSk1i7/36zIOxtHu9zVpvBtqInHxrHCvJpBoJYO9NwpaA87ycLECEiG2wdk4If&#10;CrBZj95WWBj35G/qT7ESKYRDgQrqGLtCyqBrshimriNO3NV5izFBX0nj8ZnCbStnWfYpLTacGmrs&#10;aFeTvp0eVkFzLL/K/uMevV4c84vPw/nSaqXex8N2CSLSEP/FL/fBpPnZ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luc38IAAADcAAAADwAAAAAAAAAAAAAA&#10;AAChAgAAZHJzL2Rvd25yZXYueG1sUEsFBgAAAAAEAAQA+QAAAJADAAAAAA==&#10;"/>
                <v:shape id="AutoShape 23" o:spid="_x0000_s1048" type="#_x0000_t32" style="position:absolute;left:3120;top:4035;width:103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24" o:spid="_x0000_s1049" type="#_x0000_t32" style="position:absolute;left:2955;top:3660;width:120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6hMMIAAADcAAAADwAAAGRycy9kb3ducmV2LnhtbERPTYvCMBC9L/gfwgh7WTSt4CLVKCII&#10;4mFhtQePQzK2xWZSk1i7/36zIOxtHu9zVpvBtqInHxrHCvJpBoJYO9NwpaA87ycLECEiG2wdk4If&#10;CrBZj95WWBj35G/qT7ESKYRDgQrqGLtCyqBrshimriNO3NV5izFBX0nj8ZnCbStnWfYpLTacGmrs&#10;aFeTvp0eVkFzLL/K/uMevV4c84vPw/nSaqXex8N2CSLSEP/FL/fBpPnZ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v6hMMIAAADcAAAADwAAAAAAAAAAAAAA&#10;AAChAgAAZHJzL2Rvd25yZXYueG1sUEsFBgAAAAAEAAQA+QAAAJADAAAAAA==&#10;"/>
                <v:shape id="AutoShape 25" o:spid="_x0000_s1050" type="#_x0000_t32" style="position:absolute;left:2955;top:3660;width:0;height:58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26" o:spid="_x0000_s1051" type="#_x0000_t32" style="position:absolute;left:9465;top:4035;width:0;height:54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Ca3MIAAADcAAAADwAAAGRycy9kb3ducmV2LnhtbERPTYvCMBC9L/gfwgh7WTStB1eqUUQQ&#10;xMPCag8eh2Rsi82kJrF2//1mQdjbPN7nrDaDbUVPPjSOFeTTDASxdqbhSkF53k8WIEJENtg6JgU/&#10;FGCzHr2tsDDuyd/Un2IlUgiHAhXUMXaFlEHXZDFMXUecuKvzFmOCvpLG4zOF21bOsmwuLTacGmrs&#10;aFeTvp0eVkFzLL/K/uMevV4c84vPw/nSaqXex8N2CSLSEP/FL/fBpPnZJ/w9ky6Q6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Ca3MIAAADcAAAADwAAAAAAAAAAAAAA&#10;AAChAgAAZHJzL2Rvd25yZXYueG1sUEsFBgAAAAAEAAQA+QAAAJADAAAAAA==&#10;"/>
                <v:shape id="AutoShape 27" o:spid="_x0000_s1052" type="#_x0000_t32" style="position:absolute;left:8775;top:4035;width:69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hp0cMAAADcAAAADwAAAGRycy9kb3ducmV2LnhtbESPQWsCMRCF7wX/QxjBW80qWMrWKFUQ&#10;pBepFfQ4bKa7oZvJskk36793DoXeZnhv3vtmvR19qwbqowtsYDEvQBFXwTquDVy+Ds+voGJCttgG&#10;JgN3irDdTJ7WWNqQ+ZOGc6qVhHAs0UCTUldqHauGPMZ56IhF+w69xyRrX2vbY5Zw3+plUbxoj46l&#10;ocGO9g1VP+dfb8Dlkxu64z7vPq63aDO5+yo4Y2bT8f0NVKIx/Zv/ro9W8AuhlW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jYadHDAAAA3AAAAA8AAAAAAAAAAAAA&#10;AAAAoQIAAGRycy9kb3ducmV2LnhtbFBLBQYAAAAABAAEAPkAAACRAwAAAAA=&#10;">
                  <v:stroke endarrow="block"/>
                </v:shape>
                <v:shape id="AutoShape 28" o:spid="_x0000_s1053" type="#_x0000_t32" style="position:absolute;left:9705;top:2595;width:0;height:68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OrNcMAAADcAAAADwAAAGRycy9kb3ducmV2LnhtbERPPWvDMBDdC/0P4gpdSiK7Q0mcyKYE&#10;AiVDoYkHj4d0sU2skyupjvvvq0Ig2z3e522r2Q5iIh96xwryZQaCWDvTc6ugPu0XKxAhIhscHJOC&#10;XwpQlY8PWyyMu/IXTcfYihTCoUAFXYxjIWXQHVkMSzcSJ+7svMWYoG+l8XhN4XaQr1n2Ji32nBo6&#10;HGnXkb4cf6yC/lB/1tPLd/R6dcgbn4dTM2ilnp/m9w2ISHO8i2/uD5PmZ2v4fyZdI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uzqzXDAAAA3AAAAA8AAAAAAAAAAAAA&#10;AAAAoQIAAGRycy9kb3ducmV2LnhtbFBLBQYAAAAABAAEAPkAAACRAwAAAAA=&#10;"/>
                <v:shape id="AutoShape 29" o:spid="_x0000_s1054" type="#_x0000_t32" style="position:absolute;left:8775;top:2595;width:93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AutoShape 30" o:spid="_x0000_s1055" type="#_x0000_t32" style="position:absolute;left:5805;top:9675;width:13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31" o:spid="_x0000_s1056" type="#_x0000_t32" style="position:absolute;left:5805;top:9870;width:130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5sAAAADcAAAADwAAAGRycy9kb3ducmV2LnhtbERPS4vCMBC+C/sfwizsTVMFRapRVFgQ&#10;L4sP0OPQjG2wmZQm29R/v1kQvM3H95zlure16Kj1xrGC8SgDQVw4bbhUcDl/D+cgfEDWWDsmBU/y&#10;sF59DJaYaxf5SN0plCKFsM9RQRVCk0vpi4os+pFriBN3d63FkGBbSt1iTOG2lpMsm0mLhlNDhQ3t&#10;Kioep1+rwMQf0zX7XdwerjevI5nn1Bmlvj77zQJEoD68xS/3Xqf54wn8P5MukK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pyObAAAAA3AAAAA8AAAAAAAAAAAAAAAAA&#10;oQIAAGRycy9kb3ducmV2LnhtbFBLBQYAAAAABAAEAPkAAACOAwAAAAA=&#10;">
                  <v:stroke endarrow="block"/>
                </v:shape>
              </v:group>
            </w:pict>
          </mc:Fallback>
        </mc:AlternateContent>
      </w: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360" w:lineRule="auto"/>
        <w:ind w:firstLine="709"/>
        <w:jc w:val="both"/>
        <w:rPr>
          <w:rFonts w:ascii="Times New Roman" w:hAnsi="Times New Roman"/>
          <w:sz w:val="28"/>
          <w:szCs w:val="28"/>
          <w:lang w:val="uk-UA"/>
        </w:rPr>
      </w:pPr>
    </w:p>
    <w:p w:rsidR="004009DE" w:rsidRDefault="004009DE" w:rsidP="004009DE">
      <w:pPr>
        <w:spacing w:after="0" w:line="360" w:lineRule="auto"/>
        <w:ind w:firstLine="709"/>
        <w:jc w:val="both"/>
        <w:rPr>
          <w:rFonts w:ascii="Times New Roman" w:hAnsi="Times New Roman"/>
          <w:sz w:val="28"/>
          <w:szCs w:val="28"/>
          <w:lang w:val="uk-UA"/>
        </w:rPr>
      </w:pPr>
    </w:p>
    <w:p w:rsidR="004009DE" w:rsidRDefault="004009DE" w:rsidP="004009DE">
      <w:pPr>
        <w:spacing w:after="0" w:line="360" w:lineRule="auto"/>
        <w:ind w:firstLine="709"/>
        <w:jc w:val="both"/>
        <w:rPr>
          <w:rFonts w:ascii="Times New Roman" w:hAnsi="Times New Roman"/>
          <w:sz w:val="28"/>
          <w:szCs w:val="28"/>
          <w:lang w:val="uk-UA"/>
        </w:rPr>
      </w:pPr>
    </w:p>
    <w:p w:rsidR="004009DE" w:rsidRDefault="004009DE" w:rsidP="004009DE">
      <w:pPr>
        <w:spacing w:after="0" w:line="360" w:lineRule="auto"/>
        <w:ind w:firstLine="709"/>
        <w:jc w:val="both"/>
        <w:rPr>
          <w:rFonts w:ascii="Times New Roman" w:hAnsi="Times New Roman"/>
          <w:sz w:val="28"/>
          <w:szCs w:val="28"/>
          <w:highlight w:val="yellow"/>
          <w:lang w:val="uk-UA"/>
        </w:rPr>
      </w:pPr>
    </w:p>
    <w:p w:rsidR="004009DE" w:rsidRDefault="004009DE" w:rsidP="004009DE">
      <w:pPr>
        <w:spacing w:after="0" w:line="240" w:lineRule="auto"/>
        <w:ind w:firstLine="709"/>
        <w:jc w:val="both"/>
        <w:rPr>
          <w:rFonts w:ascii="Times New Roman" w:hAnsi="Times New Roman"/>
          <w:sz w:val="28"/>
          <w:szCs w:val="28"/>
          <w:lang w:val="uk-UA"/>
        </w:rPr>
      </w:pPr>
    </w:p>
    <w:p w:rsidR="004009DE" w:rsidRDefault="004009DE" w:rsidP="004009DE">
      <w:pPr>
        <w:keepNext/>
        <w:spacing w:after="0" w:line="240" w:lineRule="auto"/>
        <w:ind w:firstLine="709"/>
        <w:jc w:val="both"/>
        <w:rPr>
          <w:rFonts w:ascii="Times New Roman" w:hAnsi="Times New Roman"/>
          <w:sz w:val="28"/>
          <w:szCs w:val="28"/>
          <w:lang w:val="uk-UA"/>
        </w:rPr>
      </w:pPr>
      <w:r w:rsidRPr="00AD0D2A">
        <w:rPr>
          <w:rFonts w:ascii="Times New Roman" w:hAnsi="Times New Roman"/>
          <w:sz w:val="28"/>
          <w:szCs w:val="28"/>
          <w:lang w:val="uk-UA"/>
        </w:rPr>
        <w:t xml:space="preserve">Рис. 1.1 Структура формування інвестиційної привабливості </w:t>
      </w:r>
      <w:r w:rsidRPr="00D838FE">
        <w:rPr>
          <w:rFonts w:ascii="Times New Roman" w:hAnsi="Times New Roman"/>
          <w:sz w:val="28"/>
          <w:szCs w:val="28"/>
          <w:lang w:val="uk-UA"/>
        </w:rPr>
        <w:t>сільськогосподарських підприємств</w:t>
      </w:r>
    </w:p>
    <w:p w:rsidR="004009DE" w:rsidRPr="00864B2F" w:rsidRDefault="004009DE" w:rsidP="004009DE">
      <w:pPr>
        <w:pStyle w:val="a5"/>
        <w:spacing w:before="0" w:beforeAutospacing="0" w:after="0" w:afterAutospacing="0"/>
        <w:ind w:left="709"/>
        <w:jc w:val="both"/>
        <w:rPr>
          <w:i/>
          <w:iCs/>
          <w:color w:val="000000"/>
          <w:lang w:val="uk-UA"/>
        </w:rPr>
      </w:pPr>
      <w:r>
        <w:rPr>
          <w:i/>
          <w:iCs/>
          <w:color w:val="000000"/>
          <w:lang w:val="uk-UA"/>
        </w:rPr>
        <w:t>Джерело: розроблено автором</w:t>
      </w:r>
    </w:p>
    <w:p w:rsidR="004009DE" w:rsidRDefault="004009DE" w:rsidP="004009DE">
      <w:pPr>
        <w:spacing w:after="0" w:line="360" w:lineRule="auto"/>
        <w:ind w:firstLine="709"/>
        <w:jc w:val="both"/>
        <w:rPr>
          <w:rFonts w:ascii="Times New Roman" w:hAnsi="Times New Roman"/>
          <w:sz w:val="28"/>
          <w:szCs w:val="28"/>
          <w:lang w:val="uk-UA"/>
        </w:rPr>
      </w:pPr>
    </w:p>
    <w:p w:rsidR="00625D39" w:rsidRPr="004009DE" w:rsidRDefault="005670E0" w:rsidP="004009DE">
      <w:pPr>
        <w:spacing w:after="0" w:line="360" w:lineRule="auto"/>
        <w:ind w:firstLine="709"/>
        <w:jc w:val="both"/>
        <w:rPr>
          <w:rFonts w:ascii="Times New Roman" w:hAnsi="Times New Roman"/>
          <w:sz w:val="28"/>
          <w:szCs w:val="28"/>
          <w:lang w:val="uk-UA"/>
        </w:rPr>
      </w:pPr>
      <w:r w:rsidRPr="004009DE">
        <w:rPr>
          <w:rFonts w:ascii="Times New Roman" w:hAnsi="Times New Roman"/>
          <w:sz w:val="28"/>
          <w:szCs w:val="28"/>
          <w:lang w:val="uk-UA"/>
        </w:rPr>
        <w:t xml:space="preserve">Міжнародні емпіричні висновки щодо ESG не є однорідними. </w:t>
      </w:r>
      <w:r w:rsidR="00FC4ABE">
        <w:rPr>
          <w:rFonts w:ascii="Times New Roman" w:hAnsi="Times New Roman"/>
          <w:sz w:val="28"/>
          <w:szCs w:val="28"/>
          <w:lang w:val="uk-UA"/>
        </w:rPr>
        <w:br/>
      </w:r>
      <w:r w:rsidRPr="004009DE">
        <w:rPr>
          <w:rFonts w:ascii="Times New Roman" w:hAnsi="Times New Roman"/>
          <w:sz w:val="28"/>
          <w:szCs w:val="28"/>
          <w:lang w:val="uk-UA"/>
        </w:rPr>
        <w:t xml:space="preserve">M. Aydoğmuş, G. Gülay і K. Ergun виявили додатний статистичний зв’язок сукупної ESG-оцінки з ринковою вартістю та прибутковістю вибірки великих компаній </w:t>
      </w:r>
      <w:r w:rsidRPr="004009DE">
        <w:rPr>
          <w:rFonts w:ascii="Times New Roman" w:eastAsia="Times New Roman" w:hAnsi="Times New Roman"/>
          <w:sz w:val="28"/>
          <w:szCs w:val="28"/>
          <w:lang w:val="uk-UA"/>
        </w:rPr>
        <w:t>[165]</w:t>
      </w:r>
      <w:r w:rsidRPr="004009DE">
        <w:rPr>
          <w:rFonts w:ascii="Times New Roman" w:hAnsi="Times New Roman"/>
          <w:sz w:val="28"/>
          <w:szCs w:val="28"/>
          <w:lang w:val="uk-UA"/>
        </w:rPr>
        <w:t xml:space="preserve">. Водночас A. Gawęda на міжнародній вибірці отримав від’ємний зв’язок між ESG-результативністю та ринковою оцінкою, </w:t>
      </w:r>
      <w:r w:rsidRPr="004009DE">
        <w:rPr>
          <w:rFonts w:ascii="Times New Roman" w:eastAsia="Times New Roman" w:hAnsi="Times New Roman"/>
          <w:sz w:val="28"/>
          <w:szCs w:val="28"/>
          <w:lang w:val="uk-UA"/>
        </w:rPr>
        <w:lastRenderedPageBreak/>
        <w:t>підкреслюючи роль інституційного середовища [172]. Отже, ESG у пропонованому економічному механізмі потрібно оцінювати як фактор зі змінним, емпірично перевірюваним ефектом, а не як безумовну гарантію зростання вартості</w:t>
      </w:r>
      <w:r w:rsidR="004009DE" w:rsidRPr="004009DE">
        <w:rPr>
          <w:rFonts w:ascii="Times New Roman" w:hAnsi="Times New Roman"/>
          <w:sz w:val="28"/>
          <w:szCs w:val="28"/>
          <w:lang w:val="uk-UA"/>
        </w:rPr>
        <w:t xml:space="preserve"> </w:t>
      </w:r>
      <w:r w:rsidR="004009DE" w:rsidRPr="004009DE">
        <w:rPr>
          <w:rFonts w:ascii="Times New Roman" w:eastAsia="Times New Roman" w:hAnsi="Times New Roman"/>
          <w:sz w:val="28"/>
          <w:szCs w:val="28"/>
          <w:lang w:val="uk-UA"/>
        </w:rPr>
        <w:t>[162]</w:t>
      </w:r>
      <w:r w:rsidR="004009DE">
        <w:rPr>
          <w:rFonts w:ascii="Times New Roman" w:hAnsi="Times New Roman"/>
          <w:sz w:val="28"/>
          <w:szCs w:val="28"/>
          <w:lang w:val="uk-UA"/>
        </w:rPr>
        <w:t>.</w:t>
      </w:r>
    </w:p>
    <w:p w:rsidR="00012FCD" w:rsidRPr="00313EB1"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Цілі, які ставляться в оцінці </w:t>
      </w:r>
      <w:r w:rsidR="00D1329F"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можуть бути різними, а результати, одержувані під час реалізації, необов'язково носять характер очевидного прибутку</w:t>
      </w:r>
      <w:r w:rsidR="002A16E4" w:rsidRPr="002A16E4">
        <w:rPr>
          <w:rFonts w:ascii="Times New Roman" w:hAnsi="Times New Roman"/>
          <w:sz w:val="28"/>
          <w:szCs w:val="28"/>
        </w:rPr>
        <w:t xml:space="preserve"> </w:t>
      </w:r>
      <w:r w:rsidR="002A16E4" w:rsidRPr="002A16E4">
        <w:rPr>
          <w:rFonts w:ascii="Times New Roman" w:eastAsia="Times New Roman" w:hAnsi="Times New Roman"/>
          <w:sz w:val="28"/>
          <w:szCs w:val="28"/>
        </w:rPr>
        <w:t>[54, c. 19]</w:t>
      </w:r>
      <w:r w:rsidRPr="00313EB1">
        <w:rPr>
          <w:rFonts w:ascii="Times New Roman" w:hAnsi="Times New Roman"/>
          <w:sz w:val="28"/>
          <w:szCs w:val="28"/>
          <w:lang w:val="uk-UA"/>
        </w:rPr>
        <w:t xml:space="preserve">. Можуть бути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ти, самі по собі збиткові в економічному сенсі, але </w:t>
      </w:r>
      <w:r w:rsidR="006633CD">
        <w:rPr>
          <w:rFonts w:ascii="Times New Roman" w:hAnsi="Times New Roman"/>
          <w:sz w:val="28"/>
          <w:szCs w:val="28"/>
          <w:lang w:val="uk-UA"/>
        </w:rPr>
        <w:t xml:space="preserve">вони </w:t>
      </w:r>
      <w:r w:rsidRPr="00313EB1">
        <w:rPr>
          <w:rFonts w:ascii="Times New Roman" w:hAnsi="Times New Roman"/>
          <w:sz w:val="28"/>
          <w:szCs w:val="28"/>
          <w:lang w:val="uk-UA"/>
        </w:rPr>
        <w:t xml:space="preserve">приносять непрямий дохід за рахунок набуття стабільності у забезпеченні сировиною та напівфабрикатами, виходу на нові ринки сировини та збуту продукції, досягнення деякого соціального ефекту, зниження витрат за іншими </w:t>
      </w:r>
      <w:r w:rsidR="00DB1F48">
        <w:rPr>
          <w:rFonts w:ascii="Times New Roman" w:hAnsi="Times New Roman"/>
          <w:sz w:val="28"/>
          <w:szCs w:val="28"/>
          <w:lang w:val="uk-UA"/>
        </w:rPr>
        <w:t>проєк</w:t>
      </w:r>
      <w:r w:rsidRPr="00313EB1">
        <w:rPr>
          <w:rFonts w:ascii="Times New Roman" w:hAnsi="Times New Roman"/>
          <w:sz w:val="28"/>
          <w:szCs w:val="28"/>
          <w:lang w:val="uk-UA"/>
        </w:rPr>
        <w:t>тами та виробництвами та ін</w:t>
      </w:r>
      <w:r w:rsidR="00D1329F">
        <w:rPr>
          <w:rFonts w:ascii="Times New Roman" w:hAnsi="Times New Roman"/>
          <w:sz w:val="28"/>
          <w:szCs w:val="28"/>
          <w:lang w:val="uk-UA"/>
        </w:rPr>
        <w:t xml:space="preserve"> (рис. 1.2.)</w:t>
      </w:r>
      <w:r w:rsidRPr="00313EB1">
        <w:rPr>
          <w:rFonts w:ascii="Times New Roman" w:hAnsi="Times New Roman"/>
          <w:sz w:val="28"/>
          <w:szCs w:val="28"/>
          <w:lang w:val="uk-UA"/>
        </w:rPr>
        <w:t>.</w:t>
      </w:r>
    </w:p>
    <w:p w:rsidR="00AD0D2A" w:rsidRDefault="005357D2" w:rsidP="00313EB1">
      <w:pPr>
        <w:spacing w:after="0" w:line="360" w:lineRule="auto"/>
        <w:ind w:firstLine="709"/>
        <w:jc w:val="both"/>
        <w:rPr>
          <w:rFonts w:ascii="Times New Roman" w:hAnsi="Times New Roman"/>
          <w:sz w:val="28"/>
          <w:szCs w:val="28"/>
          <w:lang w:val="uk-UA"/>
        </w:rPr>
      </w:pPr>
      <w:r>
        <w:rPr>
          <w:noProof/>
          <w:lang w:val="uk-UA" w:eastAsia="uk-UA"/>
        </w:rPr>
        <mc:AlternateContent>
          <mc:Choice Requires="wpg">
            <w:drawing>
              <wp:anchor distT="0" distB="0" distL="114300" distR="114300" simplePos="0" relativeHeight="251655680" behindDoc="0" locked="0" layoutInCell="1" allowOverlap="1" wp14:anchorId="08638EDA" wp14:editId="6E6BFCE9">
                <wp:simplePos x="0" y="0"/>
                <wp:positionH relativeFrom="column">
                  <wp:posOffset>-165735</wp:posOffset>
                </wp:positionH>
                <wp:positionV relativeFrom="paragraph">
                  <wp:posOffset>131445</wp:posOffset>
                </wp:positionV>
                <wp:extent cx="6019800" cy="3419475"/>
                <wp:effectExtent l="0" t="0" r="19050" b="28575"/>
                <wp:wrapNone/>
                <wp:docPr id="66"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3419475"/>
                          <a:chOff x="1440" y="1245"/>
                          <a:chExt cx="9480" cy="5385"/>
                        </a:xfrm>
                      </wpg:grpSpPr>
                      <wps:wsp>
                        <wps:cNvPr id="67" name="Rectangle 33"/>
                        <wps:cNvSpPr>
                          <a:spLocks noChangeArrowheads="1"/>
                        </wps:cNvSpPr>
                        <wps:spPr bwMode="auto">
                          <a:xfrm>
                            <a:off x="2925" y="1245"/>
                            <a:ext cx="5640" cy="720"/>
                          </a:xfrm>
                          <a:prstGeom prst="rect">
                            <a:avLst/>
                          </a:prstGeom>
                          <a:solidFill>
                            <a:srgbClr val="FFFFFF"/>
                          </a:solidFill>
                          <a:ln w="9525">
                            <a:solidFill>
                              <a:srgbClr val="000000"/>
                            </a:solidFill>
                            <a:miter lim="800000"/>
                            <a:headEnd/>
                            <a:tailEnd/>
                          </a:ln>
                        </wps:spPr>
                        <wps:txbx>
                          <w:txbxContent>
                            <w:p w:rsidR="00EB5B4E" w:rsidRPr="00D1329F" w:rsidRDefault="00EB5B4E" w:rsidP="00D1329F">
                              <w:pPr>
                                <w:jc w:val="center"/>
                                <w:rPr>
                                  <w:rFonts w:ascii="Times New Roman" w:hAnsi="Times New Roman"/>
                                  <w:lang w:val="uk-UA"/>
                                </w:rPr>
                              </w:pPr>
                              <w:r w:rsidRPr="00AD0D2A">
                                <w:rPr>
                                  <w:rFonts w:ascii="Times New Roman" w:hAnsi="Times New Roman"/>
                                  <w:sz w:val="24"/>
                                  <w:szCs w:val="24"/>
                                  <w:lang w:val="uk-UA"/>
                                </w:rPr>
                                <w:t xml:space="preserve">Ознаки </w:t>
                              </w:r>
                              <w:r w:rsidRPr="00D1329F">
                                <w:rPr>
                                  <w:rFonts w:ascii="Times New Roman" w:hAnsi="Times New Roman"/>
                                  <w:lang w:val="uk-UA"/>
                                </w:rPr>
                                <w:t>класифікації інвестиційної привабливості</w:t>
                              </w:r>
                            </w:p>
                          </w:txbxContent>
                        </wps:txbx>
                        <wps:bodyPr rot="0" vert="horz" wrap="square" lIns="91440" tIns="45720" rIns="91440" bIns="45720" anchor="t" anchorCtr="0" upright="1">
                          <a:noAutofit/>
                        </wps:bodyPr>
                      </wps:wsp>
                      <wps:wsp>
                        <wps:cNvPr id="68" name="Rectangle 34"/>
                        <wps:cNvSpPr>
                          <a:spLocks noChangeArrowheads="1"/>
                        </wps:cNvSpPr>
                        <wps:spPr bwMode="auto">
                          <a:xfrm>
                            <a:off x="1440" y="2520"/>
                            <a:ext cx="2325" cy="1095"/>
                          </a:xfrm>
                          <a:prstGeom prst="rect">
                            <a:avLst/>
                          </a:prstGeom>
                          <a:solidFill>
                            <a:srgbClr val="FFFFFF"/>
                          </a:solidFill>
                          <a:ln w="9525">
                            <a:solidFill>
                              <a:srgbClr val="000000"/>
                            </a:solidFill>
                            <a:miter lim="800000"/>
                            <a:headEnd/>
                            <a:tailEnd/>
                          </a:ln>
                        </wps:spPr>
                        <wps:txbx>
                          <w:txbxContent>
                            <w:p w:rsidR="00EB5B4E" w:rsidRPr="00AD0D2A" w:rsidRDefault="00EB5B4E" w:rsidP="00AD0D2A">
                              <w:pPr>
                                <w:jc w:val="center"/>
                                <w:rPr>
                                  <w:rFonts w:ascii="Times New Roman" w:hAnsi="Times New Roman"/>
                                  <w:lang w:val="uk-UA"/>
                                </w:rPr>
                              </w:pPr>
                              <w:r w:rsidRPr="00AD0D2A">
                                <w:rPr>
                                  <w:rFonts w:ascii="Times New Roman" w:hAnsi="Times New Roman"/>
                                  <w:lang w:val="uk-UA"/>
                                </w:rPr>
                                <w:t>величина необхідних інвестицій: великі, традиційні, дрібні</w:t>
                              </w:r>
                            </w:p>
                          </w:txbxContent>
                        </wps:txbx>
                        <wps:bodyPr rot="0" vert="horz" wrap="square" lIns="91440" tIns="45720" rIns="91440" bIns="45720" anchor="t" anchorCtr="0" upright="1">
                          <a:noAutofit/>
                        </wps:bodyPr>
                      </wps:wsp>
                      <wps:wsp>
                        <wps:cNvPr id="69" name="Rectangle 35"/>
                        <wps:cNvSpPr>
                          <a:spLocks noChangeArrowheads="1"/>
                        </wps:cNvSpPr>
                        <wps:spPr bwMode="auto">
                          <a:xfrm>
                            <a:off x="2025" y="3720"/>
                            <a:ext cx="2100" cy="1275"/>
                          </a:xfrm>
                          <a:prstGeom prst="rect">
                            <a:avLst/>
                          </a:prstGeom>
                          <a:solidFill>
                            <a:srgbClr val="FFFFFF"/>
                          </a:solidFill>
                          <a:ln w="9525">
                            <a:solidFill>
                              <a:srgbClr val="000000"/>
                            </a:solidFill>
                            <a:miter lim="800000"/>
                            <a:headEnd/>
                            <a:tailEnd/>
                          </a:ln>
                        </wps:spPr>
                        <wps:txbx>
                          <w:txbxContent>
                            <w:p w:rsidR="00EB5B4E" w:rsidRPr="00AD0D2A" w:rsidRDefault="00EB5B4E" w:rsidP="00DB6BE4">
                              <w:pPr>
                                <w:jc w:val="center"/>
                                <w:rPr>
                                  <w:rFonts w:ascii="Times New Roman" w:hAnsi="Times New Roman"/>
                                  <w:lang w:val="uk-UA"/>
                                </w:rPr>
                              </w:pPr>
                              <w:r>
                                <w:rPr>
                                  <w:rFonts w:ascii="Times New Roman" w:hAnsi="Times New Roman"/>
                                  <w:lang w:val="uk-UA"/>
                                </w:rPr>
                                <w:t>Відношення до ризику</w:t>
                              </w:r>
                              <w:r w:rsidRPr="00AD0D2A">
                                <w:rPr>
                                  <w:rFonts w:ascii="Times New Roman" w:hAnsi="Times New Roman"/>
                                  <w:lang w:val="uk-UA"/>
                                </w:rPr>
                                <w:t xml:space="preserve">: </w:t>
                              </w:r>
                              <w:r>
                                <w:rPr>
                                  <w:rFonts w:ascii="Times New Roman" w:hAnsi="Times New Roman"/>
                                  <w:lang w:val="uk-UA"/>
                                </w:rPr>
                                <w:t>ризикові, безризикові, гарантії тощо</w:t>
                              </w:r>
                            </w:p>
                          </w:txbxContent>
                        </wps:txbx>
                        <wps:bodyPr rot="0" vert="horz" wrap="square" lIns="91440" tIns="45720" rIns="91440" bIns="45720" anchor="t" anchorCtr="0" upright="1">
                          <a:noAutofit/>
                        </wps:bodyPr>
                      </wps:wsp>
                      <wps:wsp>
                        <wps:cNvPr id="70" name="Rectangle 36"/>
                        <wps:cNvSpPr>
                          <a:spLocks noChangeArrowheads="1"/>
                        </wps:cNvSpPr>
                        <wps:spPr bwMode="auto">
                          <a:xfrm>
                            <a:off x="1665" y="5115"/>
                            <a:ext cx="2685" cy="1410"/>
                          </a:xfrm>
                          <a:prstGeom prst="rect">
                            <a:avLst/>
                          </a:prstGeom>
                          <a:solidFill>
                            <a:srgbClr val="FFFFFF"/>
                          </a:solidFill>
                          <a:ln w="9525">
                            <a:solidFill>
                              <a:srgbClr val="000000"/>
                            </a:solidFill>
                            <a:miter lim="800000"/>
                            <a:headEnd/>
                            <a:tailEnd/>
                          </a:ln>
                        </wps:spPr>
                        <wps:txbx>
                          <w:txbxContent>
                            <w:p w:rsidR="00EB5B4E" w:rsidRDefault="00EB5B4E" w:rsidP="00690FB4">
                              <w:pPr>
                                <w:spacing w:after="0" w:line="240" w:lineRule="auto"/>
                                <w:jc w:val="center"/>
                                <w:rPr>
                                  <w:rFonts w:ascii="Times New Roman" w:hAnsi="Times New Roman"/>
                                  <w:lang w:val="uk-UA"/>
                                </w:rPr>
                              </w:pPr>
                              <w:r>
                                <w:rPr>
                                  <w:rFonts w:ascii="Times New Roman" w:hAnsi="Times New Roman"/>
                                  <w:lang w:val="uk-UA"/>
                                </w:rPr>
                                <w:t>Інвестиційно привабливі підприємства:</w:t>
                              </w:r>
                            </w:p>
                            <w:p w:rsidR="00EB5B4E" w:rsidRPr="00AD0D2A" w:rsidRDefault="00EB5B4E" w:rsidP="00690FB4">
                              <w:pPr>
                                <w:spacing w:after="0" w:line="240" w:lineRule="auto"/>
                                <w:jc w:val="center"/>
                                <w:rPr>
                                  <w:rFonts w:ascii="Times New Roman" w:hAnsi="Times New Roman"/>
                                  <w:lang w:val="uk-UA"/>
                                </w:rPr>
                              </w:pPr>
                              <w:r>
                                <w:rPr>
                                  <w:rFonts w:ascii="Times New Roman" w:hAnsi="Times New Roman"/>
                                  <w:lang w:val="uk-UA"/>
                                </w:rPr>
                                <w:t>галузь, продукція, об’єм виробництва, персонал тощо</w:t>
                              </w:r>
                            </w:p>
                          </w:txbxContent>
                        </wps:txbx>
                        <wps:bodyPr rot="0" vert="horz" wrap="square" lIns="91440" tIns="45720" rIns="91440" bIns="45720" anchor="t" anchorCtr="0" upright="1">
                          <a:noAutofit/>
                        </wps:bodyPr>
                      </wps:wsp>
                      <wps:wsp>
                        <wps:cNvPr id="71" name="Rectangle 37"/>
                        <wps:cNvSpPr>
                          <a:spLocks noChangeArrowheads="1"/>
                        </wps:cNvSpPr>
                        <wps:spPr bwMode="auto">
                          <a:xfrm>
                            <a:off x="4605" y="2340"/>
                            <a:ext cx="2085" cy="4290"/>
                          </a:xfrm>
                          <a:prstGeom prst="rect">
                            <a:avLst/>
                          </a:prstGeom>
                          <a:solidFill>
                            <a:srgbClr val="FFFFFF"/>
                          </a:solidFill>
                          <a:ln w="9525">
                            <a:solidFill>
                              <a:srgbClr val="000000"/>
                            </a:solidFill>
                            <a:miter lim="800000"/>
                            <a:headEnd/>
                            <a:tailEnd/>
                          </a:ln>
                        </wps:spPr>
                        <wps:txbx>
                          <w:txbxContent>
                            <w:p w:rsidR="00EB5B4E" w:rsidRPr="00DB6BE4" w:rsidRDefault="00EB5B4E" w:rsidP="00DB6BE4">
                              <w:pPr>
                                <w:jc w:val="center"/>
                                <w:rPr>
                                  <w:rFonts w:ascii="Times New Roman" w:hAnsi="Times New Roman"/>
                                  <w:lang w:val="uk-UA"/>
                                </w:rPr>
                              </w:pPr>
                              <w:r w:rsidRPr="00DB6BE4">
                                <w:rPr>
                                  <w:rFonts w:ascii="Times New Roman" w:hAnsi="Times New Roman"/>
                                  <w:lang w:val="uk-UA"/>
                                </w:rPr>
                                <w:t>тип передбачуваних доходів:</w:t>
                              </w:r>
                              <w:r w:rsidRPr="00DB6BE4">
                                <w:rPr>
                                  <w:lang w:val="uk-UA"/>
                                </w:rPr>
                                <w:t xml:space="preserve"> </w:t>
                              </w:r>
                              <w:r w:rsidRPr="00DB6BE4">
                                <w:rPr>
                                  <w:rFonts w:ascii="Times New Roman" w:hAnsi="Times New Roman"/>
                                  <w:lang w:val="uk-UA"/>
                                </w:rPr>
                                <w:t>скорочення витрат, дохід від розширення, вихід на нові ринки збуту, експансія в нові сфери бізнесу, зниження ризику виробництва та збуту, соціальний ефект</w:t>
                              </w:r>
                            </w:p>
                          </w:txbxContent>
                        </wps:txbx>
                        <wps:bodyPr rot="0" vert="horz" wrap="square" lIns="91440" tIns="45720" rIns="91440" bIns="45720" anchor="t" anchorCtr="0" upright="1">
                          <a:noAutofit/>
                        </wps:bodyPr>
                      </wps:wsp>
                      <wps:wsp>
                        <wps:cNvPr id="72" name="Rectangle 38"/>
                        <wps:cNvSpPr>
                          <a:spLocks noChangeArrowheads="1"/>
                        </wps:cNvSpPr>
                        <wps:spPr bwMode="auto">
                          <a:xfrm>
                            <a:off x="7425" y="2430"/>
                            <a:ext cx="3495" cy="1095"/>
                          </a:xfrm>
                          <a:prstGeom prst="rect">
                            <a:avLst/>
                          </a:prstGeom>
                          <a:solidFill>
                            <a:srgbClr val="FFFFFF"/>
                          </a:solidFill>
                          <a:ln w="9525">
                            <a:solidFill>
                              <a:srgbClr val="000000"/>
                            </a:solidFill>
                            <a:miter lim="800000"/>
                            <a:headEnd/>
                            <a:tailEnd/>
                          </a:ln>
                        </wps:spPr>
                        <wps:txbx>
                          <w:txbxContent>
                            <w:p w:rsidR="00EB5B4E" w:rsidRPr="00AD0D2A" w:rsidRDefault="00EB5B4E" w:rsidP="00DB6BE4">
                              <w:pPr>
                                <w:jc w:val="center"/>
                                <w:rPr>
                                  <w:rFonts w:ascii="Times New Roman" w:hAnsi="Times New Roman"/>
                                  <w:lang w:val="uk-UA"/>
                                </w:rPr>
                              </w:pPr>
                              <w:r>
                                <w:rPr>
                                  <w:rFonts w:ascii="Times New Roman" w:hAnsi="Times New Roman"/>
                                  <w:lang w:val="uk-UA"/>
                                </w:rPr>
                                <w:t>тип відносин: незалежність, альтернативність, компліментарність, заміщеність</w:t>
                              </w:r>
                            </w:p>
                          </w:txbxContent>
                        </wps:txbx>
                        <wps:bodyPr rot="0" vert="horz" wrap="square" lIns="91440" tIns="45720" rIns="91440" bIns="45720" anchor="t" anchorCtr="0" upright="1">
                          <a:noAutofit/>
                        </wps:bodyPr>
                      </wps:wsp>
                      <wps:wsp>
                        <wps:cNvPr id="73" name="Rectangle 39"/>
                        <wps:cNvSpPr>
                          <a:spLocks noChangeArrowheads="1"/>
                        </wps:cNvSpPr>
                        <wps:spPr bwMode="auto">
                          <a:xfrm>
                            <a:off x="7215" y="3720"/>
                            <a:ext cx="2100" cy="1275"/>
                          </a:xfrm>
                          <a:prstGeom prst="rect">
                            <a:avLst/>
                          </a:prstGeom>
                          <a:solidFill>
                            <a:srgbClr val="FFFFFF"/>
                          </a:solidFill>
                          <a:ln w="9525">
                            <a:solidFill>
                              <a:srgbClr val="000000"/>
                            </a:solidFill>
                            <a:miter lim="800000"/>
                            <a:headEnd/>
                            <a:tailEnd/>
                          </a:ln>
                        </wps:spPr>
                        <wps:txbx>
                          <w:txbxContent>
                            <w:p w:rsidR="00EB5B4E" w:rsidRPr="00AD0D2A" w:rsidRDefault="00EB5B4E" w:rsidP="00DB6BE4">
                              <w:pPr>
                                <w:jc w:val="center"/>
                                <w:rPr>
                                  <w:rFonts w:ascii="Times New Roman" w:hAnsi="Times New Roman"/>
                                  <w:lang w:val="uk-UA"/>
                                </w:rPr>
                              </w:pPr>
                              <w:r>
                                <w:rPr>
                                  <w:rFonts w:ascii="Times New Roman" w:hAnsi="Times New Roman"/>
                                  <w:lang w:val="uk-UA"/>
                                </w:rPr>
                                <w:t>тип грошового потоку: ординарний, неординарний</w:t>
                              </w:r>
                            </w:p>
                          </w:txbxContent>
                        </wps:txbx>
                        <wps:bodyPr rot="0" vert="horz" wrap="square" lIns="91440" tIns="45720" rIns="91440" bIns="45720" anchor="t" anchorCtr="0" upright="1">
                          <a:noAutofit/>
                        </wps:bodyPr>
                      </wps:wsp>
                      <wps:wsp>
                        <wps:cNvPr id="74" name="Rectangle 40"/>
                        <wps:cNvSpPr>
                          <a:spLocks noChangeArrowheads="1"/>
                        </wps:cNvSpPr>
                        <wps:spPr bwMode="auto">
                          <a:xfrm>
                            <a:off x="6900" y="5115"/>
                            <a:ext cx="2685" cy="1410"/>
                          </a:xfrm>
                          <a:prstGeom prst="rect">
                            <a:avLst/>
                          </a:prstGeom>
                          <a:solidFill>
                            <a:srgbClr val="FFFFFF"/>
                          </a:solidFill>
                          <a:ln w="9525">
                            <a:solidFill>
                              <a:srgbClr val="000000"/>
                            </a:solidFill>
                            <a:miter lim="800000"/>
                            <a:headEnd/>
                            <a:tailEnd/>
                          </a:ln>
                        </wps:spPr>
                        <wps:txbx>
                          <w:txbxContent>
                            <w:p w:rsidR="00EB5B4E" w:rsidRPr="00AD0D2A" w:rsidRDefault="00EB5B4E" w:rsidP="00DB6BE4">
                              <w:pPr>
                                <w:spacing w:after="0" w:line="240" w:lineRule="auto"/>
                                <w:jc w:val="center"/>
                                <w:rPr>
                                  <w:rFonts w:ascii="Times New Roman" w:hAnsi="Times New Roman"/>
                                  <w:lang w:val="uk-UA"/>
                                </w:rPr>
                              </w:pPr>
                              <w:r>
                                <w:rPr>
                                  <w:rFonts w:ascii="Times New Roman" w:hAnsi="Times New Roman"/>
                                  <w:lang w:val="uk-UA"/>
                                </w:rPr>
                                <w:t>Інвестор: інвестиційна компанія, банк, підприємство, фізична особа тощо</w:t>
                              </w:r>
                            </w:p>
                          </w:txbxContent>
                        </wps:txbx>
                        <wps:bodyPr rot="0" vert="horz" wrap="square" lIns="91440" tIns="45720" rIns="91440" bIns="45720" anchor="t" anchorCtr="0" upright="1">
                          <a:noAutofit/>
                        </wps:bodyPr>
                      </wps:wsp>
                      <wps:wsp>
                        <wps:cNvPr id="75" name="AutoShape 41"/>
                        <wps:cNvCnPr>
                          <a:cxnSpLocks noChangeShapeType="1"/>
                        </wps:cNvCnPr>
                        <wps:spPr bwMode="auto">
                          <a:xfrm>
                            <a:off x="4245" y="1965"/>
                            <a:ext cx="0" cy="3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42"/>
                        <wps:cNvCnPr>
                          <a:cxnSpLocks noChangeShapeType="1"/>
                        </wps:cNvCnPr>
                        <wps:spPr bwMode="auto">
                          <a:xfrm>
                            <a:off x="3945" y="1965"/>
                            <a:ext cx="0" cy="1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AutoShape 43"/>
                        <wps:cNvCnPr>
                          <a:cxnSpLocks noChangeShapeType="1"/>
                        </wps:cNvCnPr>
                        <wps:spPr bwMode="auto">
                          <a:xfrm>
                            <a:off x="3615" y="1965"/>
                            <a:ext cx="0" cy="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44"/>
                        <wps:cNvCnPr>
                          <a:cxnSpLocks noChangeShapeType="1"/>
                        </wps:cNvCnPr>
                        <wps:spPr bwMode="auto">
                          <a:xfrm>
                            <a:off x="5640" y="1965"/>
                            <a:ext cx="0" cy="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45"/>
                        <wps:cNvCnPr>
                          <a:cxnSpLocks noChangeShapeType="1"/>
                        </wps:cNvCnPr>
                        <wps:spPr bwMode="auto">
                          <a:xfrm>
                            <a:off x="7005" y="1965"/>
                            <a:ext cx="0" cy="31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AutoShape 46"/>
                        <wps:cNvCnPr>
                          <a:cxnSpLocks noChangeShapeType="1"/>
                        </wps:cNvCnPr>
                        <wps:spPr bwMode="auto">
                          <a:xfrm>
                            <a:off x="7215" y="1965"/>
                            <a:ext cx="0" cy="1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47"/>
                        <wps:cNvCnPr>
                          <a:cxnSpLocks noChangeShapeType="1"/>
                        </wps:cNvCnPr>
                        <wps:spPr bwMode="auto">
                          <a:xfrm>
                            <a:off x="7920" y="1965"/>
                            <a:ext cx="15" cy="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8" o:spid="_x0000_s1057" style="position:absolute;left:0;text-align:left;margin-left:-13.05pt;margin-top:10.35pt;width:474pt;height:269.25pt;z-index:251655680" coordorigin="1440,1245" coordsize="9480,5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">
                <v:rect id="Rectangle 33" o:spid="_x0000_s1058" style="position:absolute;left:2925;top:1245;width:56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textbox>
                    <w:txbxContent>
                      <w:p w:rsidR="00EB5B4E" w:rsidRPr="00D1329F" w:rsidRDefault="00EB5B4E" w:rsidP="00D1329F">
                        <w:pPr>
                          <w:jc w:val="center"/>
                          <w:rPr>
                            <w:rFonts w:ascii="Times New Roman" w:hAnsi="Times New Roman"/>
                            <w:lang w:val="uk-UA"/>
                          </w:rPr>
                        </w:pPr>
                        <w:r w:rsidRPr="00AD0D2A">
                          <w:rPr>
                            <w:rFonts w:ascii="Times New Roman" w:hAnsi="Times New Roman"/>
                            <w:sz w:val="24"/>
                            <w:szCs w:val="24"/>
                            <w:lang w:val="uk-UA"/>
                          </w:rPr>
                          <w:t xml:space="preserve">Ознаки </w:t>
                        </w:r>
                        <w:r w:rsidRPr="00D1329F">
                          <w:rPr>
                            <w:rFonts w:ascii="Times New Roman" w:hAnsi="Times New Roman"/>
                            <w:lang w:val="uk-UA"/>
                          </w:rPr>
                          <w:t>класифікації інвестиційної привабливості</w:t>
                        </w:r>
                      </w:p>
                    </w:txbxContent>
                  </v:textbox>
                </v:rect>
                <v:rect id="Rectangle 34" o:spid="_x0000_s1059" style="position:absolute;left:1440;top:2520;width:232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textbox>
                    <w:txbxContent>
                      <w:p w:rsidR="00EB5B4E" w:rsidRPr="00AD0D2A" w:rsidRDefault="00EB5B4E" w:rsidP="00AD0D2A">
                        <w:pPr>
                          <w:jc w:val="center"/>
                          <w:rPr>
                            <w:rFonts w:ascii="Times New Roman" w:hAnsi="Times New Roman"/>
                            <w:lang w:val="uk-UA"/>
                          </w:rPr>
                        </w:pPr>
                        <w:r w:rsidRPr="00AD0D2A">
                          <w:rPr>
                            <w:rFonts w:ascii="Times New Roman" w:hAnsi="Times New Roman"/>
                            <w:lang w:val="uk-UA"/>
                          </w:rPr>
                          <w:t>величина необхідних інвестицій: великі, традиційні, дрібні</w:t>
                        </w:r>
                      </w:p>
                    </w:txbxContent>
                  </v:textbox>
                </v:rect>
                <v:rect id="Rectangle 35" o:spid="_x0000_s1060" style="position:absolute;left:2025;top:3720;width:2100;height:1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textbox>
                    <w:txbxContent>
                      <w:p w:rsidR="00EB5B4E" w:rsidRPr="00AD0D2A" w:rsidRDefault="00EB5B4E" w:rsidP="00DB6BE4">
                        <w:pPr>
                          <w:jc w:val="center"/>
                          <w:rPr>
                            <w:rFonts w:ascii="Times New Roman" w:hAnsi="Times New Roman"/>
                            <w:lang w:val="uk-UA"/>
                          </w:rPr>
                        </w:pPr>
                        <w:r>
                          <w:rPr>
                            <w:rFonts w:ascii="Times New Roman" w:hAnsi="Times New Roman"/>
                            <w:lang w:val="uk-UA"/>
                          </w:rPr>
                          <w:t>Відношення до ризику</w:t>
                        </w:r>
                        <w:r w:rsidRPr="00AD0D2A">
                          <w:rPr>
                            <w:rFonts w:ascii="Times New Roman" w:hAnsi="Times New Roman"/>
                            <w:lang w:val="uk-UA"/>
                          </w:rPr>
                          <w:t xml:space="preserve">: </w:t>
                        </w:r>
                        <w:r>
                          <w:rPr>
                            <w:rFonts w:ascii="Times New Roman" w:hAnsi="Times New Roman"/>
                            <w:lang w:val="uk-UA"/>
                          </w:rPr>
                          <w:t>ризикові, безризикові, гарантії тощо</w:t>
                        </w:r>
                      </w:p>
                    </w:txbxContent>
                  </v:textbox>
                </v:rect>
                <v:rect id="Rectangle 36" o:spid="_x0000_s1061" style="position:absolute;left:1665;top:5115;width:2685;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CoPsEA&#10;AADbAAAADwAAAGRycy9kb3ducmV2LnhtbERPPW/CMBDdK/EfrENiKw5UopBiEKIKKiOEhe0aX5OU&#10;+BzZDqT8ejxUYnx638t1bxpxJedrywom4wQEcWF1zaWCU569zkH4gKyxsUwK/sjDejV4WWKq7Y0P&#10;dD2GUsQQ9ikqqEJoUyl9UZFBP7YtceR+rDMYInSl1A5vMdw0cpokM2mw5thQYUvbiorLsTMKvuvp&#10;Ce+HfJeYRfYW9n3+250/lRoN+80HiEB9eIr/3V9awXt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wqD7BAAAA2wAAAA8AAAAAAAAAAAAAAAAAmAIAAGRycy9kb3du&#10;cmV2LnhtbFBLBQYAAAAABAAEAPUAAACGAwAAAAA=&#10;">
                  <v:textbox>
                    <w:txbxContent>
                      <w:p w:rsidR="00EB5B4E" w:rsidRDefault="00EB5B4E" w:rsidP="00690FB4">
                        <w:pPr>
                          <w:spacing w:after="0" w:line="240" w:lineRule="auto"/>
                          <w:jc w:val="center"/>
                          <w:rPr>
                            <w:rFonts w:ascii="Times New Roman" w:hAnsi="Times New Roman"/>
                            <w:lang w:val="uk-UA"/>
                          </w:rPr>
                        </w:pPr>
                        <w:r>
                          <w:rPr>
                            <w:rFonts w:ascii="Times New Roman" w:hAnsi="Times New Roman"/>
                            <w:lang w:val="uk-UA"/>
                          </w:rPr>
                          <w:t>Інвестиційно привабливі підприємства:</w:t>
                        </w:r>
                      </w:p>
                      <w:p w:rsidR="00EB5B4E" w:rsidRPr="00AD0D2A" w:rsidRDefault="00EB5B4E" w:rsidP="00690FB4">
                        <w:pPr>
                          <w:spacing w:after="0" w:line="240" w:lineRule="auto"/>
                          <w:jc w:val="center"/>
                          <w:rPr>
                            <w:rFonts w:ascii="Times New Roman" w:hAnsi="Times New Roman"/>
                            <w:lang w:val="uk-UA"/>
                          </w:rPr>
                        </w:pPr>
                        <w:r>
                          <w:rPr>
                            <w:rFonts w:ascii="Times New Roman" w:hAnsi="Times New Roman"/>
                            <w:lang w:val="uk-UA"/>
                          </w:rPr>
                          <w:t>галузь, продукція, об’єм виробництва, персонал тощо</w:t>
                        </w:r>
                      </w:p>
                    </w:txbxContent>
                  </v:textbox>
                </v:rect>
                <v:rect id="Rectangle 37" o:spid="_x0000_s1062" style="position:absolute;left:4605;top:2340;width:2085;height:4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textbox>
                    <w:txbxContent>
                      <w:p w:rsidR="00EB5B4E" w:rsidRPr="00DB6BE4" w:rsidRDefault="00EB5B4E" w:rsidP="00DB6BE4">
                        <w:pPr>
                          <w:jc w:val="center"/>
                          <w:rPr>
                            <w:rFonts w:ascii="Times New Roman" w:hAnsi="Times New Roman"/>
                            <w:lang w:val="uk-UA"/>
                          </w:rPr>
                        </w:pPr>
                        <w:r w:rsidRPr="00DB6BE4">
                          <w:rPr>
                            <w:rFonts w:ascii="Times New Roman" w:hAnsi="Times New Roman"/>
                            <w:lang w:val="uk-UA"/>
                          </w:rPr>
                          <w:t>тип передбачуваних доходів:</w:t>
                        </w:r>
                        <w:r w:rsidRPr="00DB6BE4">
                          <w:rPr>
                            <w:lang w:val="uk-UA"/>
                          </w:rPr>
                          <w:t xml:space="preserve"> </w:t>
                        </w:r>
                        <w:r w:rsidRPr="00DB6BE4">
                          <w:rPr>
                            <w:rFonts w:ascii="Times New Roman" w:hAnsi="Times New Roman"/>
                            <w:lang w:val="uk-UA"/>
                          </w:rPr>
                          <w:t>скорочення витрат, дохід від розширення, вихід на нові ринки збуту, експансія в нові сфери бізнесу, зниження ризику виробництва та збуту, соціальний ефект</w:t>
                        </w:r>
                      </w:p>
                    </w:txbxContent>
                  </v:textbox>
                </v:rect>
                <v:rect id="Rectangle 38" o:spid="_x0000_s1063" style="position:absolute;left:7425;top:2430;width:3495;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6T0sQA&#10;AADbAAAADwAAAGRycy9kb3ducmV2LnhtbESPQWvCQBSE7wX/w/IKvTWbpmBrdBVRLPZokktvz+wz&#10;SZt9G7KrSf31bqHgcZiZb5jFajStuFDvGssKXqIYBHFpdcOVgiLfPb+DcB5ZY2uZFPySg9Vy8rDA&#10;VNuBD3TJfCUChF2KCmrvu1RKV9Zk0EW2Iw7eyfYGfZB9JXWPQ4CbViZxPJUGGw4LNXa0qan8yc5G&#10;wbFJCrwe8o/YzHav/nPMv89fW6WeHsf1HISn0d/D/+29VvCW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k9LEAAAA2wAAAA8AAAAAAAAAAAAAAAAAmAIAAGRycy9k&#10;b3ducmV2LnhtbFBLBQYAAAAABAAEAPUAAACJAwAAAAA=&#10;">
                  <v:textbox>
                    <w:txbxContent>
                      <w:p w:rsidR="00EB5B4E" w:rsidRPr="00AD0D2A" w:rsidRDefault="00EB5B4E" w:rsidP="00DB6BE4">
                        <w:pPr>
                          <w:jc w:val="center"/>
                          <w:rPr>
                            <w:rFonts w:ascii="Times New Roman" w:hAnsi="Times New Roman"/>
                            <w:lang w:val="uk-UA"/>
                          </w:rPr>
                        </w:pPr>
                        <w:r>
                          <w:rPr>
                            <w:rFonts w:ascii="Times New Roman" w:hAnsi="Times New Roman"/>
                            <w:lang w:val="uk-UA"/>
                          </w:rPr>
                          <w:t>тип відносин: незалежність, альтернативність, компліментарність, заміщеність</w:t>
                        </w:r>
                      </w:p>
                    </w:txbxContent>
                  </v:textbox>
                </v:rect>
                <v:rect id="Rectangle 39" o:spid="_x0000_s1064" style="position:absolute;left:7215;top:3720;width:2100;height:1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I2ScIA&#10;AADbAAAADwAAAGRycy9kb3ducmV2LnhtbESPQYvCMBSE74L/ITzBm6YqrGs1iijK7lHrxduzebbV&#10;5qU0Uau/3iwIexxm5htmtmhMKe5Uu8KygkE/AkGcWl1wpuCQbHrfIJxH1lhaJgVPcrCYt1szjLV9&#10;8I7ue5+JAGEXo4Lc+yqW0qU5GXR9WxEH72xrgz7IOpO6xkeAm1IOo+hLGiw4LORY0Sqn9Lq/GQWn&#10;YnjA1y7ZRmayGfnfJrncjmulup1mOQXhqfH/4U/7RysYj+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ojZJwgAAANsAAAAPAAAAAAAAAAAAAAAAAJgCAABkcnMvZG93&#10;bnJldi54bWxQSwUGAAAAAAQABAD1AAAAhwMAAAAA&#10;">
                  <v:textbox>
                    <w:txbxContent>
                      <w:p w:rsidR="00EB5B4E" w:rsidRPr="00AD0D2A" w:rsidRDefault="00EB5B4E" w:rsidP="00DB6BE4">
                        <w:pPr>
                          <w:jc w:val="center"/>
                          <w:rPr>
                            <w:rFonts w:ascii="Times New Roman" w:hAnsi="Times New Roman"/>
                            <w:lang w:val="uk-UA"/>
                          </w:rPr>
                        </w:pPr>
                        <w:r>
                          <w:rPr>
                            <w:rFonts w:ascii="Times New Roman" w:hAnsi="Times New Roman"/>
                            <w:lang w:val="uk-UA"/>
                          </w:rPr>
                          <w:t>тип грошового потоку: ординарний, неординарний</w:t>
                        </w:r>
                      </w:p>
                    </w:txbxContent>
                  </v:textbox>
                </v:rect>
                <v:rect id="Rectangle 40" o:spid="_x0000_s1065" style="position:absolute;left:6900;top:5115;width:2685;height:1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PcUA&#10;AADbAAAADwAAAGRycy9kb3ducmV2LnhtbESPQWvCQBSE7wX/w/KE3upGLbaNbkSUlHrUeOntmX0m&#10;0ezbkN2YtL++Wyj0OMzMN8xqPZha3Kl1lWUF00kEgji3uuJCwSlLn15BOI+ssbZMCr7IwToZPaww&#10;1rbnA92PvhABwi5GBaX3TSyly0sy6Ca2IQ7exbYGfZBtIXWLfYCbWs6iaCENVhwWSmxoW1J+O3ZG&#10;wbmanfD7kL1H5i2d+/2QXbvPnVKP42GzBOFp8P/hv/aHVvDy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S649xQAAANsAAAAPAAAAAAAAAAAAAAAAAJgCAABkcnMv&#10;ZG93bnJldi54bWxQSwUGAAAAAAQABAD1AAAAigMAAAAA&#10;">
                  <v:textbox>
                    <w:txbxContent>
                      <w:p w:rsidR="00EB5B4E" w:rsidRPr="00AD0D2A" w:rsidRDefault="00EB5B4E" w:rsidP="00DB6BE4">
                        <w:pPr>
                          <w:spacing w:after="0" w:line="240" w:lineRule="auto"/>
                          <w:jc w:val="center"/>
                          <w:rPr>
                            <w:rFonts w:ascii="Times New Roman" w:hAnsi="Times New Roman"/>
                            <w:lang w:val="uk-UA"/>
                          </w:rPr>
                        </w:pPr>
                        <w:r>
                          <w:rPr>
                            <w:rFonts w:ascii="Times New Roman" w:hAnsi="Times New Roman"/>
                            <w:lang w:val="uk-UA"/>
                          </w:rPr>
                          <w:t>Інвестор: інвестиційна компанія, банк, підприємство, фізична особа тощо</w:t>
                        </w:r>
                      </w:p>
                    </w:txbxContent>
                  </v:textbox>
                </v:rect>
                <v:shape id="AutoShape 41" o:spid="_x0000_s1066" type="#_x0000_t32" style="position:absolute;left:4245;top:1965;width:0;height:31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42" o:spid="_x0000_s1067" type="#_x0000_t32" style="position:absolute;left:3945;top:1965;width:0;height:17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wNsUAAADbAAAADwAAAGRycy9kb3ducmV2LnhtbESPQWvCQBSE74X+h+UVvNWNHmyNrlIK&#10;FbF4qJGgt0f2mYRm34bdVaO/3hUEj8PMfMNM551pxImcry0rGPQTEMSF1TWXCrbZz/snCB+QNTaW&#10;ScGFPMxnry9TTLU98x+dNqEUEcI+RQVVCG0qpS8qMuj7tiWO3sE6gyFKV0rt8BzhppHDJBlJgzXH&#10;hQpb+q6o+N8cjYLd7/iYX/I1rfLBeLVHZ/w1WyjVe+u+JiACdeEZfrSXWsHHC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wNsUAAADbAAAADwAAAAAAAAAA&#10;AAAAAAChAgAAZHJzL2Rvd25yZXYueG1sUEsFBgAAAAAEAAQA+QAAAJMDAAAAAA==&#10;">
                  <v:stroke endarrow="block"/>
                </v:shape>
                <v:shape id="AutoShape 43" o:spid="_x0000_s1068" type="#_x0000_t32" style="position:absolute;left:3615;top:1965;width:0;height: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44" o:spid="_x0000_s1069" type="#_x0000_t32" style="position:absolute;left:5640;top:1965;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45" o:spid="_x0000_s1070" type="#_x0000_t32" style="position:absolute;left:7005;top:1965;width:0;height:31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AutoShape 46" o:spid="_x0000_s1071" type="#_x0000_t32" style="position:absolute;left:7215;top:1965;width:0;height:17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47" o:spid="_x0000_s1072" type="#_x0000_t32" style="position:absolute;left:7920;top:1965;width:15;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group>
            </w:pict>
          </mc:Fallback>
        </mc:AlternateContent>
      </w:r>
    </w:p>
    <w:p w:rsidR="00AD0D2A" w:rsidRDefault="00AD0D2A" w:rsidP="00313EB1">
      <w:pPr>
        <w:spacing w:after="0" w:line="360" w:lineRule="auto"/>
        <w:ind w:firstLine="709"/>
        <w:jc w:val="both"/>
        <w:rPr>
          <w:rFonts w:ascii="Times New Roman" w:hAnsi="Times New Roman"/>
          <w:sz w:val="28"/>
          <w:szCs w:val="28"/>
          <w:lang w:val="uk-UA"/>
        </w:rPr>
      </w:pPr>
    </w:p>
    <w:p w:rsidR="00AD0D2A" w:rsidRDefault="00AD0D2A" w:rsidP="00313EB1">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DB6BE4">
      <w:pPr>
        <w:spacing w:after="0" w:line="360" w:lineRule="auto"/>
        <w:ind w:firstLine="709"/>
        <w:jc w:val="both"/>
        <w:rPr>
          <w:rFonts w:ascii="Times New Roman" w:hAnsi="Times New Roman"/>
          <w:sz w:val="28"/>
          <w:szCs w:val="28"/>
          <w:lang w:val="uk-UA"/>
        </w:rPr>
      </w:pPr>
    </w:p>
    <w:p w:rsidR="00AD0D2A" w:rsidRDefault="00AD0D2A" w:rsidP="00313EB1">
      <w:pPr>
        <w:spacing w:after="0" w:line="360" w:lineRule="auto"/>
        <w:ind w:firstLine="709"/>
        <w:jc w:val="both"/>
        <w:rPr>
          <w:rFonts w:ascii="Times New Roman" w:hAnsi="Times New Roman"/>
          <w:sz w:val="28"/>
          <w:szCs w:val="28"/>
          <w:lang w:val="uk-UA"/>
        </w:rPr>
      </w:pPr>
    </w:p>
    <w:p w:rsidR="00AD0D2A" w:rsidRDefault="00AD0D2A" w:rsidP="00313EB1">
      <w:pPr>
        <w:spacing w:after="0" w:line="360" w:lineRule="auto"/>
        <w:ind w:firstLine="709"/>
        <w:jc w:val="both"/>
        <w:rPr>
          <w:rFonts w:ascii="Times New Roman" w:hAnsi="Times New Roman"/>
          <w:sz w:val="28"/>
          <w:szCs w:val="28"/>
          <w:lang w:val="uk-UA"/>
        </w:rPr>
      </w:pPr>
    </w:p>
    <w:p w:rsidR="00AD0D2A" w:rsidRDefault="00AD0D2A" w:rsidP="00313EB1">
      <w:pPr>
        <w:spacing w:after="0" w:line="360" w:lineRule="auto"/>
        <w:ind w:firstLine="709"/>
        <w:jc w:val="both"/>
        <w:rPr>
          <w:rFonts w:ascii="Times New Roman" w:hAnsi="Times New Roman"/>
          <w:sz w:val="28"/>
          <w:szCs w:val="28"/>
          <w:lang w:val="uk-UA"/>
        </w:rPr>
      </w:pPr>
    </w:p>
    <w:p w:rsidR="00AD0D2A" w:rsidRDefault="00DB6BE4" w:rsidP="00D1329F">
      <w:pPr>
        <w:keepNext/>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Рис. 1.2. </w:t>
      </w:r>
      <w:r w:rsidRPr="00DB6BE4">
        <w:rPr>
          <w:rFonts w:ascii="Times New Roman" w:hAnsi="Times New Roman"/>
          <w:sz w:val="28"/>
          <w:szCs w:val="28"/>
          <w:lang w:val="uk-UA"/>
        </w:rPr>
        <w:t xml:space="preserve">Види класифікації </w:t>
      </w:r>
      <w:r w:rsidR="00DB1F48">
        <w:rPr>
          <w:rFonts w:ascii="Times New Roman" w:hAnsi="Times New Roman"/>
          <w:sz w:val="28"/>
          <w:szCs w:val="28"/>
          <w:lang w:val="uk-UA"/>
        </w:rPr>
        <w:t>проєк</w:t>
      </w:r>
      <w:r w:rsidRPr="00DB6BE4">
        <w:rPr>
          <w:rFonts w:ascii="Times New Roman" w:hAnsi="Times New Roman"/>
          <w:sz w:val="28"/>
          <w:szCs w:val="28"/>
          <w:lang w:val="uk-UA"/>
        </w:rPr>
        <w:t>тів</w:t>
      </w:r>
      <w:r w:rsidR="00D1329F">
        <w:rPr>
          <w:rFonts w:ascii="Times New Roman" w:hAnsi="Times New Roman"/>
          <w:sz w:val="28"/>
          <w:szCs w:val="28"/>
          <w:lang w:val="uk-UA"/>
        </w:rPr>
        <w:t xml:space="preserve"> з </w:t>
      </w:r>
      <w:r w:rsidR="00D1329F" w:rsidRPr="00AD0D2A">
        <w:rPr>
          <w:rFonts w:ascii="Times New Roman" w:hAnsi="Times New Roman"/>
          <w:sz w:val="28"/>
          <w:szCs w:val="28"/>
          <w:lang w:val="uk-UA"/>
        </w:rPr>
        <w:t>інвестиційної привабливості</w:t>
      </w:r>
    </w:p>
    <w:p w:rsidR="002A16E4" w:rsidRPr="00864B2F" w:rsidRDefault="002A16E4" w:rsidP="002A16E4">
      <w:pPr>
        <w:pStyle w:val="a5"/>
        <w:spacing w:before="0" w:beforeAutospacing="0" w:after="0" w:afterAutospacing="0" w:line="360" w:lineRule="auto"/>
        <w:ind w:left="709"/>
        <w:jc w:val="both"/>
        <w:rPr>
          <w:i/>
          <w:iCs/>
          <w:color w:val="000000"/>
          <w:lang w:val="uk-UA"/>
        </w:rPr>
      </w:pPr>
      <w:r>
        <w:rPr>
          <w:i/>
          <w:iCs/>
          <w:color w:val="000000"/>
          <w:lang w:val="uk-UA"/>
        </w:rPr>
        <w:t>Джерело: розроблено автором</w:t>
      </w:r>
    </w:p>
    <w:p w:rsidR="004009DE" w:rsidRDefault="004009DE" w:rsidP="00313EB1">
      <w:pPr>
        <w:spacing w:after="0" w:line="360" w:lineRule="auto"/>
        <w:ind w:firstLine="709"/>
        <w:jc w:val="both"/>
        <w:rPr>
          <w:rFonts w:ascii="Times New Roman" w:hAnsi="Times New Roman"/>
          <w:sz w:val="28"/>
          <w:szCs w:val="28"/>
          <w:lang w:val="uk-UA"/>
        </w:rPr>
      </w:pPr>
    </w:p>
    <w:p w:rsidR="00012FCD" w:rsidRPr="004009DE" w:rsidRDefault="00012FCD"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Види класифікації </w:t>
      </w:r>
      <w:r w:rsidR="00DB1F48">
        <w:rPr>
          <w:rFonts w:ascii="Times New Roman" w:hAnsi="Times New Roman"/>
          <w:sz w:val="28"/>
          <w:szCs w:val="28"/>
          <w:lang w:val="uk-UA"/>
        </w:rPr>
        <w:t>проєк</w:t>
      </w:r>
      <w:r w:rsidRPr="00313EB1">
        <w:rPr>
          <w:rFonts w:ascii="Times New Roman" w:hAnsi="Times New Roman"/>
          <w:sz w:val="28"/>
          <w:szCs w:val="28"/>
          <w:lang w:val="uk-UA"/>
        </w:rPr>
        <w:t>тів</w:t>
      </w:r>
      <w:r w:rsidR="00D1329F">
        <w:rPr>
          <w:rFonts w:ascii="Times New Roman" w:hAnsi="Times New Roman"/>
          <w:sz w:val="28"/>
          <w:szCs w:val="28"/>
          <w:lang w:val="uk-UA"/>
        </w:rPr>
        <w:t xml:space="preserve"> з </w:t>
      </w:r>
      <w:r w:rsidR="00D1329F" w:rsidRPr="00AD0D2A">
        <w:rPr>
          <w:rFonts w:ascii="Times New Roman" w:hAnsi="Times New Roman"/>
          <w:sz w:val="28"/>
          <w:szCs w:val="28"/>
          <w:lang w:val="uk-UA"/>
        </w:rPr>
        <w:t>інвестиційної привабливості</w:t>
      </w:r>
      <w:r w:rsidR="006633CD">
        <w:rPr>
          <w:rFonts w:ascii="Times New Roman" w:hAnsi="Times New Roman"/>
          <w:sz w:val="28"/>
          <w:szCs w:val="28"/>
          <w:lang w:val="uk-UA"/>
        </w:rPr>
        <w:t>.</w:t>
      </w:r>
      <w:r w:rsidRPr="00313EB1">
        <w:rPr>
          <w:rFonts w:ascii="Times New Roman" w:hAnsi="Times New Roman"/>
          <w:sz w:val="28"/>
          <w:szCs w:val="28"/>
          <w:lang w:val="uk-UA"/>
        </w:rPr>
        <w:t xml:space="preserve"> У багатьох економічно розвинених країнах дуже гостро ставиться питання охорони навколишнього середовища проживання і забезпечення безпеки продукції </w:t>
      </w:r>
      <w:r w:rsidRPr="00313EB1">
        <w:rPr>
          <w:rFonts w:ascii="Times New Roman" w:hAnsi="Times New Roman"/>
          <w:sz w:val="28"/>
          <w:szCs w:val="28"/>
          <w:lang w:val="uk-UA"/>
        </w:rPr>
        <w:lastRenderedPageBreak/>
        <w:t>компаній користувачів і природи (нерідко великі компанії в</w:t>
      </w:r>
      <w:r w:rsidR="006633CD">
        <w:rPr>
          <w:rFonts w:ascii="Times New Roman" w:hAnsi="Times New Roman"/>
          <w:sz w:val="28"/>
          <w:szCs w:val="28"/>
          <w:lang w:val="uk-UA"/>
        </w:rPr>
        <w:t>в</w:t>
      </w:r>
      <w:r w:rsidRPr="00313EB1">
        <w:rPr>
          <w:rFonts w:ascii="Times New Roman" w:hAnsi="Times New Roman"/>
          <w:sz w:val="28"/>
          <w:szCs w:val="28"/>
          <w:lang w:val="uk-UA"/>
        </w:rPr>
        <w:t>одять у аналітичні розділи річних звітів відповідну інформацію про капітальн</w:t>
      </w:r>
      <w:r w:rsidR="006633CD">
        <w:rPr>
          <w:rFonts w:ascii="Times New Roman" w:hAnsi="Times New Roman"/>
          <w:sz w:val="28"/>
          <w:szCs w:val="28"/>
          <w:lang w:val="uk-UA"/>
        </w:rPr>
        <w:t>і</w:t>
      </w:r>
      <w:r w:rsidRPr="00313EB1">
        <w:rPr>
          <w:rFonts w:ascii="Times New Roman" w:hAnsi="Times New Roman"/>
          <w:sz w:val="28"/>
          <w:szCs w:val="28"/>
          <w:lang w:val="uk-UA"/>
        </w:rPr>
        <w:t xml:space="preserve"> </w:t>
      </w:r>
      <w:r w:rsidR="006633CD">
        <w:rPr>
          <w:rFonts w:ascii="Times New Roman" w:hAnsi="Times New Roman"/>
          <w:sz w:val="28"/>
          <w:szCs w:val="28"/>
          <w:lang w:val="uk-UA"/>
        </w:rPr>
        <w:t>й</w:t>
      </w:r>
      <w:r w:rsidRPr="00313EB1">
        <w:rPr>
          <w:rFonts w:ascii="Times New Roman" w:hAnsi="Times New Roman"/>
          <w:sz w:val="28"/>
          <w:szCs w:val="28"/>
          <w:lang w:val="uk-UA"/>
        </w:rPr>
        <w:t xml:space="preserve"> експлуатаційн</w:t>
      </w:r>
      <w:r w:rsidR="006633CD">
        <w:rPr>
          <w:rFonts w:ascii="Times New Roman" w:hAnsi="Times New Roman"/>
          <w:sz w:val="28"/>
          <w:szCs w:val="28"/>
          <w:lang w:val="uk-UA"/>
        </w:rPr>
        <w:t>і</w:t>
      </w:r>
      <w:r w:rsidRPr="00313EB1">
        <w:rPr>
          <w:rFonts w:ascii="Times New Roman" w:hAnsi="Times New Roman"/>
          <w:sz w:val="28"/>
          <w:szCs w:val="28"/>
          <w:lang w:val="uk-UA"/>
        </w:rPr>
        <w:t xml:space="preserve"> витрат</w:t>
      </w:r>
      <w:r w:rsidR="006633CD">
        <w:rPr>
          <w:rFonts w:ascii="Times New Roman" w:hAnsi="Times New Roman"/>
          <w:sz w:val="28"/>
          <w:szCs w:val="28"/>
          <w:lang w:val="uk-UA"/>
        </w:rPr>
        <w:t>и</w:t>
      </w:r>
      <w:r w:rsidRPr="00313EB1">
        <w:rPr>
          <w:rFonts w:ascii="Times New Roman" w:hAnsi="Times New Roman"/>
          <w:sz w:val="28"/>
          <w:szCs w:val="28"/>
          <w:lang w:val="uk-UA"/>
        </w:rPr>
        <w:t xml:space="preserve"> у цьому напрямі). У цьому випадку традиційні критерії оцінки доцільності ухвалення </w:t>
      </w:r>
      <w:r w:rsidR="00DB1F48">
        <w:rPr>
          <w:rFonts w:ascii="Times New Roman" w:hAnsi="Times New Roman"/>
          <w:sz w:val="28"/>
          <w:szCs w:val="28"/>
          <w:lang w:val="uk-UA"/>
        </w:rPr>
        <w:t>проєк</w:t>
      </w:r>
      <w:r w:rsidRPr="00313EB1">
        <w:rPr>
          <w:rFonts w:ascii="Times New Roman" w:hAnsi="Times New Roman"/>
          <w:sz w:val="28"/>
          <w:szCs w:val="28"/>
          <w:lang w:val="uk-UA"/>
        </w:rPr>
        <w:t>ту, засновані на формалізованих алгоритмах, можуть поступатися місцем неформалізованим критеріям</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w:t>
      </w:r>
      <w:r w:rsidRPr="004009DE">
        <w:rPr>
          <w:rFonts w:ascii="Times New Roman" w:eastAsia="Times New Roman" w:hAnsi="Times New Roman"/>
          <w:sz w:val="28"/>
          <w:szCs w:val="28"/>
          <w:lang w:val="uk-UA"/>
        </w:rPr>
        <w:t>177]</w:t>
      </w:r>
      <w:r w:rsidR="004009DE" w:rsidRPr="004009DE">
        <w:rPr>
          <w:rFonts w:ascii="Times New Roman" w:hAnsi="Times New Roman"/>
          <w:sz w:val="28"/>
          <w:szCs w:val="28"/>
          <w:lang w:val="uk-UA"/>
        </w:rPr>
        <w:t>.</w:t>
      </w:r>
    </w:p>
    <w:p w:rsidR="00FC4ABE" w:rsidRDefault="00012FCD" w:rsidP="00FC4AB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Кожен </w:t>
      </w:r>
      <w:r w:rsidR="00DB1F48">
        <w:rPr>
          <w:rFonts w:ascii="Times New Roman" w:hAnsi="Times New Roman"/>
          <w:sz w:val="28"/>
          <w:szCs w:val="28"/>
          <w:lang w:val="uk-UA"/>
        </w:rPr>
        <w:t>проєк</w:t>
      </w:r>
      <w:r w:rsidRPr="00313EB1">
        <w:rPr>
          <w:rFonts w:ascii="Times New Roman" w:hAnsi="Times New Roman"/>
          <w:sz w:val="28"/>
          <w:szCs w:val="28"/>
          <w:lang w:val="uk-UA"/>
        </w:rPr>
        <w:t>т</w:t>
      </w:r>
      <w:r w:rsidR="00D1329F">
        <w:rPr>
          <w:rFonts w:ascii="Times New Roman" w:hAnsi="Times New Roman"/>
          <w:sz w:val="28"/>
          <w:szCs w:val="28"/>
          <w:lang w:val="uk-UA"/>
        </w:rPr>
        <w:t xml:space="preserve"> з </w:t>
      </w:r>
      <w:r w:rsidR="00D1329F" w:rsidRPr="00AD0D2A">
        <w:rPr>
          <w:rFonts w:ascii="Times New Roman" w:hAnsi="Times New Roman"/>
          <w:sz w:val="28"/>
          <w:szCs w:val="28"/>
          <w:lang w:val="uk-UA"/>
        </w:rPr>
        <w:t>інвестиційної привабливості</w:t>
      </w:r>
      <w:r w:rsidR="006633CD">
        <w:rPr>
          <w:rFonts w:ascii="Times New Roman" w:hAnsi="Times New Roman"/>
          <w:sz w:val="28"/>
          <w:szCs w:val="28"/>
          <w:lang w:val="uk-UA"/>
        </w:rPr>
        <w:t>,</w:t>
      </w:r>
      <w:r w:rsidRPr="00313EB1">
        <w:rPr>
          <w:rFonts w:ascii="Times New Roman" w:hAnsi="Times New Roman"/>
          <w:sz w:val="28"/>
          <w:szCs w:val="28"/>
          <w:lang w:val="uk-UA"/>
        </w:rPr>
        <w:t xml:space="preserve"> незалежно від його складності та обсягу робіт</w:t>
      </w:r>
      <w:r w:rsidR="006633CD">
        <w:rPr>
          <w:rFonts w:ascii="Times New Roman" w:hAnsi="Times New Roman"/>
          <w:sz w:val="28"/>
          <w:szCs w:val="28"/>
          <w:lang w:val="uk-UA"/>
        </w:rPr>
        <w:t>,</w:t>
      </w:r>
      <w:r w:rsidRPr="00313EB1">
        <w:rPr>
          <w:rFonts w:ascii="Times New Roman" w:hAnsi="Times New Roman"/>
          <w:sz w:val="28"/>
          <w:szCs w:val="28"/>
          <w:lang w:val="uk-UA"/>
        </w:rPr>
        <w:t xml:space="preserve"> є об'єктом управління протягом усього життєвого циклу. Життєвий цикл прийнято поділяти на фази (стадії, етапи). Традиційно виділяють три часових складових або фази </w:t>
      </w:r>
      <w:r w:rsidR="00D1329F"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(передінвестиційну, інвестиційну та фазу експлуатації), кожна з яких включає низку стадій, що поділяються на етапи, які показані в таблиці С.1 (додаток С). </w:t>
      </w:r>
    </w:p>
    <w:p w:rsidR="004009DE" w:rsidRPr="00313EB1" w:rsidRDefault="004009DE" w:rsidP="004009D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Однак, чітку межу між фазами, стадіями та етапами провести досить складно. У передінвестиційній фазі, наприклад, виконуються кілька паралельних видів діяльності, які частково поширюються </w:t>
      </w:r>
      <w:r>
        <w:rPr>
          <w:rFonts w:ascii="Times New Roman" w:hAnsi="Times New Roman"/>
          <w:sz w:val="28"/>
          <w:szCs w:val="28"/>
          <w:lang w:val="uk-UA"/>
        </w:rPr>
        <w:t>як</w:t>
      </w:r>
      <w:r w:rsidRPr="00313EB1">
        <w:rPr>
          <w:rFonts w:ascii="Times New Roman" w:hAnsi="Times New Roman"/>
          <w:sz w:val="28"/>
          <w:szCs w:val="28"/>
          <w:lang w:val="uk-UA"/>
        </w:rPr>
        <w:t xml:space="preserve"> </w:t>
      </w:r>
      <w:r>
        <w:rPr>
          <w:rFonts w:ascii="Times New Roman" w:hAnsi="Times New Roman"/>
          <w:sz w:val="28"/>
          <w:szCs w:val="28"/>
          <w:lang w:val="uk-UA"/>
        </w:rPr>
        <w:t xml:space="preserve">на </w:t>
      </w:r>
      <w:r w:rsidRPr="00313EB1">
        <w:rPr>
          <w:rFonts w:ascii="Times New Roman" w:hAnsi="Times New Roman"/>
          <w:sz w:val="28"/>
          <w:szCs w:val="28"/>
          <w:lang w:val="uk-UA"/>
        </w:rPr>
        <w:t>наступну</w:t>
      </w:r>
      <w:r>
        <w:rPr>
          <w:rFonts w:ascii="Times New Roman" w:hAnsi="Times New Roman"/>
          <w:sz w:val="28"/>
          <w:szCs w:val="28"/>
          <w:lang w:val="uk-UA"/>
        </w:rPr>
        <w:t xml:space="preserve"> – </w:t>
      </w:r>
      <w:r w:rsidRPr="00313EB1">
        <w:rPr>
          <w:rFonts w:ascii="Times New Roman" w:hAnsi="Times New Roman"/>
          <w:sz w:val="28"/>
          <w:szCs w:val="28"/>
          <w:lang w:val="uk-UA"/>
        </w:rPr>
        <w:t>інвестиційну фазу, та</w:t>
      </w:r>
      <w:r>
        <w:rPr>
          <w:rFonts w:ascii="Times New Roman" w:hAnsi="Times New Roman"/>
          <w:sz w:val="28"/>
          <w:szCs w:val="28"/>
          <w:lang w:val="uk-UA"/>
        </w:rPr>
        <w:t>к</w:t>
      </w:r>
      <w:r w:rsidRPr="00313EB1">
        <w:rPr>
          <w:rFonts w:ascii="Times New Roman" w:hAnsi="Times New Roman"/>
          <w:sz w:val="28"/>
          <w:szCs w:val="28"/>
          <w:lang w:val="uk-UA"/>
        </w:rPr>
        <w:t xml:space="preserve"> і </w:t>
      </w:r>
      <w:r>
        <w:rPr>
          <w:rFonts w:ascii="Times New Roman" w:hAnsi="Times New Roman"/>
          <w:sz w:val="28"/>
          <w:szCs w:val="28"/>
          <w:lang w:val="uk-UA"/>
        </w:rPr>
        <w:t xml:space="preserve">на </w:t>
      </w:r>
      <w:r w:rsidRPr="00313EB1">
        <w:rPr>
          <w:rFonts w:ascii="Times New Roman" w:hAnsi="Times New Roman"/>
          <w:sz w:val="28"/>
          <w:szCs w:val="28"/>
          <w:lang w:val="uk-UA"/>
        </w:rPr>
        <w:t>експлуатаційну.</w:t>
      </w:r>
    </w:p>
    <w:p w:rsidR="006633CD" w:rsidRPr="00313EB1" w:rsidRDefault="006633CD" w:rsidP="006633CD">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Аналіз теоретичних джерел та конкретних </w:t>
      </w:r>
      <w:r>
        <w:rPr>
          <w:rFonts w:ascii="Times New Roman" w:hAnsi="Times New Roman"/>
          <w:sz w:val="28"/>
          <w:szCs w:val="28"/>
          <w:lang w:val="uk-UA"/>
        </w:rPr>
        <w:t>проєк</w:t>
      </w:r>
      <w:r w:rsidRPr="00313EB1">
        <w:rPr>
          <w:rFonts w:ascii="Times New Roman" w:hAnsi="Times New Roman"/>
          <w:sz w:val="28"/>
          <w:szCs w:val="28"/>
          <w:lang w:val="uk-UA"/>
        </w:rPr>
        <w:t xml:space="preserve">тів показує, що незважаючи на численність проблем та завдань в інвестиційному циклі, основне значення має передінвестиційна фаза підготовки та оцінки </w:t>
      </w:r>
      <w:r w:rsidR="00D1329F" w:rsidRPr="00AD0D2A">
        <w:rPr>
          <w:rFonts w:ascii="Times New Roman" w:hAnsi="Times New Roman"/>
          <w:sz w:val="28"/>
          <w:szCs w:val="28"/>
          <w:lang w:val="uk-UA"/>
        </w:rPr>
        <w:t>інвестиційної привабливості</w:t>
      </w:r>
      <w:r w:rsidRPr="00163622">
        <w:rPr>
          <w:rFonts w:ascii="Times New Roman" w:hAnsi="Times New Roman"/>
          <w:sz w:val="28"/>
          <w:szCs w:val="28"/>
          <w:lang w:val="uk-UA"/>
        </w:rPr>
        <w:t xml:space="preserve"> </w:t>
      </w:r>
      <w:r w:rsidRPr="00163622">
        <w:rPr>
          <w:rFonts w:ascii="Times New Roman" w:eastAsia="Times New Roman" w:hAnsi="Times New Roman"/>
          <w:sz w:val="28"/>
          <w:szCs w:val="28"/>
          <w:lang w:val="uk-UA"/>
        </w:rPr>
        <w:t>[64, c. 33]</w:t>
      </w:r>
      <w:r w:rsidRPr="00313EB1">
        <w:rPr>
          <w:rFonts w:ascii="Times New Roman" w:hAnsi="Times New Roman"/>
          <w:sz w:val="28"/>
          <w:szCs w:val="28"/>
          <w:lang w:val="uk-UA"/>
        </w:rPr>
        <w:t>. Саме на цій фазі ставиться завдання – зменшити втрати обмежених ресурсів, використовувати виділені ресурси з максимальною ефективністю.</w:t>
      </w:r>
    </w:p>
    <w:p w:rsidR="00625D39" w:rsidRPr="004009DE" w:rsidRDefault="005670E0" w:rsidP="004009DE">
      <w:pPr>
        <w:spacing w:after="0" w:line="360" w:lineRule="auto"/>
        <w:ind w:firstLine="709"/>
        <w:jc w:val="both"/>
        <w:rPr>
          <w:rFonts w:ascii="Times New Roman" w:hAnsi="Times New Roman"/>
          <w:sz w:val="28"/>
          <w:szCs w:val="28"/>
          <w:lang w:val="uk-UA"/>
        </w:rPr>
      </w:pPr>
      <w:r w:rsidRPr="004009DE">
        <w:rPr>
          <w:rFonts w:ascii="Times New Roman" w:hAnsi="Times New Roman"/>
          <w:sz w:val="28"/>
          <w:szCs w:val="28"/>
          <w:lang w:val="uk-UA"/>
        </w:rPr>
        <w:t xml:space="preserve">Галузеву специфіку такого переходу підтверджують дослідження європейських аграрних і харчових компаній. M. Cristea та співавтори показують неоднаковий вплив екологічних, соціальних і управлінських чинників на фінансові результати агропідприємств </w:t>
      </w:r>
      <w:r w:rsidRPr="004009DE">
        <w:rPr>
          <w:rFonts w:ascii="Times New Roman" w:eastAsia="Times New Roman" w:hAnsi="Times New Roman"/>
          <w:sz w:val="28"/>
          <w:szCs w:val="28"/>
          <w:lang w:val="uk-UA"/>
        </w:rPr>
        <w:t>[170]</w:t>
      </w:r>
      <w:r w:rsidRPr="004009DE">
        <w:rPr>
          <w:rFonts w:ascii="Times New Roman" w:hAnsi="Times New Roman"/>
          <w:sz w:val="28"/>
          <w:szCs w:val="28"/>
          <w:lang w:val="uk-UA"/>
        </w:rPr>
        <w:t xml:space="preserve">. O. Boiral та співавтори за результатами вивчення звітності агропродовольчих компаній наголошують на різнорідності ESG-ризиків та нерівномірності їх розкриття </w:t>
      </w:r>
      <w:r w:rsidRPr="004009DE">
        <w:rPr>
          <w:rFonts w:ascii="Times New Roman" w:eastAsia="Times New Roman" w:hAnsi="Times New Roman"/>
          <w:sz w:val="28"/>
          <w:szCs w:val="28"/>
          <w:lang w:val="uk-UA"/>
        </w:rPr>
        <w:t>[167]</w:t>
      </w:r>
      <w:r w:rsidRPr="004009DE">
        <w:rPr>
          <w:rFonts w:ascii="Times New Roman" w:hAnsi="Times New Roman"/>
          <w:sz w:val="28"/>
          <w:szCs w:val="28"/>
          <w:lang w:val="uk-UA"/>
        </w:rPr>
        <w:t xml:space="preserve">. Ці висновки обґрунтовують необхідність спільного аналізу </w:t>
      </w:r>
      <w:r w:rsidRPr="004009DE">
        <w:rPr>
          <w:rFonts w:ascii="Times New Roman" w:hAnsi="Times New Roman"/>
          <w:sz w:val="28"/>
          <w:szCs w:val="28"/>
          <w:lang w:val="uk-UA"/>
        </w:rPr>
        <w:lastRenderedPageBreak/>
        <w:t>фінансового стану, виробничої ефективності, якості управління та зовнішніх ризиків для сільськогосподарських підприємств</w:t>
      </w:r>
      <w:r w:rsidR="004009DE" w:rsidRPr="004009DE">
        <w:rPr>
          <w:rFonts w:ascii="Times New Roman" w:hAnsi="Times New Roman"/>
          <w:sz w:val="28"/>
          <w:szCs w:val="28"/>
          <w:lang w:val="uk-UA"/>
        </w:rPr>
        <w:t xml:space="preserve"> </w:t>
      </w:r>
      <w:r w:rsidR="004009DE" w:rsidRPr="004009DE">
        <w:rPr>
          <w:rFonts w:ascii="Times New Roman" w:eastAsia="Times New Roman" w:hAnsi="Times New Roman"/>
          <w:sz w:val="28"/>
          <w:szCs w:val="28"/>
          <w:lang w:val="uk-UA"/>
        </w:rPr>
        <w:t>[181]</w:t>
      </w:r>
      <w:r w:rsidR="004009DE">
        <w:rPr>
          <w:rFonts w:ascii="Times New Roman" w:hAnsi="Times New Roman"/>
          <w:sz w:val="28"/>
          <w:szCs w:val="28"/>
          <w:lang w:val="uk-UA"/>
        </w:rPr>
        <w:t>.</w:t>
      </w:r>
    </w:p>
    <w:p w:rsidR="006633CD" w:rsidRPr="00313EB1" w:rsidRDefault="006633CD" w:rsidP="006633CD">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Таким чином, все зводиться не тільки до оцінки </w:t>
      </w:r>
      <w:r w:rsidR="002874E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але й до проведення комплексного аналізу, що фіксує масштаби витрат, віддачу цих витрат і часу, необхідного для повного циклу </w:t>
      </w:r>
      <w:r w:rsidR="002874E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економічного аналізу</w:t>
      </w:r>
      <w:r>
        <w:rPr>
          <w:rFonts w:ascii="Times New Roman" w:hAnsi="Times New Roman"/>
          <w:sz w:val="28"/>
          <w:szCs w:val="28"/>
          <w:lang w:val="uk-UA"/>
        </w:rPr>
        <w:t xml:space="preserve"> – </w:t>
      </w:r>
      <w:r w:rsidRPr="00313EB1">
        <w:rPr>
          <w:rFonts w:ascii="Times New Roman" w:hAnsi="Times New Roman"/>
          <w:sz w:val="28"/>
          <w:szCs w:val="28"/>
          <w:lang w:val="uk-UA"/>
        </w:rPr>
        <w:t>пошуку та виявлення оптимальних для витрат, максимального прибутку при мінімальних термінах. У той самий час вирішення цих завдань неспроможн</w:t>
      </w:r>
      <w:r>
        <w:rPr>
          <w:rFonts w:ascii="Times New Roman" w:hAnsi="Times New Roman"/>
          <w:sz w:val="28"/>
          <w:szCs w:val="28"/>
          <w:lang w:val="uk-UA"/>
        </w:rPr>
        <w:t>е</w:t>
      </w:r>
      <w:r w:rsidRPr="00313EB1">
        <w:rPr>
          <w:rFonts w:ascii="Times New Roman" w:hAnsi="Times New Roman"/>
          <w:sz w:val="28"/>
          <w:szCs w:val="28"/>
          <w:lang w:val="uk-UA"/>
        </w:rPr>
        <w:t xml:space="preserve"> суперечити якості </w:t>
      </w:r>
      <w:r w:rsidR="002874E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і шкодити його соціальним характеристикам.</w:t>
      </w:r>
    </w:p>
    <w:p w:rsidR="002B4307" w:rsidRPr="00313EB1" w:rsidRDefault="002B4307"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Передінвестиційна фаза</w:t>
      </w:r>
      <w:r w:rsidR="002C2FE5">
        <w:rPr>
          <w:rFonts w:ascii="Times New Roman" w:hAnsi="Times New Roman"/>
          <w:sz w:val="28"/>
          <w:szCs w:val="28"/>
          <w:lang w:val="uk-UA"/>
        </w:rPr>
        <w:t>,</w:t>
      </w:r>
      <w:r w:rsidRPr="00313EB1">
        <w:rPr>
          <w:rFonts w:ascii="Times New Roman" w:hAnsi="Times New Roman"/>
          <w:sz w:val="28"/>
          <w:szCs w:val="28"/>
          <w:lang w:val="uk-UA"/>
        </w:rPr>
        <w:t xml:space="preserve"> на думку низки дослідників</w:t>
      </w:r>
      <w:r w:rsidR="0055241F">
        <w:rPr>
          <w:rFonts w:ascii="Times New Roman" w:hAnsi="Times New Roman"/>
          <w:sz w:val="28"/>
          <w:szCs w:val="28"/>
          <w:lang w:val="uk-UA"/>
        </w:rPr>
        <w:t>,</w:t>
      </w:r>
      <w:r w:rsidRPr="00313EB1">
        <w:rPr>
          <w:rFonts w:ascii="Times New Roman" w:hAnsi="Times New Roman"/>
          <w:sz w:val="28"/>
          <w:szCs w:val="28"/>
          <w:lang w:val="uk-UA"/>
        </w:rPr>
        <w:t xml:space="preserve"> містить кілька стадій, але у конкретному </w:t>
      </w:r>
      <w:r w:rsidR="00DB1F48">
        <w:rPr>
          <w:rFonts w:ascii="Times New Roman" w:hAnsi="Times New Roman"/>
          <w:sz w:val="28"/>
          <w:szCs w:val="28"/>
          <w:lang w:val="uk-UA"/>
        </w:rPr>
        <w:t>проєк</w:t>
      </w:r>
      <w:r w:rsidRPr="00313EB1">
        <w:rPr>
          <w:rFonts w:ascii="Times New Roman" w:hAnsi="Times New Roman"/>
          <w:sz w:val="28"/>
          <w:szCs w:val="28"/>
          <w:lang w:val="uk-UA"/>
        </w:rPr>
        <w:t>ті</w:t>
      </w:r>
      <w:r w:rsidR="00DB1F48">
        <w:rPr>
          <w:rFonts w:ascii="Times New Roman" w:hAnsi="Times New Roman"/>
          <w:sz w:val="28"/>
          <w:szCs w:val="28"/>
          <w:lang w:val="uk-UA"/>
        </w:rPr>
        <w:t xml:space="preserve"> – </w:t>
      </w:r>
      <w:r w:rsidRPr="00313EB1">
        <w:rPr>
          <w:rFonts w:ascii="Times New Roman" w:hAnsi="Times New Roman"/>
          <w:sz w:val="28"/>
          <w:szCs w:val="28"/>
          <w:lang w:val="uk-UA"/>
        </w:rPr>
        <w:t xml:space="preserve">необов'язково </w:t>
      </w:r>
      <w:r w:rsidR="006003BB">
        <w:rPr>
          <w:rFonts w:ascii="Times New Roman" w:hAnsi="Times New Roman"/>
          <w:sz w:val="28"/>
          <w:szCs w:val="28"/>
          <w:lang w:val="uk-UA"/>
        </w:rPr>
        <w:t>в</w:t>
      </w:r>
      <w:r w:rsidRPr="00313EB1">
        <w:rPr>
          <w:rFonts w:ascii="Times New Roman" w:hAnsi="Times New Roman"/>
          <w:sz w:val="28"/>
          <w:szCs w:val="28"/>
          <w:lang w:val="uk-UA"/>
        </w:rPr>
        <w:t xml:space="preserve"> їх складі, з різними пріоритетами і ступенем опрацювання.</w:t>
      </w:r>
    </w:p>
    <w:p w:rsidR="00FC4ABE" w:rsidRDefault="002B4307" w:rsidP="00FC4AB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До цих стадій відносяться:</w:t>
      </w:r>
    </w:p>
    <w:p w:rsidR="00FC4ABE" w:rsidRDefault="00FC4ABE" w:rsidP="00FC4AB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2B4307" w:rsidRPr="00313EB1">
        <w:rPr>
          <w:rFonts w:ascii="Times New Roman" w:hAnsi="Times New Roman"/>
          <w:sz w:val="28"/>
          <w:szCs w:val="28"/>
          <w:lang w:val="uk-UA"/>
        </w:rPr>
        <w:t>визначення, дослідження та аналіз інвестиційних можливостей;</w:t>
      </w:r>
    </w:p>
    <w:p w:rsidR="002B4307" w:rsidRPr="008E1967" w:rsidRDefault="00FC4ABE" w:rsidP="00FC4ABE">
      <w:pPr>
        <w:spacing w:after="0" w:line="360" w:lineRule="auto"/>
        <w:ind w:firstLine="709"/>
        <w:jc w:val="both"/>
        <w:rPr>
          <w:rFonts w:ascii="Times New Roman" w:hAnsi="Times New Roman"/>
          <w:sz w:val="28"/>
          <w:szCs w:val="28"/>
          <w:lang w:val="uk-UA"/>
        </w:rPr>
      </w:pPr>
      <w:r w:rsidRPr="00FC4ABE">
        <w:rPr>
          <w:rFonts w:ascii="Times New Roman" w:hAnsi="Times New Roman"/>
          <w:sz w:val="28"/>
          <w:szCs w:val="28"/>
          <w:lang w:val="uk-UA"/>
        </w:rPr>
        <w:t>–</w:t>
      </w:r>
      <w:r>
        <w:rPr>
          <w:rFonts w:ascii="Times New Roman" w:hAnsi="Times New Roman"/>
          <w:sz w:val="28"/>
          <w:szCs w:val="28"/>
          <w:lang w:val="uk-UA"/>
        </w:rPr>
        <w:t> </w:t>
      </w:r>
      <w:r w:rsidR="002B4307" w:rsidRPr="00313EB1">
        <w:rPr>
          <w:rFonts w:ascii="Times New Roman" w:hAnsi="Times New Roman"/>
          <w:sz w:val="28"/>
          <w:szCs w:val="28"/>
          <w:lang w:val="uk-UA"/>
        </w:rPr>
        <w:t xml:space="preserve">аналіз альтернативних варіантів </w:t>
      </w:r>
      <w:r w:rsidR="002874E3"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з економічних, будівельних та функціональних характеристик та на їх основі попередній вибір </w:t>
      </w:r>
      <w:r w:rsidR="002874E3"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(іноді ця стадія називається </w:t>
      </w:r>
      <w:r w:rsidR="00313EB1">
        <w:rPr>
          <w:rFonts w:ascii="Times New Roman" w:hAnsi="Times New Roman"/>
          <w:sz w:val="28"/>
          <w:szCs w:val="28"/>
          <w:lang w:val="uk-UA"/>
        </w:rPr>
        <w:t xml:space="preserve"> </w:t>
      </w:r>
      <w:r w:rsidR="002B4307" w:rsidRPr="00313EB1">
        <w:rPr>
          <w:rFonts w:ascii="Times New Roman" w:hAnsi="Times New Roman"/>
          <w:sz w:val="28"/>
          <w:szCs w:val="28"/>
          <w:lang w:val="uk-UA"/>
        </w:rPr>
        <w:t xml:space="preserve">формулюванням </w:t>
      </w:r>
      <w:r w:rsidR="002874E3" w:rsidRPr="00AD0D2A">
        <w:rPr>
          <w:rFonts w:ascii="Times New Roman" w:hAnsi="Times New Roman"/>
          <w:sz w:val="28"/>
          <w:szCs w:val="28"/>
          <w:lang w:val="uk-UA"/>
        </w:rPr>
        <w:t xml:space="preserve">інвестиційної привабливості </w:t>
      </w:r>
      <w:r w:rsidR="002B4307" w:rsidRPr="00313EB1">
        <w:rPr>
          <w:rFonts w:ascii="Times New Roman" w:hAnsi="Times New Roman"/>
          <w:sz w:val="28"/>
          <w:szCs w:val="28"/>
          <w:lang w:val="uk-UA"/>
        </w:rPr>
        <w:t>у)</w:t>
      </w:r>
      <w:r w:rsidR="00DB1F48">
        <w:rPr>
          <w:rFonts w:ascii="Times New Roman" w:hAnsi="Times New Roman"/>
          <w:sz w:val="28"/>
          <w:szCs w:val="28"/>
          <w:lang w:val="uk-UA"/>
        </w:rPr>
        <w:t xml:space="preserve"> </w:t>
      </w:r>
      <w:r w:rsidR="00DB1F48" w:rsidRPr="008E1967">
        <w:rPr>
          <w:rFonts w:ascii="Times New Roman" w:hAnsi="Times New Roman"/>
          <w:sz w:val="28"/>
          <w:szCs w:val="28"/>
          <w:lang w:val="uk-UA"/>
        </w:rPr>
        <w:t xml:space="preserve">– </w:t>
      </w:r>
      <w:r w:rsidR="002B4307" w:rsidRPr="008E1967">
        <w:rPr>
          <w:rFonts w:ascii="Times New Roman" w:hAnsi="Times New Roman"/>
          <w:sz w:val="28"/>
          <w:szCs w:val="28"/>
          <w:lang w:val="uk-UA"/>
        </w:rPr>
        <w:t>попереднє техніко-економічне обґрунтування (ПТЕО) та техніко-економічне обґрунтування (ТЕО);</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розробка бізнес-плану </w:t>
      </w:r>
      <w:r w:rsidR="002874E3"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висновок щодо </w:t>
      </w:r>
      <w:r w:rsidR="00DB1F48">
        <w:rPr>
          <w:rFonts w:ascii="Times New Roman" w:hAnsi="Times New Roman"/>
          <w:sz w:val="28"/>
          <w:szCs w:val="28"/>
          <w:lang w:val="uk-UA"/>
        </w:rPr>
        <w:t>проєк</w:t>
      </w:r>
      <w:r w:rsidR="002B4307" w:rsidRPr="00313EB1">
        <w:rPr>
          <w:rFonts w:ascii="Times New Roman" w:hAnsi="Times New Roman"/>
          <w:sz w:val="28"/>
          <w:szCs w:val="28"/>
          <w:lang w:val="uk-UA"/>
        </w:rPr>
        <w:t>ту та рішення про інвестування (оцінний висновок</w:t>
      </w:r>
      <w:r w:rsidR="0055241F">
        <w:rPr>
          <w:rFonts w:ascii="Times New Roman" w:hAnsi="Times New Roman"/>
          <w:sz w:val="28"/>
          <w:szCs w:val="28"/>
          <w:lang w:val="uk-UA"/>
        </w:rPr>
        <w:t>)</w:t>
      </w:r>
      <w:r w:rsidR="002B4307" w:rsidRPr="00313EB1">
        <w:rPr>
          <w:rFonts w:ascii="Times New Roman" w:hAnsi="Times New Roman"/>
          <w:sz w:val="28"/>
          <w:szCs w:val="28"/>
          <w:lang w:val="uk-UA"/>
        </w:rPr>
        <w:t>.</w:t>
      </w:r>
    </w:p>
    <w:p w:rsidR="002B4307" w:rsidRPr="00313EB1" w:rsidRDefault="00816BAD"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У</w:t>
      </w:r>
      <w:r w:rsidR="002B4307" w:rsidRPr="00313EB1">
        <w:rPr>
          <w:rFonts w:ascii="Times New Roman" w:hAnsi="Times New Roman"/>
          <w:sz w:val="28"/>
          <w:szCs w:val="28"/>
          <w:lang w:val="uk-UA"/>
        </w:rPr>
        <w:t xml:space="preserve"> рамках інвестиційної фази доцільн</w:t>
      </w:r>
      <w:r w:rsidR="0055241F">
        <w:rPr>
          <w:rFonts w:ascii="Times New Roman" w:hAnsi="Times New Roman"/>
          <w:sz w:val="28"/>
          <w:szCs w:val="28"/>
          <w:lang w:val="uk-UA"/>
        </w:rPr>
        <w:t>им є</w:t>
      </w:r>
      <w:r w:rsidR="002B4307" w:rsidRPr="00313EB1">
        <w:rPr>
          <w:rFonts w:ascii="Times New Roman" w:hAnsi="Times New Roman"/>
          <w:sz w:val="28"/>
          <w:szCs w:val="28"/>
          <w:lang w:val="uk-UA"/>
        </w:rPr>
        <w:t xml:space="preserve"> виділення двох етапів:</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етап формування концепції та розробки </w:t>
      </w:r>
      <w:r w:rsidR="002874E3"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що включає дослідження можливостей </w:t>
      </w:r>
      <w:r w:rsidR="002874E3" w:rsidRPr="00AD0D2A">
        <w:rPr>
          <w:rFonts w:ascii="Times New Roman" w:hAnsi="Times New Roman"/>
          <w:sz w:val="28"/>
          <w:szCs w:val="28"/>
          <w:lang w:val="uk-UA"/>
        </w:rPr>
        <w:t xml:space="preserve">інвестиційної </w:t>
      </w:r>
      <w:r w:rsidR="002874E3" w:rsidRPr="00816BAD">
        <w:rPr>
          <w:rFonts w:ascii="Times New Roman" w:hAnsi="Times New Roman"/>
          <w:sz w:val="28"/>
          <w:szCs w:val="28"/>
          <w:lang w:val="uk-UA"/>
        </w:rPr>
        <w:t xml:space="preserve">привабливості </w:t>
      </w:r>
      <w:r w:rsidR="002B4307" w:rsidRPr="00816BAD">
        <w:rPr>
          <w:rFonts w:ascii="Times New Roman" w:hAnsi="Times New Roman"/>
          <w:sz w:val="28"/>
          <w:szCs w:val="28"/>
          <w:lang w:val="uk-UA"/>
        </w:rPr>
        <w:t xml:space="preserve">(стадія 1.1 в </w:t>
      </w:r>
      <w:r w:rsidR="003C0A2F" w:rsidRPr="00816BAD">
        <w:rPr>
          <w:rFonts w:ascii="Times New Roman" w:hAnsi="Times New Roman"/>
          <w:sz w:val="28"/>
          <w:szCs w:val="28"/>
          <w:lang w:val="uk-UA"/>
        </w:rPr>
        <w:t>таблиці С.1 (додаток С)</w:t>
      </w:r>
      <w:r w:rsidR="002B4307" w:rsidRPr="00816BAD">
        <w:rPr>
          <w:rFonts w:ascii="Times New Roman" w:hAnsi="Times New Roman"/>
          <w:sz w:val="28"/>
          <w:szCs w:val="28"/>
          <w:lang w:val="uk-UA"/>
        </w:rPr>
        <w:t>), а так само підготовку ПТЕО (етап 2.1. в таблиці С.1 (додаток С)</w:t>
      </w:r>
      <w:r w:rsidR="002B4307" w:rsidRPr="003C0A2F">
        <w:rPr>
          <w:rFonts w:ascii="Times New Roman" w:hAnsi="Times New Roman"/>
          <w:sz w:val="28"/>
          <w:szCs w:val="28"/>
          <w:lang w:val="uk-UA"/>
        </w:rPr>
        <w:t>). Саме н</w:t>
      </w:r>
      <w:r w:rsidR="002B4307" w:rsidRPr="00313EB1">
        <w:rPr>
          <w:rFonts w:ascii="Times New Roman" w:hAnsi="Times New Roman"/>
          <w:sz w:val="28"/>
          <w:szCs w:val="28"/>
          <w:lang w:val="uk-UA"/>
        </w:rPr>
        <w:t xml:space="preserve">а даному етапі здійснюється обґрунтування </w:t>
      </w:r>
      <w:r w:rsidR="002874E3" w:rsidRPr="00AD0D2A">
        <w:rPr>
          <w:rFonts w:ascii="Times New Roman" w:hAnsi="Times New Roman"/>
          <w:sz w:val="28"/>
          <w:szCs w:val="28"/>
          <w:lang w:val="uk-UA"/>
        </w:rPr>
        <w:t xml:space="preserve">інвестиційної привабливості </w:t>
      </w:r>
      <w:r w:rsidR="002B4307" w:rsidRPr="00313EB1">
        <w:rPr>
          <w:rFonts w:ascii="Times New Roman" w:hAnsi="Times New Roman"/>
          <w:sz w:val="28"/>
          <w:szCs w:val="28"/>
          <w:lang w:val="uk-UA"/>
        </w:rPr>
        <w:t xml:space="preserve">або вибір найкращого варіанта </w:t>
      </w:r>
      <w:r w:rsidR="002874E3" w:rsidRPr="00AD0D2A">
        <w:rPr>
          <w:rFonts w:ascii="Times New Roman" w:hAnsi="Times New Roman"/>
          <w:sz w:val="28"/>
          <w:szCs w:val="28"/>
          <w:lang w:val="uk-UA"/>
        </w:rPr>
        <w:t xml:space="preserve">інвестиційної привабливості </w:t>
      </w:r>
      <w:r w:rsidR="002B4307" w:rsidRPr="00313EB1">
        <w:rPr>
          <w:rFonts w:ascii="Times New Roman" w:hAnsi="Times New Roman"/>
          <w:sz w:val="28"/>
          <w:szCs w:val="28"/>
          <w:lang w:val="uk-UA"/>
        </w:rPr>
        <w:t>із кількох альтернативних варіантів;</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w:t>
      </w:r>
      <w:r w:rsidR="002B4307" w:rsidRPr="00313EB1">
        <w:rPr>
          <w:rFonts w:ascii="Times New Roman" w:hAnsi="Times New Roman"/>
          <w:sz w:val="28"/>
          <w:szCs w:val="28"/>
          <w:lang w:val="uk-UA"/>
        </w:rPr>
        <w:t xml:space="preserve"> етап остаточного опрацювання </w:t>
      </w:r>
      <w:r w:rsidR="002874E3"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підготовка ТЕО, погодження, експертиза та затвердження ТЕО, ухвалення остаточного рішення про інвестування</w:t>
      </w:r>
      <w:r w:rsidR="002A16E4" w:rsidRPr="002A16E4">
        <w:rPr>
          <w:rFonts w:ascii="Times New Roman" w:hAnsi="Times New Roman"/>
          <w:sz w:val="28"/>
          <w:szCs w:val="28"/>
        </w:rPr>
        <w:t xml:space="preserve"> </w:t>
      </w:r>
      <w:r w:rsidR="002A16E4" w:rsidRPr="002A16E4">
        <w:rPr>
          <w:rFonts w:ascii="Times New Roman" w:eastAsia="Times New Roman" w:hAnsi="Times New Roman"/>
          <w:sz w:val="28"/>
          <w:szCs w:val="28"/>
        </w:rPr>
        <w:t>[86, c. 183]</w:t>
      </w:r>
      <w:r w:rsidR="002B4307" w:rsidRPr="00313EB1">
        <w:rPr>
          <w:rFonts w:ascii="Times New Roman" w:hAnsi="Times New Roman"/>
          <w:sz w:val="28"/>
          <w:szCs w:val="28"/>
          <w:lang w:val="uk-UA"/>
        </w:rPr>
        <w:t>.</w:t>
      </w:r>
    </w:p>
    <w:p w:rsidR="002B4307" w:rsidRPr="00313EB1" w:rsidRDefault="002B4307"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З </w:t>
      </w:r>
      <w:r w:rsidRPr="00DE02ED">
        <w:rPr>
          <w:rFonts w:ascii="Times New Roman" w:hAnsi="Times New Roman"/>
          <w:sz w:val="28"/>
          <w:szCs w:val="28"/>
          <w:lang w:val="uk-UA"/>
        </w:rPr>
        <w:t xml:space="preserve">урахуванням даних змін, а також з урахуванням специфіки </w:t>
      </w:r>
      <w:r w:rsidR="002874E3" w:rsidRPr="00AD0D2A">
        <w:rPr>
          <w:rFonts w:ascii="Times New Roman" w:hAnsi="Times New Roman"/>
          <w:sz w:val="28"/>
          <w:szCs w:val="28"/>
          <w:lang w:val="uk-UA"/>
        </w:rPr>
        <w:t>інвестиційної привабливості</w:t>
      </w:r>
      <w:r w:rsidRPr="00DE02ED">
        <w:rPr>
          <w:rFonts w:ascii="Times New Roman" w:hAnsi="Times New Roman"/>
          <w:sz w:val="28"/>
          <w:szCs w:val="28"/>
          <w:lang w:val="uk-UA"/>
        </w:rPr>
        <w:t xml:space="preserve">, зміст фаз життєвого циклу </w:t>
      </w:r>
      <w:r w:rsidR="002874E3" w:rsidRPr="00AD0D2A">
        <w:rPr>
          <w:rFonts w:ascii="Times New Roman" w:hAnsi="Times New Roman"/>
          <w:sz w:val="28"/>
          <w:szCs w:val="28"/>
          <w:lang w:val="uk-UA"/>
        </w:rPr>
        <w:t>інвестиційної привабливості</w:t>
      </w:r>
      <w:r w:rsidRPr="00DE02ED">
        <w:rPr>
          <w:rFonts w:ascii="Times New Roman" w:hAnsi="Times New Roman"/>
          <w:sz w:val="28"/>
          <w:szCs w:val="28"/>
          <w:lang w:val="uk-UA"/>
        </w:rPr>
        <w:t xml:space="preserve"> може бути поданий у вигляді наступної таблиці Т.1 (додаток Т).</w:t>
      </w:r>
    </w:p>
    <w:p w:rsidR="0055241F" w:rsidRPr="00313EB1" w:rsidRDefault="0055241F" w:rsidP="0055241F">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Існує певна залежність, яка дуже часто зустрічається в практиці (причому не тільки в </w:t>
      </w:r>
      <w:r>
        <w:rPr>
          <w:rFonts w:ascii="Times New Roman" w:hAnsi="Times New Roman"/>
          <w:sz w:val="28"/>
          <w:szCs w:val="28"/>
          <w:lang w:val="uk-UA"/>
        </w:rPr>
        <w:t>український</w:t>
      </w:r>
      <w:r w:rsidRPr="00313EB1">
        <w:rPr>
          <w:rFonts w:ascii="Times New Roman" w:hAnsi="Times New Roman"/>
          <w:sz w:val="28"/>
          <w:szCs w:val="28"/>
          <w:lang w:val="uk-UA"/>
        </w:rPr>
        <w:t xml:space="preserve">): рівень оцінки </w:t>
      </w:r>
      <w:r w:rsidR="00957AC1"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фактично дорівнює рівню його підготовки, що визначає низьку або високу якість ТЕО, що надається.</w:t>
      </w:r>
    </w:p>
    <w:p w:rsidR="00FC4ABE" w:rsidRDefault="002B4307" w:rsidP="00FC4AB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Перш ніж сформулювати ТЕО, що дозволяє прийняти певне рішення щодо </w:t>
      </w:r>
      <w:r w:rsidR="00957AC1" w:rsidRPr="00AD0D2A">
        <w:rPr>
          <w:rFonts w:ascii="Times New Roman" w:hAnsi="Times New Roman"/>
          <w:sz w:val="28"/>
          <w:szCs w:val="28"/>
          <w:lang w:val="uk-UA"/>
        </w:rPr>
        <w:t>інвестиційної привабливості</w:t>
      </w:r>
      <w:r w:rsidR="00957AC1">
        <w:rPr>
          <w:rFonts w:ascii="Times New Roman" w:hAnsi="Times New Roman"/>
          <w:sz w:val="28"/>
          <w:szCs w:val="28"/>
          <w:lang w:val="uk-UA"/>
        </w:rPr>
        <w:t xml:space="preserve"> ТЕ</w:t>
      </w:r>
      <w:r w:rsidRPr="00313EB1">
        <w:rPr>
          <w:rFonts w:ascii="Times New Roman" w:hAnsi="Times New Roman"/>
          <w:sz w:val="28"/>
          <w:szCs w:val="28"/>
          <w:lang w:val="uk-UA"/>
        </w:rPr>
        <w:t xml:space="preserve"> (з метою економії коштів на розробку ТЕО), слід оцінити ідею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ту за допомогою ПТЕО. Це проміжна стадія між дослідженням можливості </w:t>
      </w:r>
      <w:r w:rsidR="00957AC1"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та детальним ТЕО, що має менший ступінь деталізації, але структура ПТЕО така сама, що й ТЕО. </w:t>
      </w:r>
    </w:p>
    <w:p w:rsidR="00FC4ABE" w:rsidRDefault="002B4307" w:rsidP="00FC4ABE">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Важливість цього обґрунтування визначається на основі ПТЕО, коли стверджується:</w:t>
      </w:r>
    </w:p>
    <w:p w:rsidR="002B4307" w:rsidRPr="00313EB1" w:rsidRDefault="00FC4ABE" w:rsidP="00FC4ABE">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2B4307" w:rsidRPr="00313EB1">
        <w:rPr>
          <w:rFonts w:ascii="Times New Roman" w:hAnsi="Times New Roman"/>
          <w:sz w:val="28"/>
          <w:szCs w:val="28"/>
          <w:lang w:val="uk-UA"/>
        </w:rPr>
        <w:t xml:space="preserve">розгляд можливих альтернатив </w:t>
      </w:r>
      <w:r w:rsidR="00957AC1"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концепція </w:t>
      </w:r>
      <w:r w:rsidR="00957AC1"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яка аргументує проведення детального аналізу надалі за допомогою ТЕО;</w:t>
      </w:r>
      <w:r w:rsidR="002B4307" w:rsidRPr="00FC4ABE">
        <w:rPr>
          <w:lang w:val="uk-UA"/>
        </w:rPr>
        <w:t xml:space="preserve"> </w:t>
      </w:r>
      <w:r w:rsidR="002B4307" w:rsidRPr="00FC4ABE">
        <w:rPr>
          <w:rFonts w:ascii="Times New Roman" w:eastAsia="Times New Roman" w:hAnsi="Times New Roman"/>
          <w:sz w:val="28"/>
          <w:szCs w:val="28"/>
          <w:lang w:val="uk-UA"/>
        </w:rPr>
        <w:t>[80]</w:t>
      </w:r>
      <w:r w:rsidR="002B4307" w:rsidRPr="00FC4ABE">
        <w:rPr>
          <w:lang w:val="uk-UA"/>
        </w:rPr>
        <w:t>.</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ймовірність здійснення </w:t>
      </w:r>
      <w:r w:rsidR="00957AC1"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за допомогою обраного механізму дій та запропонованої схеми послідовності операцій;</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визнання необхідним аналізом маркетингових досліджень;</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здійснення </w:t>
      </w:r>
      <w:r w:rsidR="00957AC1"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як життєздатного та привабливого для окремого інвестора чи групи інвесторів;</w:t>
      </w:r>
    </w:p>
    <w:p w:rsidR="0089286D"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екологічна ситуація на ділянці та потенційний вплив на цю ситуацію запропоновано</w:t>
      </w:r>
      <w:r w:rsidR="00957AC1">
        <w:rPr>
          <w:rFonts w:ascii="Times New Roman" w:hAnsi="Times New Roman"/>
          <w:sz w:val="28"/>
          <w:szCs w:val="28"/>
          <w:lang w:val="uk-UA"/>
        </w:rPr>
        <w:t xml:space="preserve">ї </w:t>
      </w:r>
      <w:r w:rsidR="00957AC1" w:rsidRPr="00AD0D2A">
        <w:rPr>
          <w:rFonts w:ascii="Times New Roman" w:hAnsi="Times New Roman"/>
          <w:sz w:val="28"/>
          <w:szCs w:val="28"/>
          <w:lang w:val="uk-UA"/>
        </w:rPr>
        <w:t>інвестиційної привабливості</w:t>
      </w:r>
      <w:r w:rsidR="00957AC1" w:rsidRPr="00313EB1">
        <w:rPr>
          <w:rFonts w:ascii="Times New Roman" w:hAnsi="Times New Roman"/>
          <w:sz w:val="28"/>
          <w:szCs w:val="28"/>
          <w:lang w:val="uk-UA"/>
        </w:rPr>
        <w:t xml:space="preserve"> </w:t>
      </w:r>
      <w:r w:rsidR="002B4307" w:rsidRPr="00313EB1">
        <w:rPr>
          <w:rFonts w:ascii="Times New Roman" w:hAnsi="Times New Roman"/>
          <w:sz w:val="28"/>
          <w:szCs w:val="28"/>
          <w:lang w:val="uk-UA"/>
        </w:rPr>
        <w:t xml:space="preserve">. </w:t>
      </w:r>
    </w:p>
    <w:p w:rsidR="002B4307" w:rsidRPr="00313EB1" w:rsidRDefault="002B4307"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lastRenderedPageBreak/>
        <w:t>На стадії ПТЕО аналіз охоплює альтернативи, що визначаються в наступних основних сферах дослідження:</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стратегія </w:t>
      </w:r>
      <w:r w:rsidR="00957AC1" w:rsidRPr="00AD0D2A">
        <w:rPr>
          <w:rFonts w:ascii="Times New Roman" w:hAnsi="Times New Roman"/>
          <w:sz w:val="28"/>
          <w:szCs w:val="28"/>
          <w:lang w:val="uk-UA"/>
        </w:rPr>
        <w:t>інвестиційної привабливості</w:t>
      </w:r>
      <w:r w:rsidR="002B4307" w:rsidRPr="00313EB1">
        <w:rPr>
          <w:rFonts w:ascii="Times New Roman" w:hAnsi="Times New Roman"/>
          <w:sz w:val="28"/>
          <w:szCs w:val="28"/>
          <w:lang w:val="uk-UA"/>
        </w:rPr>
        <w:t xml:space="preserve"> або корпоративні стратегії та рамки </w:t>
      </w:r>
      <w:r w:rsidR="00DB1F48">
        <w:rPr>
          <w:rFonts w:ascii="Times New Roman" w:hAnsi="Times New Roman"/>
          <w:sz w:val="28"/>
          <w:szCs w:val="28"/>
          <w:lang w:val="uk-UA"/>
        </w:rPr>
        <w:t>проєк</w:t>
      </w:r>
      <w:r w:rsidR="002B4307" w:rsidRPr="00313EB1">
        <w:rPr>
          <w:rFonts w:ascii="Times New Roman" w:hAnsi="Times New Roman"/>
          <w:sz w:val="28"/>
          <w:szCs w:val="28"/>
          <w:lang w:val="uk-UA"/>
        </w:rPr>
        <w:t>ту;</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ринок та концепції маркетингу;</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сировин</w:t>
      </w:r>
      <w:r w:rsidR="0089286D">
        <w:rPr>
          <w:rFonts w:ascii="Times New Roman" w:hAnsi="Times New Roman"/>
          <w:sz w:val="28"/>
          <w:szCs w:val="28"/>
          <w:lang w:val="uk-UA"/>
        </w:rPr>
        <w:t>а</w:t>
      </w:r>
      <w:r w:rsidR="002B4307" w:rsidRPr="00313EB1">
        <w:rPr>
          <w:rFonts w:ascii="Times New Roman" w:hAnsi="Times New Roman"/>
          <w:sz w:val="28"/>
          <w:szCs w:val="28"/>
          <w:lang w:val="uk-UA"/>
        </w:rPr>
        <w:t>, основні та допоміжні виробничі матеріали;</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місце розташування, ділянка та довкілля:</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w:t>
      </w:r>
      <w:r w:rsidR="00DB1F48">
        <w:rPr>
          <w:rFonts w:ascii="Times New Roman" w:hAnsi="Times New Roman"/>
          <w:sz w:val="28"/>
          <w:szCs w:val="28"/>
          <w:lang w:val="uk-UA"/>
        </w:rPr>
        <w:t>проєк</w:t>
      </w:r>
      <w:r w:rsidR="002B4307" w:rsidRPr="00313EB1">
        <w:rPr>
          <w:rFonts w:ascii="Times New Roman" w:hAnsi="Times New Roman"/>
          <w:sz w:val="28"/>
          <w:szCs w:val="28"/>
          <w:lang w:val="uk-UA"/>
        </w:rPr>
        <w:t>тування та технологія;</w:t>
      </w:r>
    </w:p>
    <w:p w:rsidR="002B4307"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організація та накладні витрати;</w:t>
      </w:r>
    </w:p>
    <w:p w:rsidR="00313EB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2B4307" w:rsidRPr="00313EB1">
        <w:rPr>
          <w:rFonts w:ascii="Times New Roman" w:hAnsi="Times New Roman"/>
          <w:sz w:val="28"/>
          <w:szCs w:val="28"/>
          <w:lang w:val="uk-UA"/>
        </w:rPr>
        <w:t xml:space="preserve"> трудові ресурси, зокрема управлінські кадри, витрати на</w:t>
      </w:r>
      <w:r w:rsidR="00313EB1" w:rsidRPr="00313EB1">
        <w:rPr>
          <w:rFonts w:ascii="Times New Roman" w:hAnsi="Times New Roman"/>
          <w:sz w:val="28"/>
          <w:szCs w:val="28"/>
          <w:lang w:val="uk-UA"/>
        </w:rPr>
        <w:t xml:space="preserve"> оплату робочої сили, а також потреби у професійному навчанні та витрати на нього;</w:t>
      </w:r>
    </w:p>
    <w:p w:rsidR="00313EB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13EB1" w:rsidRPr="00313EB1">
        <w:rPr>
          <w:rFonts w:ascii="Times New Roman" w:hAnsi="Times New Roman"/>
          <w:sz w:val="28"/>
          <w:szCs w:val="28"/>
          <w:lang w:val="uk-UA"/>
        </w:rPr>
        <w:t xml:space="preserve"> графік </w:t>
      </w:r>
      <w:r w:rsidR="00957AC1">
        <w:rPr>
          <w:rFonts w:ascii="Times New Roman" w:hAnsi="Times New Roman"/>
          <w:sz w:val="28"/>
          <w:szCs w:val="28"/>
          <w:lang w:val="uk-UA"/>
        </w:rPr>
        <w:t xml:space="preserve">реалізації </w:t>
      </w:r>
      <w:r w:rsidR="00957AC1" w:rsidRPr="00AD0D2A">
        <w:rPr>
          <w:rFonts w:ascii="Times New Roman" w:hAnsi="Times New Roman"/>
          <w:sz w:val="28"/>
          <w:szCs w:val="28"/>
          <w:lang w:val="uk-UA"/>
        </w:rPr>
        <w:t>інвестиційної привабливості</w:t>
      </w:r>
      <w:r w:rsidR="00313EB1" w:rsidRPr="00313EB1">
        <w:rPr>
          <w:rFonts w:ascii="Times New Roman" w:hAnsi="Times New Roman"/>
          <w:sz w:val="28"/>
          <w:szCs w:val="28"/>
          <w:lang w:val="uk-UA"/>
        </w:rPr>
        <w:t xml:space="preserve"> та витрати на н</w:t>
      </w:r>
      <w:r w:rsidR="00957AC1">
        <w:rPr>
          <w:rFonts w:ascii="Times New Roman" w:hAnsi="Times New Roman"/>
          <w:sz w:val="28"/>
          <w:szCs w:val="28"/>
          <w:lang w:val="uk-UA"/>
        </w:rPr>
        <w:t>еї</w:t>
      </w:r>
      <w:r w:rsidR="002A16E4" w:rsidRPr="002A16E4">
        <w:rPr>
          <w:rFonts w:ascii="Times New Roman" w:hAnsi="Times New Roman"/>
          <w:sz w:val="28"/>
          <w:szCs w:val="28"/>
        </w:rPr>
        <w:t xml:space="preserve"> </w:t>
      </w:r>
      <w:r w:rsidR="002A16E4" w:rsidRPr="002A16E4">
        <w:rPr>
          <w:rFonts w:ascii="Times New Roman" w:eastAsia="Times New Roman" w:hAnsi="Times New Roman"/>
          <w:sz w:val="28"/>
          <w:szCs w:val="28"/>
        </w:rPr>
        <w:t>[149, c. 261]</w:t>
      </w:r>
      <w:r w:rsidR="00313EB1" w:rsidRPr="00313EB1">
        <w:rPr>
          <w:rFonts w:ascii="Times New Roman" w:hAnsi="Times New Roman"/>
          <w:sz w:val="28"/>
          <w:szCs w:val="28"/>
          <w:lang w:val="uk-UA"/>
        </w:rPr>
        <w:t>.</w:t>
      </w:r>
    </w:p>
    <w:p w:rsidR="002B4307" w:rsidRPr="00313EB1" w:rsidRDefault="002B4307"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Вплив перерахованих факторів має бути оцінений з фінансової та економічної точок зору.</w:t>
      </w:r>
    </w:p>
    <w:p w:rsidR="002B4307" w:rsidRPr="00313EB1" w:rsidRDefault="002B4307"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Практика показує, що іноді добре виконані всебічні дослідження можливостей є обґрунтуванням і без ПТЕО. Такі скорочені дослідження призначаються тільки для тих інвесторів, які мають повне знання умов </w:t>
      </w:r>
      <w:r w:rsidR="00507537"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Якщо економічна сторона </w:t>
      </w:r>
      <w:r w:rsidR="00507537"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викликає сумнів, ПТЕО проводиться обов'язково. Скорочені дослідження можна використовувати </w:t>
      </w:r>
      <w:r w:rsidR="00FC1A38">
        <w:rPr>
          <w:rFonts w:ascii="Times New Roman" w:hAnsi="Times New Roman"/>
          <w:sz w:val="28"/>
          <w:szCs w:val="28"/>
          <w:lang w:val="uk-UA"/>
        </w:rPr>
        <w:t xml:space="preserve">для </w:t>
      </w:r>
      <w:r w:rsidRPr="00313EB1">
        <w:rPr>
          <w:rFonts w:ascii="Times New Roman" w:hAnsi="Times New Roman"/>
          <w:sz w:val="28"/>
          <w:szCs w:val="28"/>
          <w:lang w:val="uk-UA"/>
        </w:rPr>
        <w:t>визначення другорядних</w:t>
      </w:r>
      <w:r w:rsidR="00FC1A38">
        <w:rPr>
          <w:rFonts w:ascii="Times New Roman" w:hAnsi="Times New Roman"/>
          <w:sz w:val="28"/>
          <w:szCs w:val="28"/>
          <w:lang w:val="uk-UA"/>
        </w:rPr>
        <w:t xml:space="preserve"> витрат,</w:t>
      </w:r>
      <w:r w:rsidRPr="00313EB1">
        <w:rPr>
          <w:rFonts w:ascii="Times New Roman" w:hAnsi="Times New Roman"/>
          <w:sz w:val="28"/>
          <w:szCs w:val="28"/>
          <w:lang w:val="uk-UA"/>
        </w:rPr>
        <w:t xml:space="preserve"> але з основних статей інвестиційних і виробничих витрат.</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У передінвестиційних дослідженнях наводяться джерела інформації (опубліковані, неопубліковані або отримані шляхом власних досліджень), щоб згодом була можливість перевірити їх достовірність та коригування. На практиці, залежно від необхідної точності, а також наявних коштів та часу, застосовуються такі методи оцінки інвестиційних витрат:</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аналіз специфікацій тендерів з аналогічних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тів;</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збір та аналіз рекламних матеріалів та пропозицій;</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w:t>
      </w:r>
      <w:r w:rsidR="001A3665" w:rsidRPr="00313EB1">
        <w:rPr>
          <w:rFonts w:ascii="Times New Roman" w:hAnsi="Times New Roman"/>
          <w:sz w:val="28"/>
          <w:szCs w:val="28"/>
          <w:lang w:val="uk-UA"/>
        </w:rPr>
        <w:t xml:space="preserve"> використання цін, взятих з аналогічних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тів, які свого часу враховувалися для визначення витрат на підставі специфікацій та переліків обладнання;</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використання питомих вартісних параметрів, взятих із порівнянних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тів, що діють, виражених у вартості 1 кв. м загальної площі об'єкта;</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оцінка повних витрат за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 xml:space="preserve">том або за функціональними частинами </w:t>
      </w:r>
      <w:r w:rsidR="005E20A1" w:rsidRPr="00AD0D2A">
        <w:rPr>
          <w:rFonts w:ascii="Times New Roman" w:hAnsi="Times New Roman"/>
          <w:sz w:val="28"/>
          <w:szCs w:val="28"/>
          <w:lang w:val="uk-UA"/>
        </w:rPr>
        <w:t>інвестиційної привабливості</w:t>
      </w:r>
      <w:r w:rsidR="001A3665" w:rsidRPr="00313EB1">
        <w:rPr>
          <w:rFonts w:ascii="Times New Roman" w:hAnsi="Times New Roman"/>
          <w:sz w:val="28"/>
          <w:szCs w:val="28"/>
          <w:lang w:val="uk-UA"/>
        </w:rPr>
        <w:t xml:space="preserve"> на основі витрат існуючих порівнянних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тів або витрат</w:t>
      </w:r>
      <w:r w:rsidR="00FC1A38">
        <w:rPr>
          <w:rFonts w:ascii="Times New Roman" w:hAnsi="Times New Roman"/>
          <w:sz w:val="28"/>
          <w:szCs w:val="28"/>
          <w:lang w:val="uk-UA"/>
        </w:rPr>
        <w:t>,</w:t>
      </w:r>
      <w:r w:rsidR="001A3665" w:rsidRPr="00313EB1">
        <w:rPr>
          <w:rFonts w:ascii="Times New Roman" w:hAnsi="Times New Roman"/>
          <w:sz w:val="28"/>
          <w:szCs w:val="28"/>
          <w:lang w:val="uk-UA"/>
        </w:rPr>
        <w:t xml:space="preserve"> приведених до порівнянного виду</w:t>
      </w:r>
      <w:r w:rsidR="00FC1A38">
        <w:rPr>
          <w:rFonts w:ascii="Times New Roman" w:hAnsi="Times New Roman"/>
          <w:sz w:val="28"/>
          <w:szCs w:val="28"/>
          <w:lang w:val="uk-UA"/>
        </w:rPr>
        <w:t>,</w:t>
      </w:r>
      <w:r w:rsidR="001A3665" w:rsidRPr="00313EB1">
        <w:rPr>
          <w:rFonts w:ascii="Times New Roman" w:hAnsi="Times New Roman"/>
          <w:sz w:val="28"/>
          <w:szCs w:val="28"/>
          <w:lang w:val="uk-UA"/>
        </w:rPr>
        <w:t xml:space="preserve"> з урахуванням щорічних темпів інфляції, відмінності в місцевих умовах, наприклад, кліматі, різних норм і нормативів, пов'язаних, наприклад, </w:t>
      </w:r>
      <w:r w:rsidR="00FC1A38">
        <w:rPr>
          <w:rFonts w:ascii="Times New Roman" w:hAnsi="Times New Roman"/>
          <w:sz w:val="28"/>
          <w:szCs w:val="28"/>
          <w:lang w:val="uk-UA"/>
        </w:rPr>
        <w:t>і</w:t>
      </w:r>
      <w:r w:rsidR="001A3665" w:rsidRPr="00313EB1">
        <w:rPr>
          <w:rFonts w:ascii="Times New Roman" w:hAnsi="Times New Roman"/>
          <w:sz w:val="28"/>
          <w:szCs w:val="28"/>
          <w:lang w:val="uk-UA"/>
        </w:rPr>
        <w:t xml:space="preserve">з часом розробки нового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ту;</w:t>
      </w:r>
    </w:p>
    <w:p w:rsidR="002A16E4"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нормативний і нормативно-прогнозний методи, коли оцінка витрат </w:t>
      </w:r>
      <w:r w:rsidR="00DB1F48">
        <w:rPr>
          <w:rFonts w:ascii="Times New Roman" w:hAnsi="Times New Roman"/>
          <w:sz w:val="28"/>
          <w:szCs w:val="28"/>
          <w:lang w:val="uk-UA"/>
        </w:rPr>
        <w:t>проєк</w:t>
      </w:r>
      <w:r w:rsidR="001A3665" w:rsidRPr="00313EB1">
        <w:rPr>
          <w:rFonts w:ascii="Times New Roman" w:hAnsi="Times New Roman"/>
          <w:sz w:val="28"/>
          <w:szCs w:val="28"/>
          <w:lang w:val="uk-UA"/>
        </w:rPr>
        <w:t>ту складає</w:t>
      </w:r>
      <w:r w:rsidR="00E4054C">
        <w:rPr>
          <w:rFonts w:ascii="Times New Roman" w:hAnsi="Times New Roman"/>
          <w:sz w:val="28"/>
          <w:szCs w:val="28"/>
          <w:lang w:val="uk-UA"/>
        </w:rPr>
        <w:t>ться на</w:t>
      </w:r>
      <w:r w:rsidR="001A3665" w:rsidRPr="00313EB1">
        <w:rPr>
          <w:rFonts w:ascii="Times New Roman" w:hAnsi="Times New Roman"/>
          <w:sz w:val="28"/>
          <w:szCs w:val="28"/>
          <w:lang w:val="uk-UA"/>
        </w:rPr>
        <w:t xml:space="preserve"> основі існуючих нормативів (нормативи до розрахунку будівельних кошторисів, норми витрати матеріалів, нормативи оборотних засобів) та його коригування з урахуванням прогнозної </w:t>
      </w:r>
      <w:r w:rsidR="00E4054C">
        <w:rPr>
          <w:rFonts w:ascii="Times New Roman" w:hAnsi="Times New Roman"/>
          <w:sz w:val="28"/>
          <w:szCs w:val="28"/>
          <w:lang w:val="uk-UA"/>
        </w:rPr>
        <w:t>і</w:t>
      </w:r>
      <w:r w:rsidR="001A3665" w:rsidRPr="00313EB1">
        <w:rPr>
          <w:rFonts w:ascii="Times New Roman" w:hAnsi="Times New Roman"/>
          <w:sz w:val="28"/>
          <w:szCs w:val="28"/>
          <w:lang w:val="uk-UA"/>
        </w:rPr>
        <w:t>нфляц</w:t>
      </w:r>
      <w:r w:rsidR="00E4054C">
        <w:rPr>
          <w:rFonts w:ascii="Times New Roman" w:hAnsi="Times New Roman"/>
          <w:sz w:val="28"/>
          <w:szCs w:val="28"/>
          <w:lang w:val="uk-UA"/>
        </w:rPr>
        <w:t>ії</w:t>
      </w:r>
      <w:r w:rsidR="002A16E4" w:rsidRPr="002A16E4">
        <w:rPr>
          <w:rFonts w:ascii="Times New Roman" w:hAnsi="Times New Roman"/>
          <w:sz w:val="28"/>
          <w:szCs w:val="28"/>
          <w:lang w:val="uk-UA"/>
        </w:rPr>
        <w:t xml:space="preserve"> </w:t>
      </w:r>
      <w:r w:rsidR="002A16E4" w:rsidRPr="002A16E4">
        <w:rPr>
          <w:rFonts w:ascii="Times New Roman" w:eastAsia="Times New Roman" w:hAnsi="Times New Roman"/>
          <w:sz w:val="28"/>
          <w:szCs w:val="28"/>
          <w:lang w:val="uk-UA"/>
        </w:rPr>
        <w:t>[54, c. 19]</w:t>
      </w:r>
      <w:r w:rsidR="001A3665" w:rsidRPr="00313EB1">
        <w:rPr>
          <w:rFonts w:ascii="Times New Roman" w:hAnsi="Times New Roman"/>
          <w:sz w:val="28"/>
          <w:szCs w:val="28"/>
          <w:lang w:val="uk-UA"/>
        </w:rPr>
        <w:t xml:space="preserve">. </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Одним з основних етапів передінвестиційної фази є оцінка та аналіз ефективності інвестицій. Фінансово-економічна оцінка </w:t>
      </w:r>
      <w:r w:rsidR="005E20A1"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займає центральне місце у процесі обґрунтування та вибору можливих варіантів вкладення коштів в операції з реальними активами. За всіх інших сприятливих характеристик </w:t>
      </w:r>
      <w:r w:rsidR="005E20A1" w:rsidRPr="00AD0D2A">
        <w:rPr>
          <w:rFonts w:ascii="Times New Roman" w:hAnsi="Times New Roman"/>
          <w:sz w:val="28"/>
          <w:szCs w:val="28"/>
          <w:lang w:val="uk-UA"/>
        </w:rPr>
        <w:t>інвестиційної привабливості</w:t>
      </w:r>
      <w:r w:rsidR="005E20A1">
        <w:rPr>
          <w:rFonts w:ascii="Times New Roman" w:hAnsi="Times New Roman"/>
          <w:sz w:val="28"/>
          <w:szCs w:val="28"/>
          <w:lang w:val="uk-UA"/>
        </w:rPr>
        <w:t>,</w:t>
      </w:r>
      <w:r w:rsidRPr="00313EB1">
        <w:rPr>
          <w:rFonts w:ascii="Times New Roman" w:hAnsi="Times New Roman"/>
          <w:sz w:val="28"/>
          <w:szCs w:val="28"/>
          <w:lang w:val="uk-UA"/>
        </w:rPr>
        <w:t xml:space="preserve"> </w:t>
      </w:r>
      <w:r w:rsidR="005E20A1">
        <w:rPr>
          <w:rFonts w:ascii="Times New Roman" w:hAnsi="Times New Roman"/>
          <w:sz w:val="28"/>
          <w:szCs w:val="28"/>
          <w:lang w:val="uk-UA"/>
        </w:rPr>
        <w:t>проєкт</w:t>
      </w:r>
      <w:r w:rsidRPr="00313EB1">
        <w:rPr>
          <w:rFonts w:ascii="Times New Roman" w:hAnsi="Times New Roman"/>
          <w:sz w:val="28"/>
          <w:szCs w:val="28"/>
          <w:lang w:val="uk-UA"/>
        </w:rPr>
        <w:t xml:space="preserve"> ніколи не буде прийнятий до реалізації, якщо не забезпечить:</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w:t>
      </w:r>
      <w:r w:rsidR="00313EB1" w:rsidRPr="00313EB1">
        <w:rPr>
          <w:rFonts w:ascii="Times New Roman" w:hAnsi="Times New Roman"/>
          <w:sz w:val="28"/>
          <w:szCs w:val="28"/>
          <w:lang w:val="uk-UA"/>
        </w:rPr>
        <w:t>відшкодування вкладених коштів за рахунок доходів від реалізації товарів чи послуг;</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13EB1" w:rsidRPr="00313EB1">
        <w:rPr>
          <w:rFonts w:ascii="Times New Roman" w:hAnsi="Times New Roman"/>
          <w:sz w:val="28"/>
          <w:szCs w:val="28"/>
          <w:lang w:val="uk-UA"/>
        </w:rPr>
        <w:t xml:space="preserve"> отримання </w:t>
      </w:r>
      <w:r w:rsidR="001A3665" w:rsidRPr="00313EB1">
        <w:rPr>
          <w:rFonts w:ascii="Times New Roman" w:hAnsi="Times New Roman"/>
          <w:sz w:val="28"/>
          <w:szCs w:val="28"/>
          <w:lang w:val="uk-UA"/>
        </w:rPr>
        <w:t>прибутку, що забезпечує рентабельність інвестицій не нижче бажаного для фірми рівня;</w:t>
      </w:r>
    </w:p>
    <w:p w:rsidR="001A3665"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1A3665" w:rsidRPr="00313EB1">
        <w:rPr>
          <w:rFonts w:ascii="Times New Roman" w:hAnsi="Times New Roman"/>
          <w:sz w:val="28"/>
          <w:szCs w:val="28"/>
          <w:lang w:val="uk-UA"/>
        </w:rPr>
        <w:t xml:space="preserve"> окупність інвестицій у межах терміну, прийнятного </w:t>
      </w:r>
      <w:r w:rsidR="00736C88">
        <w:rPr>
          <w:rFonts w:ascii="Times New Roman" w:hAnsi="Times New Roman"/>
          <w:sz w:val="28"/>
          <w:szCs w:val="28"/>
          <w:lang w:val="uk-UA"/>
        </w:rPr>
        <w:t xml:space="preserve">для </w:t>
      </w:r>
      <w:r w:rsidR="001A3665" w:rsidRPr="00313EB1">
        <w:rPr>
          <w:rFonts w:ascii="Times New Roman" w:hAnsi="Times New Roman"/>
          <w:sz w:val="28"/>
          <w:szCs w:val="28"/>
          <w:lang w:val="uk-UA"/>
        </w:rPr>
        <w:t>фірми.</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Визначення реальності досягнення саме таких результатів</w:t>
      </w:r>
      <w:r w:rsidR="00313EB1">
        <w:rPr>
          <w:rFonts w:ascii="Times New Roman" w:hAnsi="Times New Roman"/>
          <w:sz w:val="28"/>
          <w:szCs w:val="28"/>
          <w:lang w:val="uk-UA"/>
        </w:rPr>
        <w:t xml:space="preserve"> </w:t>
      </w:r>
      <w:r w:rsidRPr="00313EB1">
        <w:rPr>
          <w:rFonts w:ascii="Times New Roman" w:hAnsi="Times New Roman"/>
          <w:sz w:val="28"/>
          <w:szCs w:val="28"/>
          <w:lang w:val="uk-UA"/>
        </w:rPr>
        <w:t xml:space="preserve">інвестиційних операцій </w:t>
      </w:r>
      <w:r w:rsidR="00683F74">
        <w:rPr>
          <w:rFonts w:ascii="Times New Roman" w:hAnsi="Times New Roman"/>
          <w:sz w:val="28"/>
          <w:szCs w:val="28"/>
          <w:lang w:val="uk-UA"/>
        </w:rPr>
        <w:t>і</w:t>
      </w:r>
      <w:r w:rsidRPr="00313EB1">
        <w:rPr>
          <w:rFonts w:ascii="Times New Roman" w:hAnsi="Times New Roman"/>
          <w:sz w:val="28"/>
          <w:szCs w:val="28"/>
          <w:lang w:val="uk-UA"/>
        </w:rPr>
        <w:t xml:space="preserve"> є ключовим завданням оцінки фінансово-економічних параметрів будь-яко</w:t>
      </w:r>
      <w:r w:rsidR="00255B62">
        <w:rPr>
          <w:rFonts w:ascii="Times New Roman" w:hAnsi="Times New Roman"/>
          <w:sz w:val="28"/>
          <w:szCs w:val="28"/>
          <w:lang w:val="uk-UA"/>
        </w:rPr>
        <w:t xml:space="preserve">ї </w:t>
      </w:r>
      <w:r w:rsidR="00255B62" w:rsidRPr="00AD0D2A">
        <w:rPr>
          <w:rFonts w:ascii="Times New Roman" w:hAnsi="Times New Roman"/>
          <w:sz w:val="28"/>
          <w:szCs w:val="28"/>
          <w:lang w:val="uk-UA"/>
        </w:rPr>
        <w:t>інвестиційної привабливості</w:t>
      </w:r>
      <w:r w:rsidR="00255B62" w:rsidRPr="00313EB1">
        <w:rPr>
          <w:rFonts w:ascii="Times New Roman" w:hAnsi="Times New Roman"/>
          <w:sz w:val="28"/>
          <w:szCs w:val="28"/>
          <w:lang w:val="uk-UA"/>
        </w:rPr>
        <w:t xml:space="preserve"> </w:t>
      </w:r>
      <w:r w:rsidRPr="00313EB1">
        <w:rPr>
          <w:rFonts w:ascii="Times New Roman" w:hAnsi="Times New Roman"/>
          <w:sz w:val="28"/>
          <w:szCs w:val="28"/>
          <w:lang w:val="uk-UA"/>
        </w:rPr>
        <w:t xml:space="preserve">вкладення </w:t>
      </w:r>
      <w:r w:rsidRPr="00313EB1">
        <w:rPr>
          <w:rFonts w:ascii="Times New Roman" w:hAnsi="Times New Roman"/>
          <w:sz w:val="28"/>
          <w:szCs w:val="28"/>
          <w:lang w:val="uk-UA"/>
        </w:rPr>
        <w:lastRenderedPageBreak/>
        <w:t>коштів у реальні активи. Проведення такої оцінки є досить складним завданням, що підтверджується низкою факторів.</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1. Інвестиційні витрати можуть здійснюватися в разовому порядку, або неодноразово повторюватися протягом досить тривалого часу (іноді до кількох років).</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2. Процес отримання результатів від </w:t>
      </w:r>
      <w:r w:rsidR="00C55FCE" w:rsidRPr="00AD0D2A">
        <w:rPr>
          <w:rFonts w:ascii="Times New Roman" w:hAnsi="Times New Roman"/>
          <w:sz w:val="28"/>
          <w:szCs w:val="28"/>
          <w:lang w:val="uk-UA"/>
        </w:rPr>
        <w:t>інвестиційної привабливості</w:t>
      </w:r>
      <w:r w:rsidR="00C55FCE" w:rsidRPr="00313EB1">
        <w:rPr>
          <w:rFonts w:ascii="Times New Roman" w:hAnsi="Times New Roman"/>
          <w:sz w:val="28"/>
          <w:szCs w:val="28"/>
          <w:lang w:val="uk-UA"/>
        </w:rPr>
        <w:t xml:space="preserve"> </w:t>
      </w:r>
      <w:r w:rsidRPr="00313EB1">
        <w:rPr>
          <w:rFonts w:ascii="Times New Roman" w:hAnsi="Times New Roman"/>
          <w:sz w:val="28"/>
          <w:szCs w:val="28"/>
          <w:lang w:val="uk-UA"/>
        </w:rPr>
        <w:t xml:space="preserve">тривалий (у </w:t>
      </w:r>
      <w:r w:rsidR="00683F74">
        <w:rPr>
          <w:rFonts w:ascii="Times New Roman" w:hAnsi="Times New Roman"/>
          <w:sz w:val="28"/>
          <w:szCs w:val="28"/>
          <w:lang w:val="uk-UA"/>
        </w:rPr>
        <w:t xml:space="preserve">найкращому </w:t>
      </w:r>
      <w:r w:rsidRPr="00313EB1">
        <w:rPr>
          <w:rFonts w:ascii="Times New Roman" w:hAnsi="Times New Roman"/>
          <w:sz w:val="28"/>
          <w:szCs w:val="28"/>
          <w:lang w:val="uk-UA"/>
        </w:rPr>
        <w:t>разі, він перевищує рік).</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3. Здійснення тривалих операцій призводить до зростання невизначеності в оцінці всіх аспектів інвестицій, т</w:t>
      </w:r>
      <w:r w:rsidR="00683F74">
        <w:rPr>
          <w:rFonts w:ascii="Times New Roman" w:hAnsi="Times New Roman"/>
          <w:sz w:val="28"/>
          <w:szCs w:val="28"/>
          <w:lang w:val="uk-UA"/>
        </w:rPr>
        <w:t>обто</w:t>
      </w:r>
      <w:r w:rsidRPr="00313EB1">
        <w:rPr>
          <w:rFonts w:ascii="Times New Roman" w:hAnsi="Times New Roman"/>
          <w:sz w:val="28"/>
          <w:szCs w:val="28"/>
          <w:lang w:val="uk-UA"/>
        </w:rPr>
        <w:t xml:space="preserve"> до інвестиційного ризику</w:t>
      </w:r>
      <w:r w:rsidR="002A16E4" w:rsidRPr="00AF7F70">
        <w:rPr>
          <w:rFonts w:ascii="Times New Roman" w:hAnsi="Times New Roman"/>
          <w:sz w:val="28"/>
          <w:szCs w:val="28"/>
        </w:rPr>
        <w:t xml:space="preserve"> </w:t>
      </w:r>
      <w:r w:rsidR="002A16E4" w:rsidRPr="00AF7F70">
        <w:rPr>
          <w:rFonts w:ascii="Times New Roman" w:eastAsia="Times New Roman" w:hAnsi="Times New Roman"/>
          <w:sz w:val="28"/>
          <w:szCs w:val="28"/>
        </w:rPr>
        <w:t>[17, c. 16]</w:t>
      </w:r>
      <w:r w:rsidRPr="00313EB1">
        <w:rPr>
          <w:rFonts w:ascii="Times New Roman" w:hAnsi="Times New Roman"/>
          <w:sz w:val="28"/>
          <w:szCs w:val="28"/>
          <w:lang w:val="uk-UA"/>
        </w:rPr>
        <w:t>.</w:t>
      </w:r>
    </w:p>
    <w:p w:rsidR="001A3665" w:rsidRPr="00313EB1" w:rsidRDefault="001A3665"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Саме наявність цих факторів породил</w:t>
      </w:r>
      <w:r w:rsidR="00683F74">
        <w:rPr>
          <w:rFonts w:ascii="Times New Roman" w:hAnsi="Times New Roman"/>
          <w:sz w:val="28"/>
          <w:szCs w:val="28"/>
          <w:lang w:val="uk-UA"/>
        </w:rPr>
        <w:t>а</w:t>
      </w:r>
      <w:r w:rsidRPr="00313EB1">
        <w:rPr>
          <w:rFonts w:ascii="Times New Roman" w:hAnsi="Times New Roman"/>
          <w:sz w:val="28"/>
          <w:szCs w:val="28"/>
          <w:lang w:val="uk-UA"/>
        </w:rPr>
        <w:t xml:space="preserve"> необхідність у створенні спеціальних методів оцінки інвестицій, що дозволяють приймати досить обґрунтовані рішення з мінімально можливим рівнем похибки, хоча абсолютно достовірного рішення щодо оцінки інвестицій бути не може.</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Інвестиційна стратегія підприємства є складовим елементом його економічної політики і являє собою систему заходів, що визначають обсяг, структуру та напрямок інвестування із забезпеченням насамперед обраних пріоритетних для підприємства напрямків, концентрації коштів та ефективності їх використання </w:t>
      </w:r>
      <w:r w:rsidR="00683F74">
        <w:rPr>
          <w:rFonts w:ascii="Times New Roman" w:hAnsi="Times New Roman"/>
          <w:sz w:val="28"/>
          <w:szCs w:val="28"/>
          <w:lang w:val="uk-UA"/>
        </w:rPr>
        <w:t>і</w:t>
      </w:r>
      <w:r w:rsidRPr="00313EB1">
        <w:rPr>
          <w:rFonts w:ascii="Times New Roman" w:hAnsi="Times New Roman"/>
          <w:sz w:val="28"/>
          <w:szCs w:val="28"/>
          <w:lang w:val="uk-UA"/>
        </w:rPr>
        <w:t xml:space="preserve"> забезпечують його інвестиційну привабливість</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[6, 61, 65, 132]</w:t>
      </w:r>
      <w:r w:rsidR="009C19A3">
        <w:rPr>
          <w:rFonts w:ascii="Times New Roman" w:hAnsi="Times New Roman"/>
          <w:sz w:val="28"/>
          <w:szCs w:val="28"/>
          <w:lang w:val="uk-UA"/>
        </w:rPr>
        <w:t>.</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Сутність інвестиційної політики підприємства, її основні елементи та етапи формування спрямовані на забезпечення інвестиційної привабливості </w:t>
      </w:r>
      <w:r w:rsidR="00C55FCE">
        <w:rPr>
          <w:rFonts w:ascii="Times New Roman" w:hAnsi="Times New Roman"/>
          <w:sz w:val="28"/>
          <w:szCs w:val="28"/>
          <w:lang w:val="uk-UA"/>
        </w:rPr>
        <w:t xml:space="preserve">сільськогосподарських </w:t>
      </w:r>
      <w:r w:rsidRPr="00313EB1">
        <w:rPr>
          <w:rFonts w:ascii="Times New Roman" w:hAnsi="Times New Roman"/>
          <w:sz w:val="28"/>
          <w:szCs w:val="28"/>
          <w:lang w:val="uk-UA"/>
        </w:rPr>
        <w:t>підприємств</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[92]</w:t>
      </w:r>
      <w:r w:rsidRPr="005670E0">
        <w:rPr>
          <w:lang w:val="uk-UA"/>
        </w:rPr>
        <w:t>.</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Під </w:t>
      </w:r>
      <w:r w:rsidR="003F7D43" w:rsidRPr="00AD0D2A">
        <w:rPr>
          <w:rFonts w:ascii="Times New Roman" w:hAnsi="Times New Roman"/>
          <w:sz w:val="28"/>
          <w:szCs w:val="28"/>
          <w:lang w:val="uk-UA"/>
        </w:rPr>
        <w:t>інвестиційної приваблив</w:t>
      </w:r>
      <w:r w:rsidR="003F7D43">
        <w:rPr>
          <w:rFonts w:ascii="Times New Roman" w:hAnsi="Times New Roman"/>
          <w:sz w:val="28"/>
          <w:szCs w:val="28"/>
          <w:lang w:val="uk-UA"/>
        </w:rPr>
        <w:t>істю</w:t>
      </w:r>
      <w:r w:rsidR="003F7D43" w:rsidRPr="00313EB1">
        <w:rPr>
          <w:rFonts w:ascii="Times New Roman" w:hAnsi="Times New Roman"/>
          <w:sz w:val="28"/>
          <w:szCs w:val="28"/>
          <w:lang w:val="uk-UA"/>
        </w:rPr>
        <w:t xml:space="preserve"> </w:t>
      </w:r>
      <w:r w:rsidRPr="00313EB1">
        <w:rPr>
          <w:rFonts w:ascii="Times New Roman" w:hAnsi="Times New Roman"/>
          <w:sz w:val="28"/>
          <w:szCs w:val="28"/>
          <w:lang w:val="uk-UA"/>
        </w:rPr>
        <w:t>підприємства розуміється сукупність заходів, вкладених у розробку та реалізацію стратегії управління портфелем інвестицій, досягнення оптимального поєднання прямих і портфельних інвестицій з метою забезпечення нормальної діяльності, збільшення прибутковості операцій, підтримки допустимого рівня їх ризикованості та ліквідності підприємства. Вона розробляється керівництвом підприємства (спільно з установою, що його консультує з цих питань).</w:t>
      </w:r>
    </w:p>
    <w:p w:rsidR="00625D39" w:rsidRPr="009C19A3" w:rsidRDefault="005670E0" w:rsidP="009C19A3">
      <w:pPr>
        <w:spacing w:after="0" w:line="360" w:lineRule="auto"/>
        <w:ind w:firstLine="709"/>
        <w:jc w:val="both"/>
        <w:rPr>
          <w:rFonts w:ascii="Times New Roman" w:hAnsi="Times New Roman"/>
          <w:sz w:val="28"/>
          <w:szCs w:val="28"/>
          <w:lang w:val="uk-UA"/>
        </w:rPr>
      </w:pPr>
      <w:r w:rsidRPr="009C19A3">
        <w:rPr>
          <w:rFonts w:ascii="Times New Roman" w:hAnsi="Times New Roman"/>
          <w:sz w:val="28"/>
          <w:szCs w:val="28"/>
          <w:lang w:val="uk-UA"/>
        </w:rPr>
        <w:lastRenderedPageBreak/>
        <w:t xml:space="preserve">Використання ESG-індикаторів і даних про структуру власності має бути критичним: систематичний огляд X. Li та співавторів виявляє залежність висновків від показників оцінки компанії й дослідницьких методів </w:t>
      </w:r>
      <w:r w:rsidRPr="009C19A3">
        <w:rPr>
          <w:rFonts w:ascii="Times New Roman" w:eastAsia="Times New Roman" w:hAnsi="Times New Roman"/>
          <w:sz w:val="28"/>
          <w:szCs w:val="28"/>
          <w:lang w:val="uk-UA"/>
        </w:rPr>
        <w:t>[182]</w:t>
      </w:r>
      <w:r w:rsidRPr="009C19A3">
        <w:rPr>
          <w:rFonts w:ascii="Times New Roman" w:hAnsi="Times New Roman"/>
          <w:sz w:val="28"/>
          <w:szCs w:val="28"/>
          <w:lang w:val="uk-UA"/>
        </w:rPr>
        <w:t xml:space="preserve">, а T. H. D. Truong засвідчує значущість концентрації власності для взаємозв’язку ESG та вартості підприємства </w:t>
      </w:r>
      <w:r w:rsidRPr="009C19A3">
        <w:rPr>
          <w:rFonts w:ascii="Times New Roman" w:eastAsia="Times New Roman" w:hAnsi="Times New Roman"/>
          <w:sz w:val="28"/>
          <w:szCs w:val="28"/>
          <w:lang w:val="uk-UA"/>
        </w:rPr>
        <w:t>[190]</w:t>
      </w:r>
      <w:r w:rsidRPr="009C19A3">
        <w:rPr>
          <w:rFonts w:ascii="Times New Roman" w:hAnsi="Times New Roman"/>
          <w:sz w:val="28"/>
          <w:szCs w:val="28"/>
          <w:lang w:val="uk-UA"/>
        </w:rPr>
        <w:t>. Тому запропонований у дисертації управлінський блок має включати прозорість структури власників та якість корпоративного управління як самостійні ознаки поряд із ресурсною ефективністю.</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Найважливішим елементом </w:t>
      </w:r>
      <w:r w:rsidR="003F7D43" w:rsidRPr="00AD0D2A">
        <w:rPr>
          <w:rFonts w:ascii="Times New Roman" w:hAnsi="Times New Roman"/>
          <w:sz w:val="28"/>
          <w:szCs w:val="28"/>
          <w:lang w:val="uk-UA"/>
        </w:rPr>
        <w:t>інвестиційної привабливості</w:t>
      </w:r>
      <w:r w:rsidR="003F7D43" w:rsidRPr="00313EB1">
        <w:rPr>
          <w:rFonts w:ascii="Times New Roman" w:hAnsi="Times New Roman"/>
          <w:sz w:val="28"/>
          <w:szCs w:val="28"/>
          <w:lang w:val="uk-UA"/>
        </w:rPr>
        <w:t xml:space="preserve"> </w:t>
      </w:r>
      <w:r w:rsidRPr="00313EB1">
        <w:rPr>
          <w:rFonts w:ascii="Times New Roman" w:hAnsi="Times New Roman"/>
          <w:sz w:val="28"/>
          <w:szCs w:val="28"/>
          <w:lang w:val="uk-UA"/>
        </w:rPr>
        <w:t>є розробка стратегії та тактики управління валютно-фінансовим портфелем підприємства, що включає поряд з іншими його елементами портфель інвестицій.</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Основний зміст </w:t>
      </w:r>
      <w:r w:rsidR="003F7D43" w:rsidRPr="00AD0D2A">
        <w:rPr>
          <w:rFonts w:ascii="Times New Roman" w:hAnsi="Times New Roman"/>
          <w:sz w:val="28"/>
          <w:szCs w:val="28"/>
          <w:lang w:val="uk-UA"/>
        </w:rPr>
        <w:t>інвестиційної привабливості</w:t>
      </w:r>
      <w:r w:rsidR="003F7D43" w:rsidRPr="00313EB1">
        <w:rPr>
          <w:rFonts w:ascii="Times New Roman" w:hAnsi="Times New Roman"/>
          <w:sz w:val="28"/>
          <w:szCs w:val="28"/>
          <w:lang w:val="uk-UA"/>
        </w:rPr>
        <w:t xml:space="preserve"> </w:t>
      </w:r>
      <w:r w:rsidRPr="00313EB1">
        <w:rPr>
          <w:rFonts w:ascii="Times New Roman" w:hAnsi="Times New Roman"/>
          <w:sz w:val="28"/>
          <w:szCs w:val="28"/>
          <w:lang w:val="uk-UA"/>
        </w:rPr>
        <w:t xml:space="preserve">підприємства становить визначення кола інвестиційних </w:t>
      </w:r>
      <w:r w:rsidR="00DB1F48">
        <w:rPr>
          <w:rFonts w:ascii="Times New Roman" w:hAnsi="Times New Roman"/>
          <w:sz w:val="28"/>
          <w:szCs w:val="28"/>
          <w:lang w:val="uk-UA"/>
        </w:rPr>
        <w:t>проєк</w:t>
      </w:r>
      <w:r w:rsidRPr="00313EB1">
        <w:rPr>
          <w:rFonts w:ascii="Times New Roman" w:hAnsi="Times New Roman"/>
          <w:sz w:val="28"/>
          <w:szCs w:val="28"/>
          <w:lang w:val="uk-UA"/>
        </w:rPr>
        <w:t xml:space="preserve">тів, найбільш придатних </w:t>
      </w:r>
      <w:r w:rsidR="00683F74">
        <w:rPr>
          <w:rFonts w:ascii="Times New Roman" w:hAnsi="Times New Roman"/>
          <w:sz w:val="28"/>
          <w:szCs w:val="28"/>
          <w:lang w:val="uk-UA"/>
        </w:rPr>
        <w:t xml:space="preserve">для </w:t>
      </w:r>
      <w:r w:rsidRPr="00313EB1">
        <w:rPr>
          <w:rFonts w:ascii="Times New Roman" w:hAnsi="Times New Roman"/>
          <w:sz w:val="28"/>
          <w:szCs w:val="28"/>
          <w:lang w:val="uk-UA"/>
        </w:rPr>
        <w:t xml:space="preserve">вкладення коштів, оптимізація структури портфеля інвестицій за кожен конкретний період, визначення принципів і критеріїв, яких необхідно дотримуватися під час здійснення інвестиційної </w:t>
      </w:r>
      <w:r w:rsidR="00313EB1">
        <w:rPr>
          <w:rFonts w:ascii="Times New Roman" w:hAnsi="Times New Roman"/>
          <w:sz w:val="28"/>
          <w:szCs w:val="28"/>
          <w:lang w:val="uk-UA"/>
        </w:rPr>
        <w:t>діяльності</w:t>
      </w:r>
      <w:r w:rsidRPr="00313EB1">
        <w:rPr>
          <w:rFonts w:ascii="Times New Roman" w:hAnsi="Times New Roman"/>
          <w:sz w:val="28"/>
          <w:szCs w:val="28"/>
          <w:lang w:val="uk-UA"/>
        </w:rPr>
        <w:t>.</w:t>
      </w:r>
    </w:p>
    <w:p w:rsidR="000C4611" w:rsidRPr="009C19A3"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Частина підприємств (головним чином середніх та дрібних) здійснюють інвестиційні операції, не керуючись якимось заздалегідь складеним та схваленим планом. Є підприємства, де службовці, які займаються інвестиційною діяльністю, керуються офіційно затвердженими керівництвом підприємства установками щодо інвестиційної політики</w:t>
      </w:r>
      <w:r w:rsidR="002A16E4" w:rsidRPr="002A16E4">
        <w:rPr>
          <w:rFonts w:ascii="Times New Roman" w:hAnsi="Times New Roman"/>
          <w:sz w:val="28"/>
          <w:szCs w:val="28"/>
          <w:lang w:val="uk-UA"/>
        </w:rPr>
        <w:t xml:space="preserve"> </w:t>
      </w:r>
      <w:r w:rsidR="002A16E4" w:rsidRPr="002A16E4">
        <w:rPr>
          <w:rFonts w:ascii="Times New Roman" w:eastAsia="Times New Roman" w:hAnsi="Times New Roman"/>
          <w:sz w:val="28"/>
          <w:szCs w:val="28"/>
          <w:lang w:val="uk-UA"/>
        </w:rPr>
        <w:t>[33, c. 7]</w:t>
      </w:r>
      <w:r w:rsidRPr="00313EB1">
        <w:rPr>
          <w:rFonts w:ascii="Times New Roman" w:hAnsi="Times New Roman"/>
          <w:sz w:val="28"/>
          <w:szCs w:val="28"/>
          <w:lang w:val="uk-UA"/>
        </w:rPr>
        <w:t>. При цьому рада підприємства принаймні один раз на рік вносить до неї певні зміни з урахуванням кон'юнктури ринку, що складається</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[151, 152]</w:t>
      </w:r>
      <w:r w:rsidR="009C19A3" w:rsidRPr="009C19A3">
        <w:rPr>
          <w:rFonts w:ascii="Times New Roman" w:hAnsi="Times New Roman"/>
          <w:sz w:val="28"/>
          <w:szCs w:val="28"/>
          <w:lang w:val="uk-UA"/>
        </w:rPr>
        <w:t>.</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Будь-яке підприємство свідомо чи стихійно здійснює ту чи іншу інвестиційну політику. Хоча розробка документа, в якому сформульовані різні аспекти </w:t>
      </w:r>
      <w:r w:rsidR="003F7D4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є бажаною, його мають небагато підприємств. Основні аргументи проти наявності такого документа зводяться до того, що умови функціонування підприємства змінюються настільки швидко, що формальні, зафіксовані принципи старіють протягом короткого </w:t>
      </w:r>
      <w:r w:rsidRPr="00313EB1">
        <w:rPr>
          <w:rFonts w:ascii="Times New Roman" w:hAnsi="Times New Roman"/>
          <w:sz w:val="28"/>
          <w:szCs w:val="28"/>
          <w:lang w:val="uk-UA"/>
        </w:rPr>
        <w:lastRenderedPageBreak/>
        <w:t>періоду. Підприємства, безперечно, функціонують в умовах мінливої</w:t>
      </w:r>
      <w:r w:rsidR="003F7D43">
        <w:rPr>
          <w:rFonts w:ascii="Times New Roman" w:hAnsi="Times New Roman"/>
          <w:sz w:val="28"/>
          <w:szCs w:val="28"/>
          <w:lang w:val="uk-UA"/>
        </w:rPr>
        <w:t xml:space="preserve"> </w:t>
      </w:r>
      <w:r w:rsidRPr="00313EB1">
        <w:rPr>
          <w:rFonts w:ascii="Times New Roman" w:hAnsi="Times New Roman"/>
          <w:sz w:val="28"/>
          <w:szCs w:val="28"/>
          <w:lang w:val="uk-UA"/>
        </w:rPr>
        <w:t>обстановки, але зміни відбуваються не настільки швидко, щоб це заважало сформулювати певну політику.</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Основні чинники, </w:t>
      </w:r>
      <w:r w:rsidR="008A2761">
        <w:rPr>
          <w:rFonts w:ascii="Times New Roman" w:hAnsi="Times New Roman"/>
          <w:sz w:val="28"/>
          <w:szCs w:val="28"/>
          <w:lang w:val="uk-UA"/>
        </w:rPr>
        <w:t xml:space="preserve">що </w:t>
      </w:r>
      <w:r w:rsidRPr="00313EB1">
        <w:rPr>
          <w:rFonts w:ascii="Times New Roman" w:hAnsi="Times New Roman"/>
          <w:sz w:val="28"/>
          <w:szCs w:val="28"/>
          <w:lang w:val="uk-UA"/>
        </w:rPr>
        <w:t>визнача</w:t>
      </w:r>
      <w:r w:rsidR="008A2761">
        <w:rPr>
          <w:rFonts w:ascii="Times New Roman" w:hAnsi="Times New Roman"/>
          <w:sz w:val="28"/>
          <w:szCs w:val="28"/>
          <w:lang w:val="uk-UA"/>
        </w:rPr>
        <w:t>ють</w:t>
      </w:r>
      <w:r w:rsidRPr="00313EB1">
        <w:rPr>
          <w:rFonts w:ascii="Times New Roman" w:hAnsi="Times New Roman"/>
          <w:sz w:val="28"/>
          <w:szCs w:val="28"/>
          <w:lang w:val="uk-UA"/>
        </w:rPr>
        <w:t xml:space="preserve"> напрями й </w:t>
      </w:r>
      <w:r w:rsidR="008A2761">
        <w:rPr>
          <w:rFonts w:ascii="Times New Roman" w:hAnsi="Times New Roman"/>
          <w:sz w:val="28"/>
          <w:szCs w:val="28"/>
          <w:lang w:val="uk-UA"/>
        </w:rPr>
        <w:t>цілі</w:t>
      </w:r>
      <w:r w:rsidRPr="00313EB1">
        <w:rPr>
          <w:rFonts w:ascii="Times New Roman" w:hAnsi="Times New Roman"/>
          <w:sz w:val="28"/>
          <w:szCs w:val="28"/>
          <w:lang w:val="uk-UA"/>
        </w:rPr>
        <w:t xml:space="preserve"> </w:t>
      </w:r>
      <w:r w:rsidR="003F7D4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xml:space="preserve"> підприємства, </w:t>
      </w:r>
      <w:r w:rsidR="008A2761">
        <w:rPr>
          <w:rFonts w:ascii="Times New Roman" w:hAnsi="Times New Roman"/>
          <w:sz w:val="28"/>
          <w:szCs w:val="28"/>
          <w:lang w:val="uk-UA"/>
        </w:rPr>
        <w:t>–</w:t>
      </w:r>
      <w:r w:rsidRPr="00313EB1">
        <w:rPr>
          <w:rFonts w:ascii="Times New Roman" w:hAnsi="Times New Roman"/>
          <w:sz w:val="28"/>
          <w:szCs w:val="28"/>
          <w:lang w:val="uk-UA"/>
        </w:rPr>
        <w:t xml:space="preserve"> потреба у доході та ліквідності, готовність керівництва жертвувати ліквідністю в ім'я прибутку, і навпаки, тобто готовність </w:t>
      </w:r>
      <w:r w:rsidR="008A2761">
        <w:rPr>
          <w:rFonts w:ascii="Times New Roman" w:hAnsi="Times New Roman"/>
          <w:sz w:val="28"/>
          <w:szCs w:val="28"/>
          <w:lang w:val="uk-UA"/>
        </w:rPr>
        <w:t>і</w:t>
      </w:r>
      <w:r w:rsidRPr="00313EB1">
        <w:rPr>
          <w:rFonts w:ascii="Times New Roman" w:hAnsi="Times New Roman"/>
          <w:sz w:val="28"/>
          <w:szCs w:val="28"/>
          <w:lang w:val="uk-UA"/>
        </w:rPr>
        <w:t>ти на більший чи менший ризик. Проте ризик пов'язаний не лише з інвестиційною діяльністю, а й, зокрема, і з операціями з цінними паперами.</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Проте ризик активних операцій із цінними паперами можна врівноважити обережною політикою </w:t>
      </w:r>
      <w:r w:rsidR="008A2761">
        <w:rPr>
          <w:rFonts w:ascii="Times New Roman" w:hAnsi="Times New Roman"/>
          <w:sz w:val="28"/>
          <w:szCs w:val="28"/>
          <w:lang w:val="uk-UA"/>
        </w:rPr>
        <w:t xml:space="preserve">в </w:t>
      </w:r>
      <w:r w:rsidRPr="00313EB1">
        <w:rPr>
          <w:rFonts w:ascii="Times New Roman" w:hAnsi="Times New Roman"/>
          <w:sz w:val="28"/>
          <w:szCs w:val="28"/>
          <w:lang w:val="uk-UA"/>
        </w:rPr>
        <w:t>інших областях.</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При розробці інвестиційної політики необхідно мати на увазі ступінь ризику, який керівництво підприємства вважає прийнятним для формування портфеля інвестицій.</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Першим етапом розробки </w:t>
      </w:r>
      <w:r w:rsidR="003F7D43" w:rsidRPr="00AD0D2A">
        <w:rPr>
          <w:rFonts w:ascii="Times New Roman" w:hAnsi="Times New Roman"/>
          <w:sz w:val="28"/>
          <w:szCs w:val="28"/>
          <w:lang w:val="uk-UA"/>
        </w:rPr>
        <w:t>інвестиційної привабливості</w:t>
      </w:r>
      <w:r w:rsidR="003F7D43" w:rsidRPr="00313EB1">
        <w:rPr>
          <w:rFonts w:ascii="Times New Roman" w:hAnsi="Times New Roman"/>
          <w:sz w:val="28"/>
          <w:szCs w:val="28"/>
          <w:lang w:val="uk-UA"/>
        </w:rPr>
        <w:t xml:space="preserve"> </w:t>
      </w:r>
      <w:r w:rsidRPr="00313EB1">
        <w:rPr>
          <w:rFonts w:ascii="Times New Roman" w:hAnsi="Times New Roman"/>
          <w:sz w:val="28"/>
          <w:szCs w:val="28"/>
          <w:lang w:val="uk-UA"/>
        </w:rPr>
        <w:t>підприємства є формування системи цілей, на досягнення яких має бути спрямована ця політика</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Глобальною метою політики підприємства можна вважати максимізацію прибутку від активів, що розміщуються.</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Щодо інвестиційної діяльності, то слід виділити систему підцілей </w:t>
      </w:r>
      <w:r w:rsidR="003F7D43" w:rsidRPr="00AD0D2A">
        <w:rPr>
          <w:rFonts w:ascii="Times New Roman" w:hAnsi="Times New Roman"/>
          <w:sz w:val="28"/>
          <w:szCs w:val="28"/>
          <w:lang w:val="uk-UA"/>
        </w:rPr>
        <w:t>інвестиційної привабливості</w:t>
      </w:r>
      <w:r w:rsidRPr="00313EB1">
        <w:rPr>
          <w:rFonts w:ascii="Times New Roman" w:hAnsi="Times New Roman"/>
          <w:sz w:val="28"/>
          <w:szCs w:val="28"/>
          <w:lang w:val="uk-UA"/>
        </w:rPr>
        <w:t>, які реалізує підприємство:</w:t>
      </w:r>
    </w:p>
    <w:p w:rsidR="000C461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8A2761">
        <w:rPr>
          <w:rFonts w:ascii="Times New Roman" w:hAnsi="Times New Roman"/>
          <w:sz w:val="28"/>
          <w:szCs w:val="28"/>
          <w:lang w:val="uk-UA"/>
        </w:rPr>
        <w:t xml:space="preserve"> </w:t>
      </w:r>
      <w:r w:rsidR="000C4611" w:rsidRPr="00313EB1">
        <w:rPr>
          <w:rFonts w:ascii="Times New Roman" w:hAnsi="Times New Roman"/>
          <w:sz w:val="28"/>
          <w:szCs w:val="28"/>
          <w:lang w:val="uk-UA"/>
        </w:rPr>
        <w:t>стабільність отримання доходів упродовж тривалого часу,</w:t>
      </w:r>
    </w:p>
    <w:p w:rsidR="000C461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8A2761">
        <w:rPr>
          <w:rFonts w:ascii="Times New Roman" w:hAnsi="Times New Roman"/>
          <w:sz w:val="28"/>
          <w:szCs w:val="28"/>
          <w:lang w:val="uk-UA"/>
        </w:rPr>
        <w:t xml:space="preserve"> </w:t>
      </w:r>
      <w:r w:rsidR="000C4611" w:rsidRPr="00313EB1">
        <w:rPr>
          <w:rFonts w:ascii="Times New Roman" w:hAnsi="Times New Roman"/>
          <w:sz w:val="28"/>
          <w:szCs w:val="28"/>
          <w:lang w:val="uk-UA"/>
        </w:rPr>
        <w:t>використання податкових пільг, пов'язаних із виплатою доходів за певними видами цінних паперів,</w:t>
      </w:r>
    </w:p>
    <w:p w:rsidR="000C461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8A2761">
        <w:rPr>
          <w:rFonts w:ascii="Times New Roman" w:hAnsi="Times New Roman"/>
          <w:sz w:val="28"/>
          <w:szCs w:val="28"/>
          <w:lang w:val="uk-UA"/>
        </w:rPr>
        <w:t xml:space="preserve"> </w:t>
      </w:r>
      <w:r w:rsidR="000C4611" w:rsidRPr="00313EB1">
        <w:rPr>
          <w:rFonts w:ascii="Times New Roman" w:hAnsi="Times New Roman"/>
          <w:sz w:val="28"/>
          <w:szCs w:val="28"/>
          <w:lang w:val="uk-UA"/>
        </w:rPr>
        <w:t>мінімізація ризиків, пов'язаних з інвестиціями,</w:t>
      </w:r>
    </w:p>
    <w:p w:rsidR="000C4611"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8A2761">
        <w:rPr>
          <w:rFonts w:ascii="Times New Roman" w:hAnsi="Times New Roman"/>
          <w:sz w:val="28"/>
          <w:szCs w:val="28"/>
          <w:lang w:val="uk-UA"/>
        </w:rPr>
        <w:t xml:space="preserve"> </w:t>
      </w:r>
      <w:r w:rsidR="000C4611" w:rsidRPr="00313EB1">
        <w:rPr>
          <w:rFonts w:ascii="Times New Roman" w:hAnsi="Times New Roman"/>
          <w:sz w:val="28"/>
          <w:szCs w:val="28"/>
          <w:lang w:val="uk-UA"/>
        </w:rPr>
        <w:t>страхування інвестицій шляхом включення до інвестиційного портфеля різних видів цінних паперів</w:t>
      </w:r>
      <w:r w:rsidR="002A16E4" w:rsidRPr="002A16E4">
        <w:rPr>
          <w:rFonts w:ascii="Times New Roman" w:hAnsi="Times New Roman"/>
          <w:sz w:val="28"/>
          <w:szCs w:val="28"/>
        </w:rPr>
        <w:t xml:space="preserve"> </w:t>
      </w:r>
      <w:r w:rsidR="002A16E4" w:rsidRPr="002A16E4">
        <w:rPr>
          <w:rFonts w:ascii="Times New Roman" w:eastAsia="Times New Roman" w:hAnsi="Times New Roman"/>
          <w:sz w:val="28"/>
          <w:szCs w:val="28"/>
        </w:rPr>
        <w:t>[45, c. 89]</w:t>
      </w:r>
      <w:r w:rsidR="000C4611" w:rsidRPr="00313EB1">
        <w:rPr>
          <w:rFonts w:ascii="Times New Roman" w:hAnsi="Times New Roman"/>
          <w:sz w:val="28"/>
          <w:szCs w:val="28"/>
          <w:lang w:val="uk-UA"/>
        </w:rPr>
        <w:t>.</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З іншого боку, інвестиційна діяльність підприємства має задовольняти потреби клієнтів у різних формах інвестицій, забезпечувати конкурентоспроможність підприємства міста і мати соціальну спрямованість, тобто підтримувати його імідж як соціально значимого елемента.</w:t>
      </w:r>
    </w:p>
    <w:p w:rsidR="000C4611" w:rsidRPr="00313EB1" w:rsidRDefault="000C4611"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lastRenderedPageBreak/>
        <w:t>Цілі інвестування можна висловити кількісно. У цьому випадку інвестор визначає конкретні значення бажаного рівня доходності, форми її отримання та прийнятного ризику у прив'язці до певного періоду.</w:t>
      </w:r>
    </w:p>
    <w:p w:rsidR="0006744F" w:rsidRPr="00313EB1" w:rsidRDefault="0042018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На</w:t>
      </w:r>
      <w:r w:rsidR="0006744F" w:rsidRPr="00313EB1">
        <w:rPr>
          <w:rFonts w:ascii="Times New Roman" w:hAnsi="Times New Roman"/>
          <w:sz w:val="28"/>
          <w:szCs w:val="28"/>
          <w:lang w:val="uk-UA"/>
        </w:rPr>
        <w:t xml:space="preserve"> друго</w:t>
      </w:r>
      <w:r>
        <w:rPr>
          <w:rFonts w:ascii="Times New Roman" w:hAnsi="Times New Roman"/>
          <w:sz w:val="28"/>
          <w:szCs w:val="28"/>
          <w:lang w:val="uk-UA"/>
        </w:rPr>
        <w:t>му</w:t>
      </w:r>
      <w:r w:rsidR="0006744F" w:rsidRPr="00313EB1">
        <w:rPr>
          <w:rFonts w:ascii="Times New Roman" w:hAnsi="Times New Roman"/>
          <w:sz w:val="28"/>
          <w:szCs w:val="28"/>
          <w:lang w:val="uk-UA"/>
        </w:rPr>
        <w:t xml:space="preserve"> етапі підприємства розробляють програму дій, орієнтованих </w:t>
      </w:r>
      <w:r>
        <w:rPr>
          <w:rFonts w:ascii="Times New Roman" w:hAnsi="Times New Roman"/>
          <w:sz w:val="28"/>
          <w:szCs w:val="28"/>
          <w:lang w:val="uk-UA"/>
        </w:rPr>
        <w:t xml:space="preserve">на </w:t>
      </w:r>
      <w:r w:rsidR="0006744F" w:rsidRPr="00313EB1">
        <w:rPr>
          <w:rFonts w:ascii="Times New Roman" w:hAnsi="Times New Roman"/>
          <w:sz w:val="28"/>
          <w:szCs w:val="28"/>
          <w:lang w:val="uk-UA"/>
        </w:rPr>
        <w:t>досягнення інвестиційних цілей. Ця програма може мати різні форми – концепція розвитку підприємства, стратегічні напрями дій, бізнес-план на довг</w:t>
      </w:r>
      <w:r>
        <w:rPr>
          <w:rFonts w:ascii="Times New Roman" w:hAnsi="Times New Roman"/>
          <w:sz w:val="28"/>
          <w:szCs w:val="28"/>
          <w:lang w:val="uk-UA"/>
        </w:rPr>
        <w:t>о-,</w:t>
      </w:r>
      <w:r w:rsidR="0006744F" w:rsidRPr="00313EB1">
        <w:rPr>
          <w:rFonts w:ascii="Times New Roman" w:hAnsi="Times New Roman"/>
          <w:sz w:val="28"/>
          <w:szCs w:val="28"/>
          <w:lang w:val="uk-UA"/>
        </w:rPr>
        <w:t xml:space="preserve"> середньо- та короткострокову перспективу тощо.</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Підсумком реалізації зазначених програм має стати формування портфеля інвестицій, який дасть бажаний результат при заданому рівні витрат та прийнятному рівні ризику.</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Інвестиційний портфель підприємства </w:t>
      </w:r>
      <w:r w:rsidR="0042018E">
        <w:rPr>
          <w:rFonts w:ascii="Times New Roman" w:hAnsi="Times New Roman"/>
          <w:sz w:val="28"/>
          <w:szCs w:val="28"/>
          <w:lang w:val="uk-UA"/>
        </w:rPr>
        <w:t>–</w:t>
      </w:r>
      <w:r w:rsidRPr="00313EB1">
        <w:rPr>
          <w:rFonts w:ascii="Times New Roman" w:hAnsi="Times New Roman"/>
          <w:sz w:val="28"/>
          <w:szCs w:val="28"/>
          <w:lang w:val="uk-UA"/>
        </w:rPr>
        <w:t xml:space="preserve"> це набір фінансових інструментів, які обираються для досягнення однієї чи кількох цілей.</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Важливими елементами </w:t>
      </w:r>
      <w:r w:rsidR="006A180B" w:rsidRPr="00AD0D2A">
        <w:rPr>
          <w:rFonts w:ascii="Times New Roman" w:hAnsi="Times New Roman"/>
          <w:sz w:val="28"/>
          <w:szCs w:val="28"/>
          <w:lang w:val="uk-UA"/>
        </w:rPr>
        <w:t>інвестиційної привабливості</w:t>
      </w:r>
      <w:r w:rsidR="006A180B" w:rsidRPr="00313EB1">
        <w:rPr>
          <w:rFonts w:ascii="Times New Roman" w:hAnsi="Times New Roman"/>
          <w:sz w:val="28"/>
          <w:szCs w:val="28"/>
          <w:lang w:val="uk-UA"/>
        </w:rPr>
        <w:t xml:space="preserve"> </w:t>
      </w:r>
      <w:r w:rsidRPr="00313EB1">
        <w:rPr>
          <w:rFonts w:ascii="Times New Roman" w:hAnsi="Times New Roman"/>
          <w:sz w:val="28"/>
          <w:szCs w:val="28"/>
          <w:lang w:val="uk-UA"/>
        </w:rPr>
        <w:t xml:space="preserve">підприємства є принципи формування портфеля </w:t>
      </w:r>
      <w:r w:rsidR="00D61FC4">
        <w:rPr>
          <w:rFonts w:ascii="Times New Roman" w:hAnsi="Times New Roman"/>
          <w:sz w:val="28"/>
          <w:szCs w:val="28"/>
          <w:lang w:val="uk-UA"/>
        </w:rPr>
        <w:t>інвестицій</w:t>
      </w:r>
      <w:r w:rsidRPr="00313EB1">
        <w:rPr>
          <w:rFonts w:ascii="Times New Roman" w:hAnsi="Times New Roman"/>
          <w:sz w:val="28"/>
          <w:szCs w:val="28"/>
          <w:lang w:val="uk-UA"/>
        </w:rPr>
        <w:t>.</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Основний принцип формування інвестиційного портфеля</w:t>
      </w:r>
      <w:r w:rsidR="00DB1F48">
        <w:rPr>
          <w:rFonts w:ascii="Times New Roman" w:hAnsi="Times New Roman"/>
          <w:sz w:val="28"/>
          <w:szCs w:val="28"/>
          <w:lang w:val="uk-UA"/>
        </w:rPr>
        <w:t xml:space="preserve"> – </w:t>
      </w:r>
      <w:r w:rsidRPr="00313EB1">
        <w:rPr>
          <w:rFonts w:ascii="Times New Roman" w:hAnsi="Times New Roman"/>
          <w:sz w:val="28"/>
          <w:szCs w:val="28"/>
          <w:lang w:val="uk-UA"/>
        </w:rPr>
        <w:t xml:space="preserve">комбінація інвестиційних інструментів, у яких розміщуються активи підприємства в такий спосіб, щоб домогтися поставленої мети при оптимальних рівнях дохідності, ризику і </w:t>
      </w:r>
      <w:r w:rsidR="0042018E">
        <w:rPr>
          <w:rFonts w:ascii="Times New Roman" w:hAnsi="Times New Roman"/>
          <w:sz w:val="28"/>
          <w:szCs w:val="28"/>
          <w:lang w:val="uk-UA"/>
        </w:rPr>
        <w:t>ви</w:t>
      </w:r>
      <w:r w:rsidRPr="00313EB1">
        <w:rPr>
          <w:rFonts w:ascii="Times New Roman" w:hAnsi="Times New Roman"/>
          <w:sz w:val="28"/>
          <w:szCs w:val="28"/>
          <w:lang w:val="uk-UA"/>
        </w:rPr>
        <w:t>трат</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[46]</w:t>
      </w:r>
      <w:r w:rsidRPr="005670E0">
        <w:rPr>
          <w:lang w:val="uk-UA"/>
        </w:rPr>
        <w:t>.</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Іншим принципом формування портфеля є його диверсифікація, яка полягає в тому, що підприємства формують інвестиційний портфель із фінансових інструментів, що мають різні характеристики з точки зору прибутковості у часі, ліквідності, надійності та інших параметрів.</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Спільно диверсифікований портфель повинен поєднувати у собі фінансові взаємодоповнюючі інструменти, що дозволяють підстрахувати підприємство від несподіваних змін ситуації на фінансовому ринку.</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Формування диверсифікованого портфеля переста</w:t>
      </w:r>
      <w:r w:rsidR="0042018E">
        <w:rPr>
          <w:rFonts w:ascii="Times New Roman" w:hAnsi="Times New Roman"/>
          <w:sz w:val="28"/>
          <w:szCs w:val="28"/>
          <w:lang w:val="uk-UA"/>
        </w:rPr>
        <w:t>ло</w:t>
      </w:r>
      <w:r w:rsidRPr="00313EB1">
        <w:rPr>
          <w:rFonts w:ascii="Times New Roman" w:hAnsi="Times New Roman"/>
          <w:sz w:val="28"/>
          <w:szCs w:val="28"/>
          <w:lang w:val="uk-UA"/>
        </w:rPr>
        <w:t xml:space="preserve"> бути одномоментним актом</w:t>
      </w:r>
      <w:r w:rsidR="002A16E4" w:rsidRPr="002A16E4">
        <w:rPr>
          <w:rFonts w:ascii="Times New Roman" w:hAnsi="Times New Roman"/>
          <w:sz w:val="28"/>
          <w:szCs w:val="28"/>
        </w:rPr>
        <w:t xml:space="preserve"> </w:t>
      </w:r>
      <w:r w:rsidR="002A16E4" w:rsidRPr="002A16E4">
        <w:rPr>
          <w:rFonts w:ascii="Times New Roman" w:eastAsia="Times New Roman" w:hAnsi="Times New Roman"/>
          <w:sz w:val="28"/>
          <w:szCs w:val="28"/>
        </w:rPr>
        <w:t>[10, c. 96]</w:t>
      </w:r>
      <w:r w:rsidRPr="00313EB1">
        <w:rPr>
          <w:rFonts w:ascii="Times New Roman" w:hAnsi="Times New Roman"/>
          <w:sz w:val="28"/>
          <w:szCs w:val="28"/>
          <w:lang w:val="uk-UA"/>
        </w:rPr>
        <w:t>. Управління портфелем здійснюється і полягає у скоєнні операцій із купівлі</w:t>
      </w:r>
      <w:r w:rsidR="00DB1F48">
        <w:rPr>
          <w:rFonts w:ascii="Times New Roman" w:hAnsi="Times New Roman"/>
          <w:sz w:val="28"/>
          <w:szCs w:val="28"/>
          <w:lang w:val="uk-UA"/>
        </w:rPr>
        <w:t xml:space="preserve"> – </w:t>
      </w:r>
      <w:r w:rsidRPr="00313EB1">
        <w:rPr>
          <w:rFonts w:ascii="Times New Roman" w:hAnsi="Times New Roman"/>
          <w:sz w:val="28"/>
          <w:szCs w:val="28"/>
          <w:lang w:val="uk-UA"/>
        </w:rPr>
        <w:t>продажу фінансових цінностей, тобто у безперервній зміні структури активів підприємства.</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lastRenderedPageBreak/>
        <w:t>Важливе значення має постановка інвестиційних цілей і завдань</w:t>
      </w:r>
      <w:r w:rsidR="0042018E">
        <w:rPr>
          <w:rFonts w:ascii="Times New Roman" w:hAnsi="Times New Roman"/>
          <w:sz w:val="28"/>
          <w:szCs w:val="28"/>
          <w:lang w:val="uk-UA"/>
        </w:rPr>
        <w:t>, які з них випливають</w:t>
      </w:r>
      <w:r w:rsidRPr="00313EB1">
        <w:rPr>
          <w:rFonts w:ascii="Times New Roman" w:hAnsi="Times New Roman"/>
          <w:sz w:val="28"/>
          <w:szCs w:val="28"/>
          <w:lang w:val="uk-UA"/>
        </w:rPr>
        <w:t xml:space="preserve">. Як тільки </w:t>
      </w:r>
      <w:r w:rsidR="0042018E">
        <w:rPr>
          <w:rFonts w:ascii="Times New Roman" w:hAnsi="Times New Roman"/>
          <w:sz w:val="28"/>
          <w:szCs w:val="28"/>
          <w:lang w:val="uk-UA"/>
        </w:rPr>
        <w:t>цілі</w:t>
      </w:r>
      <w:r w:rsidRPr="00313EB1">
        <w:rPr>
          <w:rFonts w:ascii="Times New Roman" w:hAnsi="Times New Roman"/>
          <w:sz w:val="28"/>
          <w:szCs w:val="28"/>
          <w:lang w:val="uk-UA"/>
        </w:rPr>
        <w:t xml:space="preserve"> поставлені, має бути розроблений інвестиційний план</w:t>
      </w:r>
      <w:r w:rsidR="00DB1F48">
        <w:rPr>
          <w:rFonts w:ascii="Times New Roman" w:hAnsi="Times New Roman"/>
          <w:sz w:val="28"/>
          <w:szCs w:val="28"/>
          <w:lang w:val="uk-UA"/>
        </w:rPr>
        <w:t xml:space="preserve"> – </w:t>
      </w:r>
      <w:r w:rsidRPr="00313EB1">
        <w:rPr>
          <w:rFonts w:ascii="Times New Roman" w:hAnsi="Times New Roman"/>
          <w:sz w:val="28"/>
          <w:szCs w:val="28"/>
          <w:lang w:val="uk-UA"/>
        </w:rPr>
        <w:t>письмовий документ, що відображає інвестиційні цілі, способи інвестування, терміни досягнення цілей, розмір прийнятного ризику.</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Інвестиційні цілі, які мають бути покладені в основу інвестиційного плану підприємства, зазвичай формуються з урахуванням наступних умов:</w:t>
      </w:r>
    </w:p>
    <w:p w:rsidR="0006744F"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6744F" w:rsidRPr="00313EB1">
        <w:rPr>
          <w:rFonts w:ascii="Times New Roman" w:hAnsi="Times New Roman"/>
          <w:sz w:val="28"/>
          <w:szCs w:val="28"/>
          <w:lang w:val="uk-UA"/>
        </w:rPr>
        <w:t xml:space="preserve"> </w:t>
      </w:r>
      <w:r w:rsidR="00D54B5D" w:rsidRPr="00313EB1">
        <w:rPr>
          <w:rFonts w:ascii="Times New Roman" w:hAnsi="Times New Roman"/>
          <w:sz w:val="28"/>
          <w:szCs w:val="28"/>
          <w:lang w:val="uk-UA"/>
        </w:rPr>
        <w:t>збільшення поточного доходу;</w:t>
      </w:r>
    </w:p>
    <w:p w:rsidR="0006744F"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D54B5D" w:rsidRPr="00313EB1">
        <w:rPr>
          <w:rFonts w:ascii="Times New Roman" w:hAnsi="Times New Roman"/>
          <w:sz w:val="28"/>
          <w:szCs w:val="28"/>
          <w:lang w:val="uk-UA"/>
        </w:rPr>
        <w:t xml:space="preserve"> акумуляція активів на вирішення інвестиційних завдань більшого масштабу у майбутньому;</w:t>
      </w:r>
    </w:p>
    <w:p w:rsidR="0006744F" w:rsidRPr="00313EB1" w:rsidRDefault="00FC4ABE" w:rsidP="00313EB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D54B5D" w:rsidRPr="00313EB1">
        <w:rPr>
          <w:rFonts w:ascii="Times New Roman" w:hAnsi="Times New Roman"/>
          <w:sz w:val="28"/>
          <w:szCs w:val="28"/>
          <w:lang w:val="uk-UA"/>
        </w:rPr>
        <w:t xml:space="preserve"> отримання </w:t>
      </w:r>
      <w:r w:rsidR="0006744F" w:rsidRPr="00313EB1">
        <w:rPr>
          <w:rFonts w:ascii="Times New Roman" w:hAnsi="Times New Roman"/>
          <w:sz w:val="28"/>
          <w:szCs w:val="28"/>
          <w:lang w:val="uk-UA"/>
        </w:rPr>
        <w:t>податкових пільг</w:t>
      </w:r>
      <w:r w:rsidR="002A16E4" w:rsidRPr="00AF7F70">
        <w:rPr>
          <w:rFonts w:ascii="Times New Roman" w:hAnsi="Times New Roman"/>
          <w:sz w:val="28"/>
          <w:szCs w:val="28"/>
          <w:lang w:val="uk-UA"/>
        </w:rPr>
        <w:t xml:space="preserve"> </w:t>
      </w:r>
      <w:r w:rsidR="002A16E4" w:rsidRPr="00AF7F70">
        <w:rPr>
          <w:rFonts w:ascii="Times New Roman" w:eastAsia="Times New Roman" w:hAnsi="Times New Roman"/>
          <w:sz w:val="28"/>
          <w:szCs w:val="28"/>
          <w:lang w:val="uk-UA"/>
        </w:rPr>
        <w:t>[5, c. 62]</w:t>
      </w:r>
      <w:r w:rsidR="0006744F" w:rsidRPr="00313EB1">
        <w:rPr>
          <w:rFonts w:ascii="Times New Roman" w:hAnsi="Times New Roman"/>
          <w:sz w:val="28"/>
          <w:szCs w:val="28"/>
          <w:lang w:val="uk-UA"/>
        </w:rPr>
        <w:t>.</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Інвестиційний план, що містить стратегічні цілі, має знайти свій відбиток у інвестиційних програмах </w:t>
      </w:r>
      <w:r w:rsidR="0042018E">
        <w:rPr>
          <w:rFonts w:ascii="Times New Roman" w:hAnsi="Times New Roman"/>
          <w:sz w:val="28"/>
          <w:szCs w:val="28"/>
          <w:lang w:val="uk-UA"/>
        </w:rPr>
        <w:t>–</w:t>
      </w:r>
      <w:r w:rsidRPr="00313EB1">
        <w:rPr>
          <w:rFonts w:ascii="Times New Roman" w:hAnsi="Times New Roman"/>
          <w:sz w:val="28"/>
          <w:szCs w:val="28"/>
          <w:lang w:val="uk-UA"/>
        </w:rPr>
        <w:t xml:space="preserve"> системі заходів, вкладених у досягнення цілей.</w:t>
      </w:r>
    </w:p>
    <w:p w:rsidR="0006744F" w:rsidRPr="00313EB1"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Варіанти інвестиційної стратегії підприємства наведено у </w:t>
      </w:r>
      <w:r w:rsidR="0042018E">
        <w:rPr>
          <w:rFonts w:ascii="Times New Roman" w:hAnsi="Times New Roman"/>
          <w:sz w:val="28"/>
          <w:szCs w:val="28"/>
          <w:lang w:val="uk-UA"/>
        </w:rPr>
        <w:t>таблиці 1.1</w:t>
      </w:r>
      <w:r w:rsidRPr="00313EB1">
        <w:rPr>
          <w:rFonts w:ascii="Times New Roman" w:hAnsi="Times New Roman"/>
          <w:sz w:val="28"/>
          <w:szCs w:val="28"/>
          <w:lang w:val="uk-UA"/>
        </w:rPr>
        <w:t>.</w:t>
      </w:r>
    </w:p>
    <w:p w:rsidR="0006744F" w:rsidRDefault="0006744F" w:rsidP="00313EB1">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У зв'язку з цим розглянемо формування вимог до інвестиційної привабливості підприємства з боку інвесторів.</w:t>
      </w:r>
    </w:p>
    <w:p w:rsidR="0042018E" w:rsidRDefault="0042018E" w:rsidP="0042018E">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Загалом аналіз інвестиційного клімату регіону включає та залежить від двох складових, що найбільш повно розкривають його сутність </w:t>
      </w:r>
      <w:r w:rsidR="00E218DA">
        <w:rPr>
          <w:rFonts w:ascii="Times New Roman" w:hAnsi="Times New Roman"/>
          <w:sz w:val="28"/>
          <w:szCs w:val="28"/>
          <w:lang w:val="uk-UA"/>
        </w:rPr>
        <w:t>–</w:t>
      </w:r>
      <w:r w:rsidRPr="00B04791">
        <w:rPr>
          <w:rFonts w:ascii="Times New Roman" w:hAnsi="Times New Roman"/>
          <w:sz w:val="28"/>
          <w:szCs w:val="28"/>
          <w:lang w:val="uk-UA"/>
        </w:rPr>
        <w:t xml:space="preserve"> інвестиційна привабливість регіону та його інвестиційна </w:t>
      </w:r>
      <w:r w:rsidRPr="008E1967">
        <w:rPr>
          <w:rFonts w:ascii="Times New Roman" w:hAnsi="Times New Roman"/>
          <w:sz w:val="28"/>
          <w:szCs w:val="28"/>
          <w:lang w:val="uk-UA"/>
        </w:rPr>
        <w:t xml:space="preserve">активність </w:t>
      </w:r>
      <w:r w:rsidR="00FC4ABE">
        <w:rPr>
          <w:rFonts w:ascii="Times New Roman" w:hAnsi="Times New Roman"/>
          <w:sz w:val="28"/>
          <w:szCs w:val="28"/>
          <w:lang w:val="uk-UA"/>
        </w:rPr>
        <w:br/>
      </w:r>
      <w:r w:rsidRPr="008E1967">
        <w:rPr>
          <w:rFonts w:ascii="Times New Roman" w:hAnsi="Times New Roman"/>
          <w:sz w:val="28"/>
          <w:szCs w:val="28"/>
          <w:lang w:val="uk-UA"/>
        </w:rPr>
        <w:t>(</w:t>
      </w:r>
      <w:r w:rsidR="008E1967" w:rsidRPr="008E1967">
        <w:rPr>
          <w:rFonts w:ascii="Times New Roman" w:hAnsi="Times New Roman"/>
          <w:sz w:val="28"/>
          <w:szCs w:val="28"/>
          <w:lang w:val="uk-UA"/>
        </w:rPr>
        <w:t>табл. 1.1</w:t>
      </w:r>
      <w:r w:rsidRPr="008E1967">
        <w:rPr>
          <w:rFonts w:ascii="Times New Roman" w:hAnsi="Times New Roman"/>
          <w:sz w:val="28"/>
          <w:szCs w:val="28"/>
          <w:lang w:val="uk-UA"/>
        </w:rPr>
        <w:t>). Багато вчених відзначають пряму залежність між цими кате</w:t>
      </w:r>
      <w:r>
        <w:rPr>
          <w:rFonts w:ascii="Times New Roman" w:hAnsi="Times New Roman"/>
          <w:sz w:val="28"/>
          <w:szCs w:val="28"/>
          <w:lang w:val="uk-UA"/>
        </w:rPr>
        <w:t>горіями інвестиційного аналізу</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[12, 58, 147]</w:t>
      </w:r>
      <w:r>
        <w:t>.</w:t>
      </w:r>
    </w:p>
    <w:p w:rsidR="00816BAD" w:rsidRPr="00B04791" w:rsidRDefault="00816BAD" w:rsidP="00816BAD">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Оцінка сучасних підходів до проблеми аналізу інвестиційної привабливості </w:t>
      </w:r>
      <w:r w:rsidRPr="00D733EB">
        <w:rPr>
          <w:rFonts w:ascii="Times New Roman" w:hAnsi="Times New Roman"/>
          <w:sz w:val="28"/>
          <w:szCs w:val="28"/>
          <w:lang w:val="uk-UA"/>
        </w:rPr>
        <w:t>сільськогосподарських підприємств</w:t>
      </w:r>
      <w:r w:rsidRPr="00B04791">
        <w:rPr>
          <w:rFonts w:ascii="Times New Roman" w:hAnsi="Times New Roman"/>
          <w:sz w:val="28"/>
          <w:szCs w:val="28"/>
          <w:lang w:val="uk-UA"/>
        </w:rPr>
        <w:t xml:space="preserve"> у показує, що в більшості випадків вчені дотримуються точки зору, згідно з якою ця категорія інвестиційного аналізу залежить від двох складових: інвестиційний </w:t>
      </w:r>
      <w:r w:rsidRPr="00AD4095">
        <w:rPr>
          <w:rFonts w:ascii="Times New Roman" w:hAnsi="Times New Roman"/>
          <w:sz w:val="28"/>
          <w:szCs w:val="28"/>
          <w:lang w:val="uk-UA"/>
        </w:rPr>
        <w:t xml:space="preserve"> </w:t>
      </w:r>
      <w:r w:rsidRPr="00B04791">
        <w:rPr>
          <w:rFonts w:ascii="Times New Roman" w:hAnsi="Times New Roman"/>
          <w:sz w:val="28"/>
          <w:szCs w:val="28"/>
          <w:lang w:val="uk-UA"/>
        </w:rPr>
        <w:t>потенціал та інвестиційний ризик</w:t>
      </w:r>
      <w:r w:rsidRPr="00AD4095">
        <w:rPr>
          <w:rFonts w:ascii="Times New Roman" w:hAnsi="Times New Roman"/>
          <w:sz w:val="28"/>
          <w:szCs w:val="28"/>
          <w:lang w:val="uk-UA"/>
        </w:rPr>
        <w:t xml:space="preserve"> </w:t>
      </w:r>
      <w:r w:rsidRPr="00AD4095">
        <w:rPr>
          <w:rFonts w:ascii="Times New Roman" w:eastAsia="Times New Roman" w:hAnsi="Times New Roman"/>
          <w:sz w:val="28"/>
          <w:szCs w:val="28"/>
          <w:lang w:val="uk-UA"/>
        </w:rPr>
        <w:t>[18, c. 81]</w:t>
      </w:r>
      <w:r w:rsidRPr="00B04791">
        <w:rPr>
          <w:rFonts w:ascii="Times New Roman" w:hAnsi="Times New Roman"/>
          <w:sz w:val="28"/>
          <w:szCs w:val="28"/>
          <w:lang w:val="uk-UA"/>
        </w:rPr>
        <w:t>. Такого підходу також дотримуються провідні рейтингові агенції</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[141]</w:t>
      </w:r>
      <w:r w:rsidRPr="005670E0">
        <w:rPr>
          <w:lang w:val="uk-UA"/>
        </w:rPr>
        <w:t>.</w:t>
      </w:r>
    </w:p>
    <w:p w:rsidR="00816BAD" w:rsidRDefault="00816BAD" w:rsidP="00816BAD">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Інвестиційний потенціал </w:t>
      </w:r>
      <w:r>
        <w:rPr>
          <w:rFonts w:ascii="Times New Roman" w:hAnsi="Times New Roman"/>
          <w:sz w:val="28"/>
          <w:szCs w:val="28"/>
          <w:lang w:val="uk-UA"/>
        </w:rPr>
        <w:t>ма</w:t>
      </w:r>
      <w:r w:rsidRPr="00B04791">
        <w:rPr>
          <w:rFonts w:ascii="Times New Roman" w:hAnsi="Times New Roman"/>
          <w:sz w:val="28"/>
          <w:szCs w:val="28"/>
          <w:lang w:val="uk-UA"/>
        </w:rPr>
        <w:t xml:space="preserve">є якісну характеристику, яка враховує основні макроекономічні характеристики у вигляді суми об'єктивних </w:t>
      </w:r>
      <w:r w:rsidRPr="00B04791">
        <w:rPr>
          <w:rFonts w:ascii="Times New Roman" w:hAnsi="Times New Roman"/>
          <w:sz w:val="28"/>
          <w:szCs w:val="28"/>
          <w:lang w:val="uk-UA"/>
        </w:rPr>
        <w:lastRenderedPageBreak/>
        <w:t>передумов для інвестицій і залежить як від наявності та різноманітності сфер об'єктів інвестування, так і від економічного розвитку регіону</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[16, 22]</w:t>
      </w:r>
      <w:r w:rsidRPr="004009DE">
        <w:rPr>
          <w:lang w:val="uk-UA"/>
        </w:rPr>
        <w:t>.</w:t>
      </w:r>
    </w:p>
    <w:p w:rsidR="00B04791" w:rsidRPr="00B04791" w:rsidRDefault="00B04791" w:rsidP="00B04791">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Його розрахунок ґрунтується на абсолютних статистичних показниках. Інвестиційний потенціал регіону складається з наступних основних </w:t>
      </w:r>
      <w:r w:rsidR="00AF230A">
        <w:rPr>
          <w:rFonts w:ascii="Times New Roman" w:hAnsi="Times New Roman"/>
          <w:sz w:val="28"/>
          <w:szCs w:val="28"/>
          <w:lang w:val="uk-UA"/>
        </w:rPr>
        <w:t>окрем</w:t>
      </w:r>
      <w:r w:rsidRPr="00B04791">
        <w:rPr>
          <w:rFonts w:ascii="Times New Roman" w:hAnsi="Times New Roman"/>
          <w:sz w:val="28"/>
          <w:szCs w:val="28"/>
          <w:lang w:val="uk-UA"/>
        </w:rPr>
        <w:t>их потенціалів:</w:t>
      </w:r>
    </w:p>
    <w:p w:rsidR="00FC4ABE" w:rsidRDefault="00B04791" w:rsidP="00FC4ABE">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природно-ресурсний (забезпеченість основними видами виробничих та сировинних ресурсів);</w:t>
      </w:r>
    </w:p>
    <w:p w:rsidR="00154AA6" w:rsidRPr="001626EF" w:rsidRDefault="00154AA6" w:rsidP="00FC4ABE">
      <w:pPr>
        <w:spacing w:after="0" w:line="360" w:lineRule="auto"/>
        <w:ind w:firstLine="709"/>
        <w:jc w:val="right"/>
        <w:rPr>
          <w:rFonts w:ascii="Times New Roman" w:hAnsi="Times New Roman"/>
          <w:sz w:val="28"/>
          <w:szCs w:val="28"/>
          <w:lang w:val="uk-UA"/>
        </w:rPr>
      </w:pPr>
      <w:r w:rsidRPr="001626EF">
        <w:rPr>
          <w:rFonts w:ascii="Times New Roman" w:hAnsi="Times New Roman"/>
          <w:sz w:val="28"/>
          <w:szCs w:val="28"/>
          <w:lang w:val="uk-UA"/>
        </w:rPr>
        <w:t>Таблиця 1.1</w:t>
      </w:r>
    </w:p>
    <w:p w:rsidR="00154AA6" w:rsidRPr="00AF7F70" w:rsidRDefault="00154AA6" w:rsidP="00154AA6">
      <w:pPr>
        <w:spacing w:after="0" w:line="240" w:lineRule="auto"/>
        <w:ind w:firstLine="709"/>
        <w:jc w:val="both"/>
        <w:rPr>
          <w:rFonts w:ascii="Times New Roman" w:hAnsi="Times New Roman"/>
          <w:sz w:val="28"/>
          <w:szCs w:val="28"/>
          <w:lang w:val="uk-UA"/>
        </w:rPr>
      </w:pPr>
      <w:r w:rsidRPr="00AF7F70">
        <w:rPr>
          <w:rFonts w:ascii="Times New Roman" w:hAnsi="Times New Roman"/>
          <w:sz w:val="28"/>
          <w:szCs w:val="28"/>
          <w:lang w:val="uk-UA"/>
        </w:rPr>
        <w:t xml:space="preserve">Варіанти стратегії </w:t>
      </w:r>
      <w:r w:rsidRPr="00AD0D2A">
        <w:rPr>
          <w:rFonts w:ascii="Times New Roman" w:hAnsi="Times New Roman"/>
          <w:sz w:val="28"/>
          <w:szCs w:val="28"/>
          <w:lang w:val="uk-UA"/>
        </w:rPr>
        <w:t>інвестиційної привабливості</w:t>
      </w:r>
      <w:r w:rsidRPr="00AF7F70">
        <w:rPr>
          <w:rFonts w:ascii="Times New Roman" w:hAnsi="Times New Roman"/>
          <w:sz w:val="28"/>
          <w:szCs w:val="28"/>
          <w:lang w:val="uk-UA"/>
        </w:rPr>
        <w:t xml:space="preserve"> підприємства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380"/>
        <w:gridCol w:w="2409"/>
        <w:gridCol w:w="2545"/>
      </w:tblGrid>
      <w:tr w:rsidR="00154AA6" w:rsidRPr="006E2EE7" w:rsidTr="005670E0">
        <w:trPr>
          <w:cantSplit/>
          <w:tblHeader/>
        </w:trPr>
        <w:tc>
          <w:tcPr>
            <w:tcW w:w="201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Критерії</w:t>
            </w:r>
          </w:p>
        </w:tc>
        <w:tc>
          <w:tcPr>
            <w:tcW w:w="7334" w:type="dxa"/>
            <w:gridSpan w:val="3"/>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Види інвестиційної стратегії</w:t>
            </w:r>
          </w:p>
          <w:p w:rsidR="00154AA6" w:rsidRPr="006E2EE7" w:rsidRDefault="00154AA6" w:rsidP="005670E0">
            <w:pPr>
              <w:spacing w:after="0" w:line="240" w:lineRule="auto"/>
              <w:jc w:val="both"/>
              <w:rPr>
                <w:rFonts w:ascii="Times New Roman" w:hAnsi="Times New Roman"/>
                <w:sz w:val="24"/>
                <w:szCs w:val="24"/>
                <w:lang w:val="uk-UA"/>
              </w:rPr>
            </w:pPr>
          </w:p>
        </w:tc>
      </w:tr>
      <w:tr w:rsidR="00154AA6" w:rsidRPr="006E2EE7" w:rsidTr="005670E0">
        <w:trPr>
          <w:cantSplit/>
        </w:trPr>
        <w:tc>
          <w:tcPr>
            <w:tcW w:w="201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p>
        </w:tc>
        <w:tc>
          <w:tcPr>
            <w:tcW w:w="238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консервативна</w:t>
            </w:r>
          </w:p>
        </w:tc>
        <w:tc>
          <w:tcPr>
            <w:tcW w:w="2409"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помірна</w:t>
            </w:r>
          </w:p>
        </w:tc>
        <w:tc>
          <w:tcPr>
            <w:tcW w:w="2545"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агресивна</w:t>
            </w:r>
          </w:p>
        </w:tc>
      </w:tr>
      <w:tr w:rsidR="00154AA6" w:rsidRPr="006E2EE7" w:rsidTr="005670E0">
        <w:trPr>
          <w:cantSplit/>
        </w:trPr>
        <w:tc>
          <w:tcPr>
            <w:tcW w:w="201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w:t>
            </w:r>
            <w:r>
              <w:rPr>
                <w:rFonts w:ascii="Times New Roman" w:hAnsi="Times New Roman"/>
                <w:sz w:val="24"/>
                <w:szCs w:val="24"/>
                <w:lang w:val="uk-UA"/>
              </w:rPr>
              <w:t> </w:t>
            </w:r>
            <w:r w:rsidRPr="006E2EE7">
              <w:rPr>
                <w:rFonts w:ascii="Times New Roman" w:hAnsi="Times New Roman"/>
                <w:sz w:val="24"/>
                <w:szCs w:val="24"/>
                <w:lang w:val="uk-UA"/>
              </w:rPr>
              <w:t>Методи інвестування коштів</w:t>
            </w:r>
          </w:p>
          <w:p w:rsidR="00154AA6" w:rsidRPr="006E2EE7" w:rsidRDefault="00154AA6" w:rsidP="005670E0">
            <w:pPr>
              <w:spacing w:after="0" w:line="240" w:lineRule="auto"/>
              <w:jc w:val="both"/>
              <w:rPr>
                <w:rFonts w:ascii="Times New Roman" w:hAnsi="Times New Roman"/>
                <w:sz w:val="24"/>
                <w:szCs w:val="24"/>
                <w:lang w:val="uk-UA"/>
              </w:rPr>
            </w:pPr>
          </w:p>
        </w:tc>
        <w:tc>
          <w:tcPr>
            <w:tcW w:w="238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Консервативний інвестор (мінімальні ризики, висока надійність та ліквідність цінних паперів).</w:t>
            </w:r>
            <w:r>
              <w:rPr>
                <w:rFonts w:ascii="Times New Roman" w:hAnsi="Times New Roman"/>
                <w:sz w:val="24"/>
                <w:szCs w:val="24"/>
                <w:lang w:val="uk-UA"/>
              </w:rPr>
              <w:t xml:space="preserve"> </w:t>
            </w:r>
            <w:r w:rsidRPr="006E2EE7">
              <w:rPr>
                <w:rFonts w:ascii="Times New Roman" w:hAnsi="Times New Roman"/>
                <w:sz w:val="24"/>
                <w:szCs w:val="24"/>
                <w:lang w:val="uk-UA"/>
              </w:rPr>
              <w:t>Пере</w:t>
            </w:r>
            <w:r>
              <w:rPr>
                <w:rFonts w:ascii="Times New Roman" w:hAnsi="Times New Roman"/>
                <w:sz w:val="24"/>
                <w:szCs w:val="24"/>
                <w:lang w:val="uk-UA"/>
              </w:rPr>
              <w:t>-</w:t>
            </w:r>
            <w:r w:rsidRPr="006E2EE7">
              <w:rPr>
                <w:rFonts w:ascii="Times New Roman" w:hAnsi="Times New Roman"/>
                <w:sz w:val="24"/>
                <w:szCs w:val="24"/>
                <w:lang w:val="uk-UA"/>
              </w:rPr>
              <w:t>важно державні цінн</w:t>
            </w:r>
            <w:r>
              <w:rPr>
                <w:rFonts w:ascii="Times New Roman" w:hAnsi="Times New Roman"/>
                <w:sz w:val="24"/>
                <w:szCs w:val="24"/>
                <w:lang w:val="uk-UA"/>
              </w:rPr>
              <w:t>і</w:t>
            </w:r>
            <w:r w:rsidRPr="006E2EE7">
              <w:rPr>
                <w:rFonts w:ascii="Times New Roman" w:hAnsi="Times New Roman"/>
                <w:sz w:val="24"/>
                <w:szCs w:val="24"/>
                <w:lang w:val="uk-UA"/>
              </w:rPr>
              <w:t xml:space="preserve"> папер</w:t>
            </w:r>
            <w:r>
              <w:rPr>
                <w:rFonts w:ascii="Times New Roman" w:hAnsi="Times New Roman"/>
                <w:sz w:val="24"/>
                <w:szCs w:val="24"/>
                <w:lang w:val="uk-UA"/>
              </w:rPr>
              <w:t>и</w:t>
            </w:r>
            <w:r w:rsidRPr="006E2EE7">
              <w:rPr>
                <w:rFonts w:ascii="Times New Roman" w:hAnsi="Times New Roman"/>
                <w:sz w:val="24"/>
                <w:szCs w:val="24"/>
                <w:lang w:val="uk-UA"/>
              </w:rPr>
              <w:t>. Портфель стабільний, оборотність паперів низька, частка вкладень у них не зростає</w:t>
            </w:r>
          </w:p>
        </w:tc>
        <w:tc>
          <w:tcPr>
            <w:tcW w:w="2409"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Помірний інвестор, (помірний ризик, достатня ліквідність та прибутковість цінних паперів). У портфелі з'являються високо</w:t>
            </w:r>
            <w:r>
              <w:rPr>
                <w:rFonts w:ascii="Times New Roman" w:hAnsi="Times New Roman"/>
                <w:sz w:val="24"/>
                <w:szCs w:val="24"/>
                <w:lang w:val="uk-UA"/>
              </w:rPr>
              <w:t>-</w:t>
            </w:r>
            <w:r w:rsidRPr="006E2EE7">
              <w:rPr>
                <w:rFonts w:ascii="Times New Roman" w:hAnsi="Times New Roman"/>
                <w:sz w:val="24"/>
                <w:szCs w:val="24"/>
                <w:lang w:val="uk-UA"/>
              </w:rPr>
              <w:t>ризикові спекулятивні папери. Спроби інвестицій у нові венчурні компанії. Частка вкладень у цінні папери стабільна чи повільно зростає</w:t>
            </w:r>
          </w:p>
        </w:tc>
        <w:tc>
          <w:tcPr>
            <w:tcW w:w="2545"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Агресивний інвестор (високі ризики, низька ліквідність та висока прибутковість цінних паперів). Фінансові інновації, спроби опанувати контрольні пакети, спекуляції.</w:t>
            </w:r>
          </w:p>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Великі щоденні обороти, частка вкладень у цінні папери активно зростає</w:t>
            </w:r>
          </w:p>
        </w:tc>
      </w:tr>
      <w:tr w:rsidR="00154AA6" w:rsidRPr="006E2EE7" w:rsidTr="005670E0">
        <w:trPr>
          <w:cantSplit/>
        </w:trPr>
        <w:tc>
          <w:tcPr>
            <w:tcW w:w="201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w:t>
            </w:r>
            <w:r>
              <w:rPr>
                <w:rFonts w:ascii="Times New Roman" w:hAnsi="Times New Roman"/>
                <w:sz w:val="24"/>
                <w:szCs w:val="24"/>
                <w:lang w:val="uk-UA"/>
              </w:rPr>
              <w:t> </w:t>
            </w:r>
            <w:r w:rsidRPr="006E2EE7">
              <w:rPr>
                <w:rFonts w:ascii="Times New Roman" w:hAnsi="Times New Roman"/>
                <w:sz w:val="24"/>
                <w:szCs w:val="24"/>
                <w:lang w:val="uk-UA"/>
              </w:rPr>
              <w:t>Оточення підприємства підконтрольними організаціями, створення банківських груп, фінансових холдингів</w:t>
            </w:r>
          </w:p>
        </w:tc>
        <w:tc>
          <w:tcPr>
            <w:tcW w:w="2380"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Здійснюється у виняткових випадках</w:t>
            </w:r>
          </w:p>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особливо вигідних та надійних пропозицій</w:t>
            </w:r>
          </w:p>
        </w:tc>
        <w:tc>
          <w:tcPr>
            <w:tcW w:w="2409"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Обережне створення групи небанківських</w:t>
            </w:r>
          </w:p>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фінансових інститутів, пов'язаних із банком.</w:t>
            </w:r>
          </w:p>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Виділення з банку спеціалізованих підприємств з виконання окремих видів банківських операцій (лізингові, трастові, фінансові корпорації)</w:t>
            </w:r>
          </w:p>
        </w:tc>
        <w:tc>
          <w:tcPr>
            <w:tcW w:w="2545" w:type="dxa"/>
            <w:shd w:val="clear" w:color="auto" w:fill="auto"/>
          </w:tcPr>
          <w:p w:rsidR="00154AA6" w:rsidRPr="006E2EE7" w:rsidRDefault="00154AA6" w:rsidP="005670E0">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Агресивне створення підконтрольних банку небанківських фінансових інститутів, ланцюгових банківських груп Формування через банк</w:t>
            </w:r>
            <w:r>
              <w:rPr>
                <w:rFonts w:ascii="Times New Roman" w:hAnsi="Times New Roman"/>
                <w:sz w:val="24"/>
                <w:szCs w:val="24"/>
                <w:lang w:val="uk-UA"/>
              </w:rPr>
              <w:t xml:space="preserve"> </w:t>
            </w:r>
            <w:r w:rsidRPr="006E2EE7">
              <w:rPr>
                <w:rFonts w:ascii="Times New Roman" w:hAnsi="Times New Roman"/>
                <w:sz w:val="24"/>
                <w:szCs w:val="24"/>
                <w:lang w:val="uk-UA"/>
              </w:rPr>
              <w:t>холдингових структур з управління нефінансовими підприємствами</w:t>
            </w:r>
            <w:r>
              <w:rPr>
                <w:rFonts w:ascii="Times New Roman" w:hAnsi="Times New Roman"/>
                <w:sz w:val="24"/>
                <w:szCs w:val="24"/>
                <w:lang w:val="uk-UA"/>
              </w:rPr>
              <w:t>.</w:t>
            </w:r>
            <w:r w:rsidRPr="006E2EE7">
              <w:rPr>
                <w:rFonts w:ascii="Times New Roman" w:hAnsi="Times New Roman"/>
                <w:sz w:val="24"/>
                <w:szCs w:val="24"/>
                <w:lang w:val="uk-UA"/>
              </w:rPr>
              <w:t xml:space="preserve"> Оточення</w:t>
            </w:r>
            <w:r>
              <w:rPr>
                <w:rFonts w:ascii="Times New Roman" w:hAnsi="Times New Roman"/>
                <w:sz w:val="24"/>
                <w:szCs w:val="24"/>
                <w:lang w:val="uk-UA"/>
              </w:rPr>
              <w:t xml:space="preserve"> </w:t>
            </w:r>
            <w:r w:rsidRPr="006E2EE7">
              <w:rPr>
                <w:rFonts w:ascii="Times New Roman" w:hAnsi="Times New Roman"/>
                <w:sz w:val="24"/>
                <w:szCs w:val="24"/>
                <w:lang w:val="uk-UA"/>
              </w:rPr>
              <w:t>банку дочірніми підприємствами, що реалізують ту чи іншу банківську функцію (трастові, лізингові, фінансові компанії)</w:t>
            </w:r>
          </w:p>
        </w:tc>
      </w:tr>
    </w:tbl>
    <w:p w:rsidR="00154AA6" w:rsidRPr="00864B2F" w:rsidRDefault="00154AA6" w:rsidP="00154AA6">
      <w:pPr>
        <w:pStyle w:val="a5"/>
        <w:spacing w:before="0" w:beforeAutospacing="0" w:after="0" w:afterAutospacing="0" w:line="360" w:lineRule="auto"/>
        <w:ind w:left="709"/>
        <w:jc w:val="both"/>
        <w:rPr>
          <w:i/>
          <w:iCs/>
          <w:color w:val="000000"/>
          <w:lang w:val="uk-UA"/>
        </w:rPr>
      </w:pPr>
      <w:r>
        <w:rPr>
          <w:i/>
          <w:iCs/>
          <w:color w:val="000000"/>
          <w:lang w:val="uk-UA"/>
        </w:rPr>
        <w:t>Джерело: розроблено автором</w:t>
      </w:r>
    </w:p>
    <w:p w:rsidR="00FC4ABE" w:rsidRDefault="00FC4ABE" w:rsidP="00B04791">
      <w:pPr>
        <w:spacing w:after="0" w:line="360" w:lineRule="auto"/>
        <w:ind w:firstLine="709"/>
        <w:jc w:val="both"/>
        <w:rPr>
          <w:rFonts w:ascii="Times New Roman" w:hAnsi="Times New Roman"/>
          <w:sz w:val="28"/>
          <w:szCs w:val="28"/>
          <w:lang w:val="uk-UA"/>
        </w:rPr>
      </w:pP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трудовий (трудові ресурси та </w:t>
      </w:r>
      <w:r w:rsidR="00AF230A">
        <w:rPr>
          <w:rFonts w:ascii="Times New Roman" w:hAnsi="Times New Roman"/>
          <w:sz w:val="28"/>
          <w:szCs w:val="28"/>
          <w:lang w:val="uk-UA"/>
        </w:rPr>
        <w:t>їх</w:t>
      </w:r>
      <w:r w:rsidR="00B04791" w:rsidRPr="00B04791">
        <w:rPr>
          <w:rFonts w:ascii="Times New Roman" w:hAnsi="Times New Roman"/>
          <w:sz w:val="28"/>
          <w:szCs w:val="28"/>
          <w:lang w:val="uk-UA"/>
        </w:rPr>
        <w:t xml:space="preserve"> рівень кваліфікації);</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виробничий (сукупний результат господарськ</w:t>
      </w:r>
      <w:r w:rsidR="00AF230A">
        <w:rPr>
          <w:rFonts w:ascii="Times New Roman" w:hAnsi="Times New Roman"/>
          <w:sz w:val="28"/>
          <w:szCs w:val="28"/>
          <w:lang w:val="uk-UA"/>
        </w:rPr>
        <w:t>ої</w:t>
      </w:r>
      <w:r w:rsidR="00B04791" w:rsidRPr="00B04791">
        <w:rPr>
          <w:rFonts w:ascii="Times New Roman" w:hAnsi="Times New Roman"/>
          <w:sz w:val="28"/>
          <w:szCs w:val="28"/>
          <w:lang w:val="uk-UA"/>
        </w:rPr>
        <w:t xml:space="preserve"> діяльн</w:t>
      </w:r>
      <w:r w:rsidR="00AF230A">
        <w:rPr>
          <w:rFonts w:ascii="Times New Roman" w:hAnsi="Times New Roman"/>
          <w:sz w:val="28"/>
          <w:szCs w:val="28"/>
          <w:lang w:val="uk-UA"/>
        </w:rPr>
        <w:t>о</w:t>
      </w:r>
      <w:r w:rsidR="00B04791" w:rsidRPr="00B04791">
        <w:rPr>
          <w:rFonts w:ascii="Times New Roman" w:hAnsi="Times New Roman"/>
          <w:sz w:val="28"/>
          <w:szCs w:val="28"/>
          <w:lang w:val="uk-UA"/>
        </w:rPr>
        <w:t>ст</w:t>
      </w:r>
      <w:r w:rsidR="00AF230A">
        <w:rPr>
          <w:rFonts w:ascii="Times New Roman" w:hAnsi="Times New Roman"/>
          <w:sz w:val="28"/>
          <w:szCs w:val="28"/>
          <w:lang w:val="uk-UA"/>
        </w:rPr>
        <w:t>і</w:t>
      </w:r>
      <w:r w:rsidR="00B04791" w:rsidRPr="00B04791">
        <w:rPr>
          <w:rFonts w:ascii="Times New Roman" w:hAnsi="Times New Roman"/>
          <w:sz w:val="28"/>
          <w:szCs w:val="28"/>
          <w:lang w:val="uk-UA"/>
        </w:rPr>
        <w:t xml:space="preserve"> населення </w:t>
      </w:r>
      <w:r w:rsidR="00AF230A">
        <w:rPr>
          <w:rFonts w:ascii="Times New Roman" w:hAnsi="Times New Roman"/>
          <w:sz w:val="28"/>
          <w:szCs w:val="28"/>
          <w:lang w:val="uk-UA"/>
        </w:rPr>
        <w:t xml:space="preserve">у </w:t>
      </w:r>
      <w:r w:rsidR="00B04791" w:rsidRPr="00B04791">
        <w:rPr>
          <w:rFonts w:ascii="Times New Roman" w:hAnsi="Times New Roman"/>
          <w:sz w:val="28"/>
          <w:szCs w:val="28"/>
          <w:lang w:val="uk-UA"/>
        </w:rPr>
        <w:t>регіоні);</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інноваційний (рівень розвитку науки та впровадження досягнень НТП у регіоні)</w:t>
      </w:r>
      <w:r w:rsidR="00B04791" w:rsidRPr="009C19A3">
        <w:rPr>
          <w:rFonts w:ascii="Times New Roman" w:hAnsi="Times New Roman"/>
          <w:sz w:val="28"/>
          <w:szCs w:val="28"/>
          <w:lang w:val="uk-UA"/>
        </w:rPr>
        <w:t xml:space="preserve"> </w:t>
      </w:r>
      <w:r w:rsidR="00B04791" w:rsidRPr="009C19A3">
        <w:rPr>
          <w:rFonts w:ascii="Times New Roman" w:eastAsia="Times New Roman" w:hAnsi="Times New Roman"/>
          <w:sz w:val="28"/>
          <w:szCs w:val="28"/>
          <w:lang w:val="uk-UA"/>
        </w:rPr>
        <w:t>[180]</w:t>
      </w:r>
      <w:r w:rsidR="009C19A3" w:rsidRPr="00B04791">
        <w:rPr>
          <w:rFonts w:ascii="Times New Roman" w:hAnsi="Times New Roman"/>
          <w:sz w:val="28"/>
          <w:szCs w:val="28"/>
          <w:lang w:val="uk-UA"/>
        </w:rPr>
        <w:t>;</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інституційний (ступінь розвитку провідних інститутів ринкової економіки </w:t>
      </w:r>
      <w:r w:rsidR="00AF230A">
        <w:rPr>
          <w:rFonts w:ascii="Times New Roman" w:hAnsi="Times New Roman"/>
          <w:sz w:val="28"/>
          <w:szCs w:val="28"/>
          <w:lang w:val="uk-UA"/>
        </w:rPr>
        <w:t xml:space="preserve">у </w:t>
      </w:r>
      <w:r w:rsidR="00B04791" w:rsidRPr="00B04791">
        <w:rPr>
          <w:rFonts w:ascii="Times New Roman" w:hAnsi="Times New Roman"/>
          <w:sz w:val="28"/>
          <w:szCs w:val="28"/>
          <w:lang w:val="uk-UA"/>
        </w:rPr>
        <w:t>регіоні);</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інфраструктурний (географічне положення регіону та його інфраструктурна забезпеченість);</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фінансовий (обсяг податкових та інших грошових надходжень до бюджетної системи з території даного регіону);</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споживчий (сукупна купівельна спроможність населення регіону)</w:t>
      </w:r>
      <w:r w:rsidR="00AD4095" w:rsidRPr="00AD4095">
        <w:rPr>
          <w:rFonts w:ascii="Times New Roman" w:hAnsi="Times New Roman"/>
          <w:sz w:val="28"/>
          <w:szCs w:val="28"/>
        </w:rPr>
        <w:t xml:space="preserve"> </w:t>
      </w:r>
      <w:r>
        <w:rPr>
          <w:rFonts w:ascii="Times New Roman" w:hAnsi="Times New Roman"/>
          <w:sz w:val="28"/>
          <w:szCs w:val="28"/>
        </w:rPr>
        <w:br/>
      </w:r>
      <w:r w:rsidR="00AD4095" w:rsidRPr="00AD4095">
        <w:rPr>
          <w:rFonts w:ascii="Times New Roman" w:eastAsia="Times New Roman" w:hAnsi="Times New Roman"/>
          <w:sz w:val="28"/>
          <w:szCs w:val="28"/>
        </w:rPr>
        <w:t>[33, c. 4]</w:t>
      </w:r>
      <w:r w:rsidR="00B04791" w:rsidRPr="00B04791">
        <w:rPr>
          <w:rFonts w:ascii="Times New Roman" w:hAnsi="Times New Roman"/>
          <w:sz w:val="28"/>
          <w:szCs w:val="28"/>
          <w:lang w:val="uk-UA"/>
        </w:rPr>
        <w:t>.</w:t>
      </w:r>
    </w:p>
    <w:p w:rsidR="00B04791" w:rsidRPr="00B04791" w:rsidRDefault="00B04791" w:rsidP="00B04791">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Інвестиційний ризик оцінює ймовірність втрати інвестицій та доходу від них. Щодо регіону можна виділити такі види ризику:</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політичний (залежить від стійкості регіональної влади та політичної поляризації населення);</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економічний (пов'язаний з динамікою економічних процесів у регіоні);</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соціальний (пов'язаний з рівнем соціальної напруженості в регіоні);</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криміналістичний (залежить від рівня злочинності з урахуванням тяжкості </w:t>
      </w:r>
      <w:r w:rsidR="00AD4095" w:rsidRPr="00B04791">
        <w:rPr>
          <w:rFonts w:ascii="Times New Roman" w:hAnsi="Times New Roman"/>
          <w:sz w:val="28"/>
          <w:szCs w:val="28"/>
          <w:lang w:val="uk-UA"/>
        </w:rPr>
        <w:t>злочинів);</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AD4095" w:rsidRPr="00B04791">
        <w:rPr>
          <w:rFonts w:ascii="Times New Roman" w:hAnsi="Times New Roman"/>
          <w:sz w:val="28"/>
          <w:szCs w:val="28"/>
          <w:lang w:val="uk-UA"/>
        </w:rPr>
        <w:t xml:space="preserve"> екологічний (інтегральний рівень забруднення навколишнього середовища</w:t>
      </w:r>
      <w:r w:rsidR="00B04791" w:rsidRPr="00B04791">
        <w:rPr>
          <w:rFonts w:ascii="Times New Roman" w:hAnsi="Times New Roman"/>
          <w:sz w:val="28"/>
          <w:szCs w:val="28"/>
          <w:lang w:val="uk-UA"/>
        </w:rPr>
        <w:t>);</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фінансовий (відбиває напруженість регіональних бюджетів та сукупні фінансові результати діяльності підприємств регіонів);</w:t>
      </w:r>
    </w:p>
    <w:p w:rsidR="00B04791" w:rsidRPr="00B04791" w:rsidRDefault="00FC4ABE" w:rsidP="00B04791">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B04791" w:rsidRPr="00B04791">
        <w:rPr>
          <w:rFonts w:ascii="Times New Roman" w:hAnsi="Times New Roman"/>
          <w:sz w:val="28"/>
          <w:szCs w:val="28"/>
          <w:lang w:val="uk-UA"/>
        </w:rPr>
        <w:t xml:space="preserve"> законодавчий (сукупність правових норм, що регулюють економічні відносини на території: місцеві податки, пільги, обмеження тощо) </w:t>
      </w:r>
      <w:r w:rsidR="00B04791" w:rsidRPr="00B04791">
        <w:rPr>
          <w:rFonts w:ascii="Times New Roman" w:eastAsia="Times New Roman" w:hAnsi="Times New Roman"/>
          <w:sz w:val="28"/>
          <w:szCs w:val="28"/>
          <w:lang w:val="uk-UA"/>
        </w:rPr>
        <w:t>[17, c. 17]</w:t>
      </w:r>
      <w:r w:rsidR="00B04791" w:rsidRPr="00B04791">
        <w:rPr>
          <w:rFonts w:ascii="Times New Roman" w:hAnsi="Times New Roman"/>
          <w:sz w:val="28"/>
          <w:szCs w:val="28"/>
          <w:lang w:val="uk-UA"/>
        </w:rPr>
        <w:t>.</w:t>
      </w:r>
    </w:p>
    <w:p w:rsidR="00FC4ABE" w:rsidRDefault="00B04791" w:rsidP="00B04791">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lastRenderedPageBreak/>
        <w:t xml:space="preserve">У той же час скласти загальне уявлення про інвестиційну привабливість </w:t>
      </w:r>
      <w:r w:rsidR="00A716FF" w:rsidRPr="00D733EB">
        <w:rPr>
          <w:rFonts w:ascii="Times New Roman" w:hAnsi="Times New Roman"/>
          <w:sz w:val="28"/>
          <w:szCs w:val="28"/>
          <w:lang w:val="uk-UA"/>
        </w:rPr>
        <w:t>сільськогосподарських підприємств</w:t>
      </w:r>
      <w:r w:rsidRPr="00B04791">
        <w:rPr>
          <w:rFonts w:ascii="Times New Roman" w:hAnsi="Times New Roman"/>
          <w:sz w:val="28"/>
          <w:szCs w:val="28"/>
          <w:lang w:val="uk-UA"/>
        </w:rPr>
        <w:t xml:space="preserve"> для інвестора можливо за допомогою основних показників, що характеризують динаміку його розвитку. Такі дані публікуються щорічно статистичними органами </w:t>
      </w:r>
      <w:r w:rsidR="006E2EE7">
        <w:rPr>
          <w:rFonts w:ascii="Times New Roman" w:hAnsi="Times New Roman"/>
          <w:sz w:val="28"/>
          <w:szCs w:val="28"/>
          <w:lang w:val="uk-UA"/>
        </w:rPr>
        <w:t>України</w:t>
      </w:r>
      <w:r w:rsidR="00E218DA">
        <w:rPr>
          <w:rFonts w:ascii="Times New Roman" w:hAnsi="Times New Roman"/>
          <w:sz w:val="28"/>
          <w:szCs w:val="28"/>
          <w:lang w:val="uk-UA"/>
        </w:rPr>
        <w:t>,</w:t>
      </w:r>
      <w:r w:rsidRPr="00B04791">
        <w:rPr>
          <w:rFonts w:ascii="Times New Roman" w:hAnsi="Times New Roman"/>
          <w:sz w:val="28"/>
          <w:szCs w:val="28"/>
          <w:lang w:val="uk-UA"/>
        </w:rPr>
        <w:t xml:space="preserve"> з</w:t>
      </w:r>
      <w:r w:rsidR="00E218DA">
        <w:rPr>
          <w:rFonts w:ascii="Times New Roman" w:hAnsi="Times New Roman"/>
          <w:sz w:val="28"/>
          <w:szCs w:val="28"/>
          <w:lang w:val="uk-UA"/>
        </w:rPr>
        <w:t>а</w:t>
      </w:r>
      <w:r w:rsidRPr="00B04791">
        <w:rPr>
          <w:rFonts w:ascii="Times New Roman" w:hAnsi="Times New Roman"/>
          <w:sz w:val="28"/>
          <w:szCs w:val="28"/>
          <w:lang w:val="uk-UA"/>
        </w:rPr>
        <w:t xml:space="preserve"> допомогою них інвестору легко можна провести поверхневий (експрес) аналіз інвестиційної привабливості. До таких показників відносять: темпи зростання валового регіонального продукту (ВРП); індекс промислового виробництва; темпи зростання інвестиці</w:t>
      </w:r>
      <w:r w:rsidR="00E218DA">
        <w:rPr>
          <w:rFonts w:ascii="Times New Roman" w:hAnsi="Times New Roman"/>
          <w:sz w:val="28"/>
          <w:szCs w:val="28"/>
          <w:lang w:val="uk-UA"/>
        </w:rPr>
        <w:t>й</w:t>
      </w:r>
      <w:r w:rsidRPr="00B04791">
        <w:rPr>
          <w:rFonts w:ascii="Times New Roman" w:hAnsi="Times New Roman"/>
          <w:sz w:val="28"/>
          <w:szCs w:val="28"/>
          <w:lang w:val="uk-UA"/>
        </w:rPr>
        <w:t xml:space="preserve"> в основний капітал; індекс зростання реальних доходів населення; індекс виробництва продукції сільського господарства; індекс фізичного обсягу робіт, виконаних за договором будівельного підряду; індекс фізичного обсягу обороту роздрібної торгівлі; темпи зростання сальдованого фінансового результату; питома вага збиткових організацій. </w:t>
      </w:r>
    </w:p>
    <w:p w:rsidR="00B04791" w:rsidRPr="003440B9" w:rsidRDefault="00B04791" w:rsidP="00B04791">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Проведення аналізу в такому складі дозволить інвестору сформувати загальне уявлення про </w:t>
      </w:r>
      <w:r w:rsidR="00A716FF" w:rsidRPr="00D733EB">
        <w:rPr>
          <w:rFonts w:ascii="Times New Roman" w:hAnsi="Times New Roman"/>
          <w:sz w:val="28"/>
          <w:szCs w:val="28"/>
          <w:lang w:val="uk-UA"/>
        </w:rPr>
        <w:t>сільськогосподарськ</w:t>
      </w:r>
      <w:r w:rsidR="00A716FF">
        <w:rPr>
          <w:rFonts w:ascii="Times New Roman" w:hAnsi="Times New Roman"/>
          <w:sz w:val="28"/>
          <w:szCs w:val="28"/>
          <w:lang w:val="uk-UA"/>
        </w:rPr>
        <w:t>е</w:t>
      </w:r>
      <w:r w:rsidR="00A716FF" w:rsidRPr="00D733EB">
        <w:rPr>
          <w:rFonts w:ascii="Times New Roman" w:hAnsi="Times New Roman"/>
          <w:sz w:val="28"/>
          <w:szCs w:val="28"/>
          <w:lang w:val="uk-UA"/>
        </w:rPr>
        <w:t xml:space="preserve"> підприємств</w:t>
      </w:r>
      <w:r w:rsidR="00A716FF">
        <w:rPr>
          <w:rFonts w:ascii="Times New Roman" w:hAnsi="Times New Roman"/>
          <w:sz w:val="28"/>
          <w:szCs w:val="28"/>
          <w:lang w:val="uk-UA"/>
        </w:rPr>
        <w:t>о</w:t>
      </w:r>
      <w:r w:rsidRPr="00B04791">
        <w:rPr>
          <w:rFonts w:ascii="Times New Roman" w:hAnsi="Times New Roman"/>
          <w:sz w:val="28"/>
          <w:szCs w:val="28"/>
          <w:lang w:val="uk-UA"/>
        </w:rPr>
        <w:t xml:space="preserve"> </w:t>
      </w:r>
      <w:r w:rsidR="00E218DA">
        <w:rPr>
          <w:rFonts w:ascii="Times New Roman" w:hAnsi="Times New Roman"/>
          <w:sz w:val="28"/>
          <w:szCs w:val="28"/>
          <w:lang w:val="uk-UA"/>
        </w:rPr>
        <w:t>–</w:t>
      </w:r>
      <w:r w:rsidRPr="00B04791">
        <w:rPr>
          <w:rFonts w:ascii="Times New Roman" w:hAnsi="Times New Roman"/>
          <w:sz w:val="28"/>
          <w:szCs w:val="28"/>
          <w:lang w:val="uk-UA"/>
        </w:rPr>
        <w:t xml:space="preserve"> потенційний об'єкт інвестицій</w:t>
      </w:r>
      <w:r w:rsidR="00E218DA">
        <w:rPr>
          <w:rFonts w:ascii="Times New Roman" w:hAnsi="Times New Roman"/>
          <w:sz w:val="28"/>
          <w:szCs w:val="28"/>
          <w:lang w:val="uk-UA"/>
        </w:rPr>
        <w:t>;</w:t>
      </w:r>
      <w:r w:rsidRPr="00B04791">
        <w:rPr>
          <w:rFonts w:ascii="Times New Roman" w:hAnsi="Times New Roman"/>
          <w:sz w:val="28"/>
          <w:szCs w:val="28"/>
          <w:lang w:val="uk-UA"/>
        </w:rPr>
        <w:t xml:space="preserve"> якщо виникають спірні результати, для </w:t>
      </w:r>
      <w:r w:rsidRPr="003440B9">
        <w:rPr>
          <w:rFonts w:ascii="Times New Roman" w:hAnsi="Times New Roman"/>
          <w:sz w:val="28"/>
          <w:szCs w:val="28"/>
          <w:lang w:val="uk-UA"/>
        </w:rPr>
        <w:t xml:space="preserve">вирішення </w:t>
      </w:r>
      <w:r w:rsidR="00E218DA" w:rsidRPr="003440B9">
        <w:rPr>
          <w:rFonts w:ascii="Times New Roman" w:hAnsi="Times New Roman"/>
          <w:sz w:val="28"/>
          <w:szCs w:val="28"/>
          <w:lang w:val="uk-UA"/>
        </w:rPr>
        <w:t xml:space="preserve">такої </w:t>
      </w:r>
      <w:r w:rsidRPr="003440B9">
        <w:rPr>
          <w:rFonts w:ascii="Times New Roman" w:hAnsi="Times New Roman"/>
          <w:sz w:val="28"/>
          <w:szCs w:val="28"/>
          <w:lang w:val="uk-UA"/>
        </w:rPr>
        <w:t>ситуації, безумовно, необхідно звернутися до професійних учасників ринку таких послуг</w:t>
      </w:r>
      <w:r w:rsidR="00DB1F48" w:rsidRPr="003440B9">
        <w:rPr>
          <w:rFonts w:ascii="Times New Roman" w:hAnsi="Times New Roman"/>
          <w:sz w:val="28"/>
          <w:szCs w:val="28"/>
          <w:lang w:val="uk-UA"/>
        </w:rPr>
        <w:t xml:space="preserve"> – </w:t>
      </w:r>
      <w:r w:rsidRPr="003440B9">
        <w:rPr>
          <w:rFonts w:ascii="Times New Roman" w:hAnsi="Times New Roman"/>
          <w:sz w:val="28"/>
          <w:szCs w:val="28"/>
          <w:lang w:val="uk-UA"/>
        </w:rPr>
        <w:t>рейтингових агентств</w:t>
      </w:r>
      <w:r w:rsidRPr="00F346C3">
        <w:rPr>
          <w:rFonts w:ascii="Times New Roman" w:eastAsia="Times New Roman" w:hAnsi="Times New Roman"/>
          <w:sz w:val="28"/>
          <w:szCs w:val="28"/>
          <w:lang w:val="uk-UA"/>
        </w:rPr>
        <w:t xml:space="preserve"> [59].</w:t>
      </w:r>
    </w:p>
    <w:p w:rsidR="00B04791" w:rsidRPr="003440B9" w:rsidRDefault="00B04791" w:rsidP="00B04791">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 xml:space="preserve">Аналіз інвестиційної привабливості галузі </w:t>
      </w:r>
      <w:r w:rsidR="00E218DA" w:rsidRPr="003440B9">
        <w:rPr>
          <w:rFonts w:ascii="Times New Roman" w:hAnsi="Times New Roman"/>
          <w:sz w:val="28"/>
          <w:szCs w:val="28"/>
          <w:lang w:val="uk-UA"/>
        </w:rPr>
        <w:t xml:space="preserve">– </w:t>
      </w:r>
      <w:r w:rsidRPr="003440B9">
        <w:rPr>
          <w:rFonts w:ascii="Times New Roman" w:hAnsi="Times New Roman"/>
          <w:sz w:val="28"/>
          <w:szCs w:val="28"/>
          <w:lang w:val="uk-UA"/>
        </w:rPr>
        <w:t xml:space="preserve">також безумовно важливий етап інвестиційного аналізу. Інвестиційна привабливість </w:t>
      </w:r>
      <w:r w:rsidR="00DD3DEB" w:rsidRPr="00D733EB">
        <w:rPr>
          <w:rFonts w:ascii="Times New Roman" w:hAnsi="Times New Roman"/>
          <w:sz w:val="28"/>
          <w:szCs w:val="28"/>
          <w:lang w:val="uk-UA"/>
        </w:rPr>
        <w:t>сільськогосподарських підприємств</w:t>
      </w:r>
      <w:r w:rsidR="00DD3DEB" w:rsidRPr="003440B9">
        <w:rPr>
          <w:rFonts w:ascii="Times New Roman" w:hAnsi="Times New Roman"/>
          <w:sz w:val="28"/>
          <w:szCs w:val="28"/>
          <w:lang w:val="uk-UA"/>
        </w:rPr>
        <w:t xml:space="preserve"> </w:t>
      </w:r>
      <w:r w:rsidRPr="003440B9">
        <w:rPr>
          <w:rFonts w:ascii="Times New Roman" w:hAnsi="Times New Roman"/>
          <w:sz w:val="28"/>
          <w:szCs w:val="28"/>
          <w:lang w:val="uk-UA"/>
        </w:rPr>
        <w:t>характеризується низкою параметрів, найбільш суттєвими з яких є: темпи зростання обсягів виробництва; темпи зростання цін на фактори виробництва; фінансовий стан галузі; наявність винаходів та закінчених НДДКР та ін.</w:t>
      </w:r>
    </w:p>
    <w:p w:rsidR="00B04791" w:rsidRPr="003440B9" w:rsidRDefault="00B04791" w:rsidP="00B04791">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 xml:space="preserve">Загальна схема аналізу інвестиційної привабливості </w:t>
      </w:r>
      <w:r w:rsidR="00DD3DEB" w:rsidRPr="00D733EB">
        <w:rPr>
          <w:rFonts w:ascii="Times New Roman" w:hAnsi="Times New Roman"/>
          <w:sz w:val="28"/>
          <w:szCs w:val="28"/>
          <w:lang w:val="uk-UA"/>
        </w:rPr>
        <w:t>сільськогосподарських підприємств</w:t>
      </w:r>
      <w:r w:rsidRPr="003440B9">
        <w:rPr>
          <w:rFonts w:ascii="Times New Roman" w:hAnsi="Times New Roman"/>
          <w:sz w:val="28"/>
          <w:szCs w:val="28"/>
          <w:lang w:val="uk-UA"/>
        </w:rPr>
        <w:t xml:space="preserve"> представлена </w:t>
      </w:r>
      <w:r w:rsidR="00DD56C3" w:rsidRPr="003440B9">
        <w:rPr>
          <w:rFonts w:ascii="Times New Roman" w:hAnsi="Times New Roman"/>
          <w:sz w:val="28"/>
          <w:szCs w:val="28"/>
          <w:lang w:val="uk-UA"/>
        </w:rPr>
        <w:t>на рис.</w:t>
      </w:r>
      <w:r w:rsidR="00B8520C" w:rsidRPr="003440B9">
        <w:rPr>
          <w:rFonts w:ascii="Times New Roman" w:hAnsi="Times New Roman"/>
          <w:sz w:val="28"/>
          <w:szCs w:val="28"/>
          <w:lang w:val="uk-UA"/>
        </w:rPr>
        <w:t xml:space="preserve"> </w:t>
      </w:r>
      <w:r w:rsidR="00DD56C3" w:rsidRPr="003440B9">
        <w:rPr>
          <w:rFonts w:ascii="Times New Roman" w:hAnsi="Times New Roman"/>
          <w:sz w:val="28"/>
          <w:szCs w:val="28"/>
          <w:lang w:val="uk-UA"/>
        </w:rPr>
        <w:t>1.3.</w:t>
      </w:r>
    </w:p>
    <w:p w:rsidR="00625D39" w:rsidRPr="009C19A3" w:rsidRDefault="005670E0" w:rsidP="009C19A3">
      <w:pPr>
        <w:spacing w:after="0" w:line="360" w:lineRule="auto"/>
        <w:ind w:firstLine="709"/>
        <w:jc w:val="both"/>
        <w:rPr>
          <w:rFonts w:ascii="Times New Roman" w:hAnsi="Times New Roman"/>
          <w:sz w:val="28"/>
          <w:szCs w:val="28"/>
          <w:lang w:val="uk-UA"/>
        </w:rPr>
      </w:pPr>
      <w:r w:rsidRPr="009C19A3">
        <w:rPr>
          <w:rFonts w:ascii="Times New Roman" w:hAnsi="Times New Roman"/>
          <w:sz w:val="28"/>
          <w:szCs w:val="28"/>
          <w:lang w:val="uk-UA"/>
        </w:rPr>
        <w:t xml:space="preserve">Щодо ризик-менеджменту, M.-E. K. Agoraki та співавтори на даних європейських компаній пов’язують нижчий ESG-репутаційний ризик із меншою інформаційною асиметрією, слабшими фінансовими обмеженнями та кращими результатами діяльності </w:t>
      </w:r>
      <w:r w:rsidRPr="009C19A3">
        <w:rPr>
          <w:rFonts w:ascii="Times New Roman" w:eastAsia="Times New Roman" w:hAnsi="Times New Roman"/>
          <w:sz w:val="28"/>
          <w:szCs w:val="28"/>
          <w:lang w:val="uk-UA"/>
        </w:rPr>
        <w:t xml:space="preserve">[163]. Для аграрного сектору такий </w:t>
      </w:r>
      <w:r w:rsidRPr="009C19A3">
        <w:rPr>
          <w:rFonts w:ascii="Times New Roman" w:eastAsia="Times New Roman" w:hAnsi="Times New Roman"/>
          <w:sz w:val="28"/>
          <w:szCs w:val="28"/>
          <w:lang w:val="uk-UA"/>
        </w:rPr>
        <w:lastRenderedPageBreak/>
        <w:t>підхід доцільно доповнювати оцінюванням логістичних збоїв, втрати активів, доступності страхування, структури капіталу та ліквідності, не ототожнюючи ці індикатори із самими ESG-рейтингами [100].</w:t>
      </w:r>
    </w:p>
    <w:p w:rsidR="009C19A3" w:rsidRPr="003440B9" w:rsidRDefault="009C19A3" w:rsidP="009C19A3">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 xml:space="preserve">На стан інвестиційної привабливості </w:t>
      </w:r>
      <w:r w:rsidRPr="00D733EB">
        <w:rPr>
          <w:rFonts w:ascii="Times New Roman" w:hAnsi="Times New Roman"/>
          <w:sz w:val="28"/>
          <w:szCs w:val="28"/>
          <w:lang w:val="uk-UA"/>
        </w:rPr>
        <w:t>сільськогосподарських підприємств</w:t>
      </w:r>
      <w:r w:rsidRPr="003440B9">
        <w:rPr>
          <w:rFonts w:ascii="Times New Roman" w:hAnsi="Times New Roman"/>
          <w:sz w:val="28"/>
          <w:szCs w:val="28"/>
          <w:lang w:val="uk-UA"/>
        </w:rPr>
        <w:t xml:space="preserve"> впливає низка факторів, до яких належать:</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макроекономічне середовище;</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екологічна безпека; </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стан інфраструктури;</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рівень виробничого процесу у галузі;</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кадрова складова;</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фінансове середовище;</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інвестиційне середовище;</w:t>
      </w:r>
    </w:p>
    <w:p w:rsidR="009C19A3" w:rsidRPr="003440B9" w:rsidRDefault="00FC4ABE" w:rsidP="009C19A3">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C19A3" w:rsidRPr="003440B9">
        <w:rPr>
          <w:rFonts w:ascii="Times New Roman" w:hAnsi="Times New Roman"/>
          <w:sz w:val="28"/>
          <w:szCs w:val="28"/>
          <w:lang w:val="uk-UA"/>
        </w:rPr>
        <w:t xml:space="preserve"> інвестиційний потенціал та ін</w:t>
      </w:r>
      <w:r w:rsidR="009C19A3">
        <w:rPr>
          <w:rFonts w:ascii="Times New Roman" w:hAnsi="Times New Roman"/>
          <w:sz w:val="28"/>
          <w:szCs w:val="28"/>
          <w:lang w:val="uk-UA"/>
        </w:rPr>
        <w:t xml:space="preserve"> </w:t>
      </w:r>
      <w:r w:rsidR="009C19A3">
        <w:rPr>
          <w:rFonts w:ascii="Times New Roman" w:eastAsia="Times New Roman" w:hAnsi="Times New Roman"/>
          <w:sz w:val="28"/>
          <w:szCs w:val="28"/>
          <w:lang w:val="uk-UA"/>
        </w:rPr>
        <w:t>[40, c. 212]</w:t>
      </w:r>
      <w:r w:rsidR="009C19A3" w:rsidRPr="003440B9">
        <w:rPr>
          <w:rFonts w:ascii="Times New Roman" w:hAnsi="Times New Roman"/>
          <w:sz w:val="28"/>
          <w:szCs w:val="28"/>
          <w:lang w:val="uk-UA"/>
        </w:rPr>
        <w:t>.</w:t>
      </w:r>
    </w:p>
    <w:p w:rsidR="00FC4ABE" w:rsidRDefault="009C19A3" w:rsidP="00FC4ABE">
      <w:pPr>
        <w:spacing w:after="0" w:line="360" w:lineRule="auto"/>
        <w:ind w:firstLine="709"/>
        <w:jc w:val="both"/>
        <w:rPr>
          <w:rFonts w:ascii="Times New Roman" w:hAnsi="Times New Roman"/>
          <w:sz w:val="28"/>
          <w:szCs w:val="28"/>
          <w:lang w:val="uk-UA"/>
        </w:rPr>
      </w:pPr>
      <w:r>
        <w:rPr>
          <w:noProof/>
          <w:lang w:val="uk-UA" w:eastAsia="uk-UA"/>
        </w:rPr>
        <mc:AlternateContent>
          <mc:Choice Requires="wpg">
            <w:drawing>
              <wp:inline distT="0" distB="0" distL="0" distR="0">
                <wp:extent cx="5305425" cy="2428875"/>
                <wp:effectExtent l="0" t="0" r="28575" b="28575"/>
                <wp:docPr id="52"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5425" cy="2428875"/>
                          <a:chOff x="2235" y="4185"/>
                          <a:chExt cx="8355" cy="3825"/>
                        </a:xfrm>
                      </wpg:grpSpPr>
                      <wps:wsp>
                        <wps:cNvPr id="53" name="Rectangle 49"/>
                        <wps:cNvSpPr>
                          <a:spLocks noChangeArrowheads="1"/>
                        </wps:cNvSpPr>
                        <wps:spPr bwMode="auto">
                          <a:xfrm>
                            <a:off x="3255" y="4185"/>
                            <a:ext cx="5985" cy="645"/>
                          </a:xfrm>
                          <a:prstGeom prst="rect">
                            <a:avLst/>
                          </a:prstGeom>
                          <a:solidFill>
                            <a:srgbClr val="FFFFFF"/>
                          </a:solidFill>
                          <a:ln w="9525">
                            <a:solidFill>
                              <a:srgbClr val="000000"/>
                            </a:solidFill>
                            <a:miter lim="800000"/>
                            <a:headEnd/>
                            <a:tailEnd/>
                          </a:ln>
                        </wps:spPr>
                        <wps:txbx>
                          <w:txbxContent>
                            <w:p w:rsidR="00EB5B4E" w:rsidRPr="00DD3DEB" w:rsidRDefault="00EB5B4E" w:rsidP="00DD3DEB">
                              <w:pPr>
                                <w:spacing w:after="0" w:line="240" w:lineRule="auto"/>
                                <w:jc w:val="center"/>
                                <w:rPr>
                                  <w:rFonts w:ascii="Times New Roman" w:hAnsi="Times New Roman"/>
                                  <w:sz w:val="20"/>
                                  <w:szCs w:val="20"/>
                                  <w:lang w:val="uk-UA"/>
                                </w:rPr>
                              </w:pPr>
                              <w:r w:rsidRPr="00DD3DEB">
                                <w:rPr>
                                  <w:rFonts w:ascii="Times New Roman" w:hAnsi="Times New Roman"/>
                                  <w:sz w:val="20"/>
                                  <w:szCs w:val="20"/>
                                  <w:lang w:val="uk-UA"/>
                                </w:rPr>
                                <w:t>Аналіз інвестиційної привабливості сільськогосподарських підприємств</w:t>
                              </w:r>
                            </w:p>
                          </w:txbxContent>
                        </wps:txbx>
                        <wps:bodyPr rot="0" vert="horz" wrap="square" lIns="91440" tIns="45720" rIns="91440" bIns="45720" anchor="t" anchorCtr="0" upright="1">
                          <a:noAutofit/>
                        </wps:bodyPr>
                      </wps:wsp>
                      <wps:wsp>
                        <wps:cNvPr id="54" name="Rectangle 50"/>
                        <wps:cNvSpPr>
                          <a:spLocks noChangeArrowheads="1"/>
                        </wps:cNvSpPr>
                        <wps:spPr bwMode="auto">
                          <a:xfrm>
                            <a:off x="2235" y="5445"/>
                            <a:ext cx="3720" cy="780"/>
                          </a:xfrm>
                          <a:prstGeom prst="rect">
                            <a:avLst/>
                          </a:prstGeom>
                          <a:solidFill>
                            <a:srgbClr val="FFFFFF"/>
                          </a:solidFill>
                          <a:ln w="9525">
                            <a:solidFill>
                              <a:srgbClr val="000000"/>
                            </a:solidFill>
                            <a:miter lim="800000"/>
                            <a:headEnd/>
                            <a:tailEnd/>
                          </a:ln>
                        </wps:spPr>
                        <wps:txb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Аналіз інвестиційної привабливості</w:t>
                              </w:r>
                            </w:p>
                          </w:txbxContent>
                        </wps:txbx>
                        <wps:bodyPr rot="0" vert="horz" wrap="square" lIns="91440" tIns="45720" rIns="91440" bIns="45720" anchor="t" anchorCtr="0" upright="1">
                          <a:noAutofit/>
                        </wps:bodyPr>
                      </wps:wsp>
                      <wps:wsp>
                        <wps:cNvPr id="55" name="Rectangle 51"/>
                        <wps:cNvSpPr>
                          <a:spLocks noChangeArrowheads="1"/>
                        </wps:cNvSpPr>
                        <wps:spPr bwMode="auto">
                          <a:xfrm>
                            <a:off x="6870" y="5445"/>
                            <a:ext cx="3720" cy="780"/>
                          </a:xfrm>
                          <a:prstGeom prst="rect">
                            <a:avLst/>
                          </a:prstGeom>
                          <a:solidFill>
                            <a:srgbClr val="FFFFFF"/>
                          </a:solidFill>
                          <a:ln w="9525">
                            <a:solidFill>
                              <a:srgbClr val="000000"/>
                            </a:solidFill>
                            <a:miter lim="800000"/>
                            <a:headEnd/>
                            <a:tailEnd/>
                          </a:ln>
                        </wps:spPr>
                        <wps:txb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 xml:space="preserve">Аналіз інвестиційної </w:t>
                              </w:r>
                              <w:r>
                                <w:rPr>
                                  <w:rFonts w:ascii="Times New Roman" w:hAnsi="Times New Roman"/>
                                  <w:sz w:val="24"/>
                                  <w:szCs w:val="24"/>
                                  <w:lang w:val="uk-UA"/>
                                </w:rPr>
                                <w:t>активності</w:t>
                              </w:r>
                            </w:p>
                          </w:txbxContent>
                        </wps:txbx>
                        <wps:bodyPr rot="0" vert="horz" wrap="square" lIns="91440" tIns="45720" rIns="91440" bIns="45720" anchor="t" anchorCtr="0" upright="1">
                          <a:noAutofit/>
                        </wps:bodyPr>
                      </wps:wsp>
                      <wps:wsp>
                        <wps:cNvPr id="56" name="Rectangle 52"/>
                        <wps:cNvSpPr>
                          <a:spLocks noChangeArrowheads="1"/>
                        </wps:cNvSpPr>
                        <wps:spPr bwMode="auto">
                          <a:xfrm>
                            <a:off x="2235" y="7230"/>
                            <a:ext cx="3720" cy="780"/>
                          </a:xfrm>
                          <a:prstGeom prst="rect">
                            <a:avLst/>
                          </a:prstGeom>
                          <a:solidFill>
                            <a:srgbClr val="FFFFFF"/>
                          </a:solidFill>
                          <a:ln w="9525">
                            <a:solidFill>
                              <a:srgbClr val="000000"/>
                            </a:solidFill>
                            <a:miter lim="800000"/>
                            <a:headEnd/>
                            <a:tailEnd/>
                          </a:ln>
                        </wps:spPr>
                        <wps:txb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 xml:space="preserve">Аналіз </w:t>
                              </w:r>
                              <w:r>
                                <w:rPr>
                                  <w:rFonts w:ascii="Times New Roman" w:hAnsi="Times New Roman"/>
                                  <w:sz w:val="24"/>
                                  <w:szCs w:val="24"/>
                                  <w:lang w:val="uk-UA"/>
                                </w:rPr>
                                <w:t>інвестиційного потенціалу</w:t>
                              </w:r>
                            </w:p>
                          </w:txbxContent>
                        </wps:txbx>
                        <wps:bodyPr rot="0" vert="horz" wrap="square" lIns="91440" tIns="45720" rIns="91440" bIns="45720" anchor="t" anchorCtr="0" upright="1">
                          <a:noAutofit/>
                        </wps:bodyPr>
                      </wps:wsp>
                      <wps:wsp>
                        <wps:cNvPr id="57" name="Rectangle 53"/>
                        <wps:cNvSpPr>
                          <a:spLocks noChangeArrowheads="1"/>
                        </wps:cNvSpPr>
                        <wps:spPr bwMode="auto">
                          <a:xfrm>
                            <a:off x="6870" y="7230"/>
                            <a:ext cx="3720" cy="780"/>
                          </a:xfrm>
                          <a:prstGeom prst="rect">
                            <a:avLst/>
                          </a:prstGeom>
                          <a:solidFill>
                            <a:srgbClr val="FFFFFF"/>
                          </a:solidFill>
                          <a:ln w="9525">
                            <a:solidFill>
                              <a:srgbClr val="000000"/>
                            </a:solidFill>
                            <a:miter lim="800000"/>
                            <a:headEnd/>
                            <a:tailEnd/>
                          </a:ln>
                        </wps:spPr>
                        <wps:txb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Аналіз інвестиційно</w:t>
                              </w:r>
                              <w:r>
                                <w:rPr>
                                  <w:rFonts w:ascii="Times New Roman" w:hAnsi="Times New Roman"/>
                                  <w:sz w:val="24"/>
                                  <w:szCs w:val="24"/>
                                  <w:lang w:val="uk-UA"/>
                                </w:rPr>
                                <w:t>го ризику</w:t>
                              </w:r>
                            </w:p>
                          </w:txbxContent>
                        </wps:txbx>
                        <wps:bodyPr rot="0" vert="horz" wrap="square" lIns="91440" tIns="45720" rIns="91440" bIns="45720" anchor="t" anchorCtr="0" upright="1">
                          <a:noAutofit/>
                        </wps:bodyPr>
                      </wps:wsp>
                      <wps:wsp>
                        <wps:cNvPr id="58" name="AutoShape 54"/>
                        <wps:cNvCnPr>
                          <a:cxnSpLocks noChangeShapeType="1"/>
                        </wps:cNvCnPr>
                        <wps:spPr bwMode="auto">
                          <a:xfrm>
                            <a:off x="3720" y="5085"/>
                            <a:ext cx="5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AutoShape 55"/>
                        <wps:cNvCnPr>
                          <a:cxnSpLocks noChangeShapeType="1"/>
                        </wps:cNvCnPr>
                        <wps:spPr bwMode="auto">
                          <a:xfrm>
                            <a:off x="3720" y="5085"/>
                            <a:ext cx="0"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56"/>
                        <wps:cNvCnPr>
                          <a:cxnSpLocks noChangeShapeType="1"/>
                        </wps:cNvCnPr>
                        <wps:spPr bwMode="auto">
                          <a:xfrm>
                            <a:off x="9075" y="5085"/>
                            <a:ext cx="0"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AutoShape 57"/>
                        <wps:cNvCnPr>
                          <a:cxnSpLocks noChangeShapeType="1"/>
                        </wps:cNvCnPr>
                        <wps:spPr bwMode="auto">
                          <a:xfrm>
                            <a:off x="3720" y="6810"/>
                            <a:ext cx="5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AutoShape 58"/>
                        <wps:cNvCnPr>
                          <a:cxnSpLocks noChangeShapeType="1"/>
                        </wps:cNvCnPr>
                        <wps:spPr bwMode="auto">
                          <a:xfrm>
                            <a:off x="3720" y="6810"/>
                            <a:ext cx="0" cy="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59"/>
                        <wps:cNvCnPr>
                          <a:cxnSpLocks noChangeShapeType="1"/>
                        </wps:cNvCnPr>
                        <wps:spPr bwMode="auto">
                          <a:xfrm>
                            <a:off x="9075" y="6810"/>
                            <a:ext cx="0" cy="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1"/>
                        <wps:cNvCnPr>
                          <a:cxnSpLocks noChangeShapeType="1"/>
                        </wps:cNvCnPr>
                        <wps:spPr bwMode="auto">
                          <a:xfrm>
                            <a:off x="6465" y="4830"/>
                            <a:ext cx="0" cy="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AutoShape 62"/>
                        <wps:cNvCnPr>
                          <a:cxnSpLocks noChangeShapeType="1"/>
                        </wps:cNvCnPr>
                        <wps:spPr bwMode="auto">
                          <a:xfrm>
                            <a:off x="4380" y="6225"/>
                            <a:ext cx="0"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63" o:spid="_x0000_s1073" style="width:417.75pt;height:191.25pt;mso-position-horizontal-relative:char;mso-position-vertical-relative:line" coordorigin="2235,4185" coordsize="8355,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">
                <v:rect id="Rectangle 49" o:spid="_x0000_s1074" style="position:absolute;left:3255;top:4185;width:5985;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EB5B4E" w:rsidRPr="00DD3DEB" w:rsidRDefault="00EB5B4E" w:rsidP="00DD3DEB">
                        <w:pPr>
                          <w:spacing w:after="0" w:line="240" w:lineRule="auto"/>
                          <w:jc w:val="center"/>
                          <w:rPr>
                            <w:rFonts w:ascii="Times New Roman" w:hAnsi="Times New Roman"/>
                            <w:sz w:val="20"/>
                            <w:szCs w:val="20"/>
                            <w:lang w:val="uk-UA"/>
                          </w:rPr>
                        </w:pPr>
                        <w:r w:rsidRPr="00DD3DEB">
                          <w:rPr>
                            <w:rFonts w:ascii="Times New Roman" w:hAnsi="Times New Roman"/>
                            <w:sz w:val="20"/>
                            <w:szCs w:val="20"/>
                            <w:lang w:val="uk-UA"/>
                          </w:rPr>
                          <w:t>Аналіз інвестиційної привабливості сільськогосподарських підприємств</w:t>
                        </w:r>
                      </w:p>
                    </w:txbxContent>
                  </v:textbox>
                </v:rect>
                <v:rect id="Rectangle 50" o:spid="_x0000_s1075" style="position:absolute;left:2235;top:5445;width:372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Аналіз інвестиційної привабливості</w:t>
                        </w:r>
                      </w:p>
                    </w:txbxContent>
                  </v:textbox>
                </v:rect>
                <v:rect id="Rectangle 51" o:spid="_x0000_s1076" style="position:absolute;left:6870;top:5445;width:372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 xml:space="preserve">Аналіз інвестиційної </w:t>
                        </w:r>
                        <w:r>
                          <w:rPr>
                            <w:rFonts w:ascii="Times New Roman" w:hAnsi="Times New Roman"/>
                            <w:sz w:val="24"/>
                            <w:szCs w:val="24"/>
                            <w:lang w:val="uk-UA"/>
                          </w:rPr>
                          <w:t>активності</w:t>
                        </w:r>
                      </w:p>
                    </w:txbxContent>
                  </v:textbox>
                </v:rect>
                <v:rect id="Rectangle 52" o:spid="_x0000_s1077" style="position:absolute;left:2235;top:7230;width:372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 xml:space="preserve">Аналіз </w:t>
                        </w:r>
                        <w:r>
                          <w:rPr>
                            <w:rFonts w:ascii="Times New Roman" w:hAnsi="Times New Roman"/>
                            <w:sz w:val="24"/>
                            <w:szCs w:val="24"/>
                            <w:lang w:val="uk-UA"/>
                          </w:rPr>
                          <w:t>інвестиційного потенціалу</w:t>
                        </w:r>
                      </w:p>
                    </w:txbxContent>
                  </v:textbox>
                </v:rect>
                <v:rect id="Rectangle 53" o:spid="_x0000_s1078" style="position:absolute;left:6870;top:7230;width:3720;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rsidR="00EB5B4E" w:rsidRPr="00DD56C3" w:rsidRDefault="00EB5B4E" w:rsidP="00DD56C3">
                        <w:pPr>
                          <w:jc w:val="center"/>
                          <w:rPr>
                            <w:rFonts w:ascii="Times New Roman" w:hAnsi="Times New Roman"/>
                            <w:sz w:val="24"/>
                            <w:szCs w:val="24"/>
                            <w:lang w:val="uk-UA"/>
                          </w:rPr>
                        </w:pPr>
                        <w:r w:rsidRPr="00DD56C3">
                          <w:rPr>
                            <w:rFonts w:ascii="Times New Roman" w:hAnsi="Times New Roman"/>
                            <w:sz w:val="24"/>
                            <w:szCs w:val="24"/>
                            <w:lang w:val="uk-UA"/>
                          </w:rPr>
                          <w:t>Аналіз інвестиційно</w:t>
                        </w:r>
                        <w:r>
                          <w:rPr>
                            <w:rFonts w:ascii="Times New Roman" w:hAnsi="Times New Roman"/>
                            <w:sz w:val="24"/>
                            <w:szCs w:val="24"/>
                            <w:lang w:val="uk-UA"/>
                          </w:rPr>
                          <w:t>го ризику</w:t>
                        </w:r>
                      </w:p>
                    </w:txbxContent>
                  </v:textbox>
                </v:rect>
                <v:shape id="AutoShape 54" o:spid="_x0000_s1079" type="#_x0000_t32" style="position:absolute;left:3720;top:5085;width:53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U/e8EAAADbAAAADwAAAGRycy9kb3ducmV2LnhtbERPTWsCMRC9F/wPYYReimYtKGU1yloQ&#10;quBBrfdxM26Cm8m6ibr+++ZQ8Ph437NF52pxpzZYzwpGwwwEcem15UrB72E1+AIRIrLG2jMpeFKA&#10;xbz3NsNc+wfv6L6PlUghHHJUYGJscilDachhGPqGOHFn3zqMCbaV1C0+Urir5WeWTaRDy6nBYEPf&#10;hsrL/uYUbNejZXEydr3ZXe12vCrqW/VxVOq93xVTEJG6+BL/u3+0gnEam76kH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FT97wQAAANsAAAAPAAAAAAAAAAAAAAAA&#10;AKECAABkcnMvZG93bnJldi54bWxQSwUGAAAAAAQABAD5AAAAjwMAAAAA&#10;"/>
                <v:shape id="AutoShape 55" o:spid="_x0000_s1080" type="#_x0000_t32" style="position:absolute;left:3720;top:5085;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AutoShape 56" o:spid="_x0000_s1081" type="#_x0000_t32" style="position:absolute;left:9075;top:5085;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AutoShape 57" o:spid="_x0000_s1082" type="#_x0000_t32" style="position:absolute;left:3720;top:6810;width:53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NcW8QAAADbAAAADwAAAGRycy9kb3ducmV2LnhtbESPQWsCMRSE70L/Q3iFXkSzW6jIapS1&#10;INSCB63en5vnJrh5WTdRt/++KRR6HGbmG2a+7F0j7tQF61lBPs5AEFdeW64VHL7WoymIEJE1Np5J&#10;wTcFWC6eBnMstH/wju77WIsE4VCgAhNjW0gZKkMOw9i3xMk7+85hTLKrpe7wkeCuka9ZNpEOLacF&#10;gy29G6ou+5tTsN3kq/Jk7OZzd7Xbt3XZ3OrhUamX576cgYjUx//wX/tDK5jk8Psl/Q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Q1xbxAAAANsAAAAPAAAAAAAAAAAA&#10;AAAAAKECAABkcnMvZG93bnJldi54bWxQSwUGAAAAAAQABAD5AAAAkgMAAAAA&#10;"/>
                <v:shape id="AutoShape 58" o:spid="_x0000_s1083" type="#_x0000_t32" style="position:absolute;left:3720;top:6810;width:0;height: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59" o:spid="_x0000_s1084" type="#_x0000_t32" style="position:absolute;left:9075;top:6810;width:0;height: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1" o:spid="_x0000_s1085" type="#_x0000_t32" style="position:absolute;left:6465;top:4830;width:0;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AutoShape 62" o:spid="_x0000_s1086" type="#_x0000_t32" style="position:absolute;left:4380;top:6225;width:0;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w10:anchorlock/>
              </v:group>
            </w:pict>
          </mc:Fallback>
        </mc:AlternateContent>
      </w:r>
    </w:p>
    <w:p w:rsidR="00DD56C3" w:rsidRPr="003440B9" w:rsidRDefault="00DD56C3" w:rsidP="00FC4AB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Рис.</w:t>
      </w:r>
      <w:r w:rsidR="00B8520C" w:rsidRPr="003440B9">
        <w:rPr>
          <w:rFonts w:ascii="Times New Roman" w:hAnsi="Times New Roman"/>
          <w:sz w:val="28"/>
          <w:szCs w:val="28"/>
          <w:lang w:val="uk-UA"/>
        </w:rPr>
        <w:t xml:space="preserve"> </w:t>
      </w:r>
      <w:r w:rsidRPr="003440B9">
        <w:rPr>
          <w:rFonts w:ascii="Times New Roman" w:hAnsi="Times New Roman"/>
          <w:sz w:val="28"/>
          <w:szCs w:val="28"/>
          <w:lang w:val="uk-UA"/>
        </w:rPr>
        <w:t>1.3.</w:t>
      </w:r>
      <w:r w:rsidRPr="00E87C11">
        <w:rPr>
          <w:lang w:val="uk-UA"/>
        </w:rPr>
        <w:t xml:space="preserve"> </w:t>
      </w:r>
      <w:r w:rsidRPr="003440B9">
        <w:rPr>
          <w:rFonts w:ascii="Times New Roman" w:hAnsi="Times New Roman"/>
          <w:sz w:val="28"/>
          <w:szCs w:val="28"/>
          <w:lang w:val="uk-UA"/>
        </w:rPr>
        <w:t xml:space="preserve">Складові аналізу </w:t>
      </w:r>
      <w:r w:rsidR="001216D5" w:rsidRPr="003440B9">
        <w:rPr>
          <w:rFonts w:ascii="Times New Roman" w:hAnsi="Times New Roman"/>
          <w:sz w:val="28"/>
          <w:szCs w:val="28"/>
          <w:lang w:val="uk-UA"/>
        </w:rPr>
        <w:t xml:space="preserve">інвестиційної привабливості </w:t>
      </w:r>
      <w:r w:rsidR="001216D5" w:rsidRPr="00D733EB">
        <w:rPr>
          <w:rFonts w:ascii="Times New Roman" w:hAnsi="Times New Roman"/>
          <w:sz w:val="28"/>
          <w:szCs w:val="28"/>
          <w:lang w:val="uk-UA"/>
        </w:rPr>
        <w:t>сільськогосподарських підприємств</w:t>
      </w:r>
    </w:p>
    <w:p w:rsidR="00AD4095" w:rsidRPr="003440B9" w:rsidRDefault="00AD4095" w:rsidP="00AD4095">
      <w:pPr>
        <w:pStyle w:val="a5"/>
        <w:spacing w:before="0" w:beforeAutospacing="0" w:after="0" w:afterAutospacing="0" w:line="360" w:lineRule="auto"/>
        <w:ind w:left="709"/>
        <w:jc w:val="both"/>
        <w:rPr>
          <w:i/>
          <w:iCs/>
          <w:color w:val="000000"/>
          <w:lang w:val="uk-UA"/>
        </w:rPr>
      </w:pPr>
      <w:r w:rsidRPr="003440B9">
        <w:rPr>
          <w:i/>
          <w:iCs/>
          <w:color w:val="000000"/>
          <w:lang w:val="uk-UA"/>
        </w:rPr>
        <w:t>Джерело: розроблено автором</w:t>
      </w:r>
    </w:p>
    <w:p w:rsidR="00816BAD" w:rsidRDefault="00816BAD" w:rsidP="00B04791">
      <w:pPr>
        <w:spacing w:after="0" w:line="360" w:lineRule="auto"/>
        <w:ind w:firstLine="709"/>
        <w:jc w:val="both"/>
        <w:rPr>
          <w:rFonts w:ascii="Times New Roman" w:hAnsi="Times New Roman"/>
          <w:sz w:val="28"/>
          <w:szCs w:val="28"/>
          <w:lang w:val="uk-UA"/>
        </w:rPr>
      </w:pPr>
    </w:p>
    <w:p w:rsidR="001216D5" w:rsidRPr="003440B9" w:rsidRDefault="001216D5" w:rsidP="001216D5">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Причому кожен із факторів характеризується безліччю показників, більшість з яких корелюють між собою, тому з метою отримання достовірних результатів про ступінь інвестиційної привабливості для інвестора необхідно попередньо виключити показники, що взаємовпливають.</w:t>
      </w:r>
    </w:p>
    <w:p w:rsidR="00B04791" w:rsidRPr="003440B9" w:rsidRDefault="00B04791" w:rsidP="00B04791">
      <w:pPr>
        <w:spacing w:after="0" w:line="360" w:lineRule="auto"/>
        <w:ind w:firstLine="709"/>
        <w:jc w:val="both"/>
        <w:rPr>
          <w:rFonts w:ascii="Times New Roman" w:hAnsi="Times New Roman"/>
          <w:sz w:val="28"/>
          <w:szCs w:val="28"/>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r>
        <w:rPr>
          <w:noProof/>
          <w:lang w:val="uk-UA" w:eastAsia="uk-UA"/>
        </w:rPr>
        <w:lastRenderedPageBreak/>
        <mc:AlternateContent>
          <mc:Choice Requires="wpg">
            <w:drawing>
              <wp:anchor distT="0" distB="0" distL="114300" distR="114300" simplePos="0" relativeHeight="251664896" behindDoc="0" locked="0" layoutInCell="1" allowOverlap="1" wp14:anchorId="25B97BAE" wp14:editId="57CA97DA">
                <wp:simplePos x="0" y="0"/>
                <wp:positionH relativeFrom="column">
                  <wp:posOffset>824865</wp:posOffset>
                </wp:positionH>
                <wp:positionV relativeFrom="paragraph">
                  <wp:posOffset>116205</wp:posOffset>
                </wp:positionV>
                <wp:extent cx="4467225" cy="3800475"/>
                <wp:effectExtent l="0" t="0" r="28575" b="28575"/>
                <wp:wrapNone/>
                <wp:docPr id="41"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7225" cy="3800475"/>
                          <a:chOff x="3000" y="255"/>
                          <a:chExt cx="7035" cy="5985"/>
                        </a:xfrm>
                      </wpg:grpSpPr>
                      <wps:wsp>
                        <wps:cNvPr id="42" name="Rectangle 64"/>
                        <wps:cNvSpPr>
                          <a:spLocks noChangeArrowheads="1"/>
                        </wps:cNvSpPr>
                        <wps:spPr bwMode="auto">
                          <a:xfrm>
                            <a:off x="3000" y="255"/>
                            <a:ext cx="6105" cy="780"/>
                          </a:xfrm>
                          <a:prstGeom prst="rect">
                            <a:avLst/>
                          </a:prstGeom>
                          <a:solidFill>
                            <a:srgbClr val="FFFFFF"/>
                          </a:solidFill>
                          <a:ln w="9525">
                            <a:solidFill>
                              <a:srgbClr val="000000"/>
                            </a:solidFill>
                            <a:miter lim="800000"/>
                            <a:headEnd/>
                            <a:tailEnd/>
                          </a:ln>
                        </wps:spPr>
                        <wps:txb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Аналіз інвестиційної привабливості регіону</w:t>
                              </w:r>
                            </w:p>
                          </w:txbxContent>
                        </wps:txbx>
                        <wps:bodyPr rot="0" vert="horz" wrap="square" lIns="91440" tIns="45720" rIns="91440" bIns="45720" anchor="t" anchorCtr="0" upright="1">
                          <a:noAutofit/>
                        </wps:bodyPr>
                      </wps:wsp>
                      <wps:wsp>
                        <wps:cNvPr id="43" name="Rectangle 65"/>
                        <wps:cNvSpPr>
                          <a:spLocks noChangeArrowheads="1"/>
                        </wps:cNvSpPr>
                        <wps:spPr bwMode="auto">
                          <a:xfrm>
                            <a:off x="3930" y="1455"/>
                            <a:ext cx="6105" cy="780"/>
                          </a:xfrm>
                          <a:prstGeom prst="rect">
                            <a:avLst/>
                          </a:prstGeom>
                          <a:solidFill>
                            <a:srgbClr val="FFFFFF"/>
                          </a:solidFill>
                          <a:ln w="9525">
                            <a:solidFill>
                              <a:srgbClr val="000000"/>
                            </a:solidFill>
                            <a:miter lim="800000"/>
                            <a:headEnd/>
                            <a:tailEnd/>
                          </a:ln>
                        </wps:spPr>
                        <wps:txb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поточного розвитку галузі</w:t>
                              </w:r>
                            </w:p>
                          </w:txbxContent>
                        </wps:txbx>
                        <wps:bodyPr rot="0" vert="horz" wrap="square" lIns="91440" tIns="45720" rIns="91440" bIns="45720" anchor="t" anchorCtr="0" upright="1">
                          <a:noAutofit/>
                        </wps:bodyPr>
                      </wps:wsp>
                      <wps:wsp>
                        <wps:cNvPr id="44" name="Rectangle 66"/>
                        <wps:cNvSpPr>
                          <a:spLocks noChangeArrowheads="1"/>
                        </wps:cNvSpPr>
                        <wps:spPr bwMode="auto">
                          <a:xfrm>
                            <a:off x="3930" y="2760"/>
                            <a:ext cx="6105" cy="780"/>
                          </a:xfrm>
                          <a:prstGeom prst="rect">
                            <a:avLst/>
                          </a:prstGeom>
                          <a:solidFill>
                            <a:srgbClr val="FFFFFF"/>
                          </a:solidFill>
                          <a:ln w="9525">
                            <a:solidFill>
                              <a:srgbClr val="000000"/>
                            </a:solidFill>
                            <a:miter lim="800000"/>
                            <a:headEnd/>
                            <a:tailEnd/>
                          </a:ln>
                        </wps:spPr>
                        <wps:txb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динаміки та структури інвестицій в галуз</w:t>
                              </w:r>
                            </w:p>
                          </w:txbxContent>
                        </wps:txbx>
                        <wps:bodyPr rot="0" vert="horz" wrap="square" lIns="91440" tIns="45720" rIns="91440" bIns="45720" anchor="t" anchorCtr="0" upright="1">
                          <a:noAutofit/>
                        </wps:bodyPr>
                      </wps:wsp>
                      <wps:wsp>
                        <wps:cNvPr id="45" name="Rectangle 67"/>
                        <wps:cNvSpPr>
                          <a:spLocks noChangeArrowheads="1"/>
                        </wps:cNvSpPr>
                        <wps:spPr bwMode="auto">
                          <a:xfrm>
                            <a:off x="3930" y="4140"/>
                            <a:ext cx="6105" cy="780"/>
                          </a:xfrm>
                          <a:prstGeom prst="rect">
                            <a:avLst/>
                          </a:prstGeom>
                          <a:solidFill>
                            <a:srgbClr val="FFFFFF"/>
                          </a:solidFill>
                          <a:ln w="9525">
                            <a:solidFill>
                              <a:srgbClr val="000000"/>
                            </a:solidFill>
                            <a:miter lim="800000"/>
                            <a:headEnd/>
                            <a:tailEnd/>
                          </a:ln>
                        </wps:spPr>
                        <wps:txb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стадії розвитку галузі</w:t>
                              </w:r>
                            </w:p>
                          </w:txbxContent>
                        </wps:txbx>
                        <wps:bodyPr rot="0" vert="horz" wrap="square" lIns="91440" tIns="45720" rIns="91440" bIns="45720" anchor="t" anchorCtr="0" upright="1">
                          <a:noAutofit/>
                        </wps:bodyPr>
                      </wps:wsp>
                      <wps:wsp>
                        <wps:cNvPr id="46" name="Rectangle 68"/>
                        <wps:cNvSpPr>
                          <a:spLocks noChangeArrowheads="1"/>
                        </wps:cNvSpPr>
                        <wps:spPr bwMode="auto">
                          <a:xfrm>
                            <a:off x="3930" y="5460"/>
                            <a:ext cx="6105" cy="780"/>
                          </a:xfrm>
                          <a:prstGeom prst="rect">
                            <a:avLst/>
                          </a:prstGeom>
                          <a:solidFill>
                            <a:srgbClr val="FFFFFF"/>
                          </a:solidFill>
                          <a:ln w="9525">
                            <a:solidFill>
                              <a:srgbClr val="000000"/>
                            </a:solidFill>
                            <a:miter lim="800000"/>
                            <a:headEnd/>
                            <a:tailEnd/>
                          </a:ln>
                        </wps:spPr>
                        <wps:txb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факторів, обмежуючих інвестиційну діялнісь в галузі</w:t>
                              </w:r>
                            </w:p>
                          </w:txbxContent>
                        </wps:txbx>
                        <wps:bodyPr rot="0" vert="horz" wrap="square" lIns="91440" tIns="45720" rIns="91440" bIns="45720" anchor="t" anchorCtr="0" upright="1">
                          <a:noAutofit/>
                        </wps:bodyPr>
                      </wps:wsp>
                      <wps:wsp>
                        <wps:cNvPr id="47" name="AutoShape 69"/>
                        <wps:cNvCnPr>
                          <a:cxnSpLocks noChangeShapeType="1"/>
                        </wps:cNvCnPr>
                        <wps:spPr bwMode="auto">
                          <a:xfrm>
                            <a:off x="3300" y="1035"/>
                            <a:ext cx="0" cy="47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AutoShape 70"/>
                        <wps:cNvCnPr>
                          <a:cxnSpLocks noChangeShapeType="1"/>
                        </wps:cNvCnPr>
                        <wps:spPr bwMode="auto">
                          <a:xfrm>
                            <a:off x="3300" y="5775"/>
                            <a:ext cx="6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71"/>
                        <wps:cNvCnPr>
                          <a:cxnSpLocks noChangeShapeType="1"/>
                        </wps:cNvCnPr>
                        <wps:spPr bwMode="auto">
                          <a:xfrm>
                            <a:off x="3300" y="4425"/>
                            <a:ext cx="6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72"/>
                        <wps:cNvCnPr>
                          <a:cxnSpLocks noChangeShapeType="1"/>
                        </wps:cNvCnPr>
                        <wps:spPr bwMode="auto">
                          <a:xfrm>
                            <a:off x="3300" y="3090"/>
                            <a:ext cx="6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73"/>
                        <wps:cNvCnPr>
                          <a:cxnSpLocks noChangeShapeType="1"/>
                        </wps:cNvCnPr>
                        <wps:spPr bwMode="auto">
                          <a:xfrm>
                            <a:off x="3300" y="1695"/>
                            <a:ext cx="6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4" o:spid="_x0000_s1087" style="position:absolute;left:0;text-align:left;margin-left:64.95pt;margin-top:9.15pt;width:351.75pt;height:299.25pt;z-index:251664896;mso-position-horizontal-relative:text;mso-position-vertical-relative:text" coordorigin="3000,255" coordsize="7035,5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">
                <v:rect id="Rectangle 64" o:spid="_x0000_s1088" style="position:absolute;left:3000;top:255;width:610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Аналіз інвестиційної привабливості регіону</w:t>
                        </w:r>
                      </w:p>
                    </w:txbxContent>
                  </v:textbox>
                </v:rect>
                <v:rect id="Rectangle 65" o:spid="_x0000_s1089" style="position:absolute;left:3930;top:1455;width:610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поточного розвитку галузі</w:t>
                        </w:r>
                      </w:p>
                    </w:txbxContent>
                  </v:textbox>
                </v:rect>
                <v:rect id="Rectangle 66" o:spid="_x0000_s1090" style="position:absolute;left:3930;top:2760;width:610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dkgMIA&#10;AADbAAAADwAAAGRycy9kb3ducmV2LnhtbESPQYvCMBSE74L/ITzBm6a6sm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J2SAwgAAANsAAAAPAAAAAAAAAAAAAAAAAJgCAABkcnMvZG93&#10;bnJldi54bWxQSwUGAAAAAAQABAD1AAAAhwMAAAAA&#10;">
                  <v:textbo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динаміки та структури інвестицій в галуз</w:t>
                        </w:r>
                      </w:p>
                    </w:txbxContent>
                  </v:textbox>
                </v:rect>
                <v:rect id="Rectangle 67" o:spid="_x0000_s1091" style="position:absolute;left:3930;top:4140;width:610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стадії розвитку галузі</w:t>
                        </w:r>
                      </w:p>
                    </w:txbxContent>
                  </v:textbox>
                </v:rect>
                <v:rect id="Rectangle 68" o:spid="_x0000_s1092" style="position:absolute;left:3930;top:5460;width:610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rsidR="00EB5B4E" w:rsidRPr="008E52A5" w:rsidRDefault="00EB5B4E" w:rsidP="00154AA6">
                        <w:pPr>
                          <w:jc w:val="center"/>
                          <w:rPr>
                            <w:rFonts w:ascii="Times New Roman" w:hAnsi="Times New Roman"/>
                            <w:sz w:val="28"/>
                            <w:szCs w:val="28"/>
                            <w:lang w:val="uk-UA"/>
                          </w:rPr>
                        </w:pPr>
                        <w:r w:rsidRPr="008E52A5">
                          <w:rPr>
                            <w:rFonts w:ascii="Times New Roman" w:hAnsi="Times New Roman"/>
                            <w:sz w:val="28"/>
                            <w:szCs w:val="28"/>
                            <w:lang w:val="uk-UA"/>
                          </w:rPr>
                          <w:t xml:space="preserve">Аналіз </w:t>
                        </w:r>
                        <w:r>
                          <w:rPr>
                            <w:rFonts w:ascii="Times New Roman" w:hAnsi="Times New Roman"/>
                            <w:sz w:val="28"/>
                            <w:szCs w:val="28"/>
                            <w:lang w:val="uk-UA"/>
                          </w:rPr>
                          <w:t>факторів, обмежуючих інвестиційну діялнісь в галузі</w:t>
                        </w:r>
                      </w:p>
                    </w:txbxContent>
                  </v:textbox>
                </v:rect>
                <v:shape id="AutoShape 69" o:spid="_x0000_s1093" type="#_x0000_t32" style="position:absolute;left:3300;top:1035;width:0;height:4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shape id="AutoShape 70" o:spid="_x0000_s1094" type="#_x0000_t32" style="position:absolute;left:3300;top:5775;width:6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71" o:spid="_x0000_s1095" type="#_x0000_t32" style="position:absolute;left:3300;top:4425;width:6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72" o:spid="_x0000_s1096" type="#_x0000_t32" style="position:absolute;left:3300;top:3090;width:6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73" o:spid="_x0000_s1097" type="#_x0000_t32" style="position:absolute;left:3300;top:1695;width:6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group>
            </w:pict>
          </mc:Fallback>
        </mc:AlternateContent>
      </w: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AF7F70" w:rsidRDefault="00154AA6" w:rsidP="00154AA6">
      <w:pPr>
        <w:spacing w:after="0" w:line="360" w:lineRule="auto"/>
        <w:ind w:firstLine="709"/>
        <w:jc w:val="both"/>
        <w:rPr>
          <w:rFonts w:ascii="Times New Roman" w:hAnsi="Times New Roman"/>
          <w:sz w:val="28"/>
          <w:szCs w:val="28"/>
          <w:highlight w:val="magenta"/>
          <w:lang w:val="uk-UA"/>
        </w:rPr>
      </w:pPr>
    </w:p>
    <w:p w:rsidR="00154AA6" w:rsidRPr="003440B9" w:rsidRDefault="00154AA6" w:rsidP="00FC4ABE">
      <w:pPr>
        <w:keepNext/>
        <w:spacing w:after="0" w:line="360" w:lineRule="auto"/>
        <w:jc w:val="both"/>
        <w:rPr>
          <w:rFonts w:ascii="Times New Roman" w:hAnsi="Times New Roman"/>
          <w:sz w:val="28"/>
          <w:szCs w:val="28"/>
          <w:lang w:val="uk-UA"/>
        </w:rPr>
      </w:pPr>
      <w:r w:rsidRPr="003440B9">
        <w:rPr>
          <w:rFonts w:ascii="Times New Roman" w:hAnsi="Times New Roman"/>
          <w:sz w:val="28"/>
          <w:szCs w:val="28"/>
          <w:lang w:val="uk-UA"/>
        </w:rPr>
        <w:t>Рис. 1.4. Загальна схема аналізу інвестиційної привабливості галузі</w:t>
      </w:r>
    </w:p>
    <w:p w:rsidR="00154AA6" w:rsidRPr="00FC4ABE" w:rsidRDefault="00154AA6" w:rsidP="00FC4ABE">
      <w:pPr>
        <w:pStyle w:val="a5"/>
        <w:spacing w:before="0" w:beforeAutospacing="0" w:after="0" w:afterAutospacing="0" w:line="360" w:lineRule="auto"/>
        <w:ind w:left="709"/>
        <w:jc w:val="both"/>
        <w:rPr>
          <w:i/>
          <w:iCs/>
          <w:color w:val="000000"/>
          <w:lang w:val="uk-UA"/>
        </w:rPr>
      </w:pPr>
      <w:r w:rsidRPr="003440B9">
        <w:rPr>
          <w:i/>
          <w:iCs/>
          <w:color w:val="000000"/>
          <w:lang w:val="uk-UA"/>
        </w:rPr>
        <w:t>Джерело: розроблено автором</w:t>
      </w:r>
    </w:p>
    <w:p w:rsidR="003E104E" w:rsidRDefault="003E104E" w:rsidP="00B04791">
      <w:pPr>
        <w:spacing w:after="0" w:line="360" w:lineRule="auto"/>
        <w:ind w:firstLine="709"/>
        <w:jc w:val="both"/>
        <w:rPr>
          <w:rFonts w:ascii="Times New Roman" w:hAnsi="Times New Roman"/>
          <w:sz w:val="28"/>
          <w:szCs w:val="28"/>
          <w:lang w:val="uk-UA"/>
        </w:rPr>
      </w:pPr>
    </w:p>
    <w:p w:rsidR="003E104E" w:rsidRPr="003440B9" w:rsidRDefault="003E104E"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У ході аналізу поточного стану галузі необхідно з'ясувати найбільш позитивні характеристики та виявити негативні сторони діяльності.</w:t>
      </w:r>
    </w:p>
    <w:p w:rsidR="003E104E" w:rsidRPr="003440B9" w:rsidRDefault="003E104E"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Аналіз динаміки і структури інвестицій у галузь повинен визначити які складові галузі несуть у собі найбільші обсяги інвестицій, і визначити основні фактори, що вплинули на тенденції, що вклалися.</w:t>
      </w:r>
    </w:p>
    <w:p w:rsidR="003E104E" w:rsidRPr="003440B9" w:rsidRDefault="003E104E"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При аналізі інвестиційної привабливості галузі використовується набір прийомів і методичних підходів, який дозволяє максимально об'єктивно оцінити умови, що змінюються, і визначити характер і рівень конкурентної боротьби в аналізованій галузі.</w:t>
      </w:r>
    </w:p>
    <w:p w:rsidR="003E104E" w:rsidRPr="003440B9" w:rsidRDefault="003E104E"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Будь-яка галузь у своєму розвитку проходить чотири стадії: початковий етап (ембріональний період), період зростання, період зрілості та період старіння (стагнації). Оцінка стадії розвитку галузі проводиться з урахуванням різних критеріїв, специфічних кожної стадії розвитку</w:t>
      </w:r>
      <w:r>
        <w:rPr>
          <w:rFonts w:ascii="Times New Roman" w:hAnsi="Times New Roman"/>
          <w:sz w:val="28"/>
          <w:szCs w:val="28"/>
          <w:lang w:val="uk-UA"/>
        </w:rPr>
        <w:t xml:space="preserve"> </w:t>
      </w:r>
      <w:r>
        <w:rPr>
          <w:rFonts w:ascii="Times New Roman" w:eastAsia="Times New Roman" w:hAnsi="Times New Roman"/>
          <w:sz w:val="28"/>
          <w:szCs w:val="28"/>
          <w:lang w:val="uk-UA"/>
        </w:rPr>
        <w:t>[</w:t>
      </w:r>
      <w:r w:rsidRPr="005670E0">
        <w:rPr>
          <w:rFonts w:ascii="Times New Roman" w:eastAsia="Times New Roman" w:hAnsi="Times New Roman"/>
          <w:sz w:val="28"/>
          <w:szCs w:val="28"/>
          <w:lang w:val="uk-UA"/>
        </w:rPr>
        <w:t>62]</w:t>
      </w:r>
      <w:r w:rsidRPr="005670E0">
        <w:rPr>
          <w:lang w:val="uk-UA"/>
        </w:rPr>
        <w:t>.</w:t>
      </w:r>
    </w:p>
    <w:p w:rsidR="003E104E" w:rsidRDefault="003E104E"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lastRenderedPageBreak/>
        <w:t>Галузь, що знаходиться на стадії зародження, як правило, тільки починає свій розвиток і виникла у зв'язку з усвідомленням незадоволеної потреби групи споживачів або шляхом розвитку ринків товарів, заснованих на нових технологіях, які раніше не існували чи не використовуваних. Основними характеристиками такої галузі є зміни в технології, енергійний пошук нових споживачів і фрагментарність пропозицій на ринку, що швидко змінюється</w:t>
      </w:r>
      <w:r w:rsidRPr="003440B9">
        <w:rPr>
          <w:rFonts w:ascii="Times New Roman" w:hAnsi="Times New Roman"/>
          <w:sz w:val="28"/>
          <w:szCs w:val="28"/>
        </w:rPr>
        <w:t xml:space="preserve"> </w:t>
      </w:r>
      <w:r w:rsidRPr="003440B9">
        <w:rPr>
          <w:rFonts w:ascii="Times New Roman" w:eastAsia="Times New Roman" w:hAnsi="Times New Roman"/>
          <w:sz w:val="28"/>
          <w:szCs w:val="28"/>
        </w:rPr>
        <w:t>[41, c. 29]</w:t>
      </w:r>
      <w:r w:rsidRPr="003440B9">
        <w:rPr>
          <w:rFonts w:ascii="Times New Roman" w:hAnsi="Times New Roman"/>
          <w:sz w:val="28"/>
          <w:szCs w:val="28"/>
          <w:lang w:val="uk-UA"/>
        </w:rPr>
        <w:t>. У такій галузі обсяг продажу швидко зростає, прибутку, як правило, немає. Галузь потребує величезних обсягів інвестицій. Йде поглинання готівки для розвитку галузі.</w:t>
      </w:r>
    </w:p>
    <w:p w:rsidR="00B04791" w:rsidRPr="003440B9" w:rsidRDefault="00B04791" w:rsidP="003E104E">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На стадії зростання продукція (послуги) галузі починається конкурентна боротьба за отримання дедалі більших часток зростання доходу. Входження ринку нових конкурентів виявляється набагато складнішим. Обсяг продажів швидко збільшується, з'являється прибуток, обсяги якого швидко наростають, хоча потік готівки все ще може бути негативним.</w:t>
      </w:r>
    </w:p>
    <w:p w:rsidR="00B04791" w:rsidRPr="00B04791" w:rsidRDefault="00B04791" w:rsidP="00B04791">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На стадії зрілості відбувається повне насичення ринку. Усі чи більшість потенційних покупців купують продукцію (послуги) галузі досить регулярно. Зрілість характеризується стабільністю відомих покупців, технологій, розподілу часток над ринком, хоча конкуренція над ринком через його перерозподіл досі може продовжуватися. Обсяг продажів досягає гранично високого рівня, після чого настає уповільнення зростання і потім повна зупинка, прибутки досягають гранично високого рівня і залишаються на цьому рівні або починають трохи знижуватися, в той час як рух готівки стає позитивним</w:t>
      </w:r>
      <w:r w:rsidR="009D5260" w:rsidRPr="003440B9">
        <w:rPr>
          <w:rFonts w:ascii="Times New Roman" w:hAnsi="Times New Roman"/>
          <w:sz w:val="28"/>
          <w:szCs w:val="28"/>
          <w:lang w:val="uk-UA"/>
        </w:rPr>
        <w:t xml:space="preserve"> </w:t>
      </w:r>
      <w:r w:rsidR="009D5260" w:rsidRPr="003440B9">
        <w:rPr>
          <w:rFonts w:ascii="Times New Roman" w:eastAsia="Times New Roman" w:hAnsi="Times New Roman"/>
          <w:sz w:val="28"/>
          <w:szCs w:val="28"/>
          <w:lang w:val="uk-UA"/>
        </w:rPr>
        <w:t>[45, c. 105]</w:t>
      </w:r>
      <w:r w:rsidRPr="003440B9">
        <w:rPr>
          <w:rFonts w:ascii="Times New Roman" w:hAnsi="Times New Roman"/>
          <w:sz w:val="28"/>
          <w:szCs w:val="28"/>
          <w:lang w:val="uk-UA"/>
        </w:rPr>
        <w:t>.</w:t>
      </w:r>
    </w:p>
    <w:p w:rsidR="00B04791" w:rsidRPr="00400BAB" w:rsidRDefault="00B04791" w:rsidP="00B04791">
      <w:pPr>
        <w:spacing w:after="0" w:line="360" w:lineRule="auto"/>
        <w:ind w:firstLine="709"/>
        <w:jc w:val="both"/>
        <w:rPr>
          <w:rFonts w:ascii="Times New Roman" w:hAnsi="Times New Roman"/>
          <w:sz w:val="28"/>
          <w:szCs w:val="28"/>
          <w:lang w:val="uk-UA"/>
        </w:rPr>
      </w:pPr>
      <w:r w:rsidRPr="00B04791">
        <w:rPr>
          <w:rFonts w:ascii="Times New Roman" w:hAnsi="Times New Roman"/>
          <w:sz w:val="28"/>
          <w:szCs w:val="28"/>
          <w:lang w:val="uk-UA"/>
        </w:rPr>
        <w:t xml:space="preserve">На стадії старіння покупці поступово втрачають інтерес до продукції (послуги) або тому, що її починають витісняти нові та якісніші замінники, або тому, що змінюються споживчі уподобання або смаки покупців. Головними характеристиками цієї </w:t>
      </w:r>
      <w:r w:rsidRPr="00400BAB">
        <w:rPr>
          <w:rFonts w:ascii="Times New Roman" w:hAnsi="Times New Roman"/>
          <w:sz w:val="28"/>
          <w:szCs w:val="28"/>
          <w:lang w:val="uk-UA"/>
        </w:rPr>
        <w:t>стадії є падіння попиту, зменшення числа конкурентів та звуження асортименту товарів. Обсяг продажів різко падає, прибутки знижуються, рух готівки повільно падає; всі параметри сходяться на нуль.</w:t>
      </w:r>
    </w:p>
    <w:p w:rsidR="00165833" w:rsidRPr="00400BAB" w:rsidRDefault="00165833" w:rsidP="00165833">
      <w:pPr>
        <w:spacing w:after="0" w:line="360" w:lineRule="auto"/>
        <w:ind w:firstLine="709"/>
        <w:jc w:val="both"/>
        <w:rPr>
          <w:rStyle w:val="docdata"/>
          <w:rFonts w:ascii="Times New Roman" w:eastAsia="Aptos" w:hAnsi="Times New Roman"/>
          <w:b/>
          <w:color w:val="000000"/>
          <w:kern w:val="2"/>
          <w:sz w:val="28"/>
          <w:szCs w:val="28"/>
          <w:lang w:val="uk-UA"/>
        </w:rPr>
      </w:pPr>
      <w:r w:rsidRPr="00400BAB">
        <w:rPr>
          <w:rStyle w:val="docdata"/>
          <w:rFonts w:ascii="Times New Roman" w:eastAsia="Aptos" w:hAnsi="Times New Roman"/>
          <w:b/>
          <w:color w:val="000000"/>
          <w:kern w:val="2"/>
          <w:sz w:val="28"/>
          <w:szCs w:val="28"/>
          <w:lang w:val="uk-UA"/>
        </w:rPr>
        <w:lastRenderedPageBreak/>
        <w:t>1.2. Особливості прийняття управлінських рішень для формування інвестиційної привабливості підприємств та використання основних інвестиційних інструментів інвестором</w:t>
      </w:r>
    </w:p>
    <w:p w:rsidR="00363C28" w:rsidRPr="00400BAB" w:rsidRDefault="00363C28" w:rsidP="00165833">
      <w:pPr>
        <w:spacing w:after="0" w:line="360" w:lineRule="auto"/>
        <w:ind w:firstLine="709"/>
        <w:jc w:val="both"/>
        <w:rPr>
          <w:rStyle w:val="docdata"/>
          <w:rFonts w:ascii="Times New Roman" w:eastAsia="Aptos" w:hAnsi="Times New Roman"/>
          <w:b/>
          <w:color w:val="000000"/>
          <w:kern w:val="2"/>
          <w:sz w:val="28"/>
          <w:szCs w:val="28"/>
          <w:lang w:val="uk-UA"/>
        </w:rPr>
      </w:pPr>
    </w:p>
    <w:p w:rsidR="00363C28" w:rsidRPr="009C19A3" w:rsidRDefault="00363C28" w:rsidP="00363C28">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Довгострокове </w:t>
      </w:r>
      <w:r w:rsidRPr="009C19A3">
        <w:rPr>
          <w:rFonts w:ascii="Times New Roman" w:hAnsi="Times New Roman"/>
          <w:sz w:val="28"/>
          <w:szCs w:val="28"/>
          <w:lang w:val="uk-UA"/>
        </w:rPr>
        <w:t xml:space="preserve">кредитування та </w:t>
      </w:r>
      <w:r w:rsidR="00DB1F48" w:rsidRPr="009C19A3">
        <w:rPr>
          <w:rFonts w:ascii="Times New Roman" w:hAnsi="Times New Roman"/>
          <w:sz w:val="28"/>
          <w:szCs w:val="28"/>
          <w:lang w:val="uk-UA"/>
        </w:rPr>
        <w:t>проєк</w:t>
      </w:r>
      <w:r w:rsidRPr="009C19A3">
        <w:rPr>
          <w:rFonts w:ascii="Times New Roman" w:hAnsi="Times New Roman"/>
          <w:sz w:val="28"/>
          <w:szCs w:val="28"/>
          <w:lang w:val="uk-UA"/>
        </w:rPr>
        <w:t xml:space="preserve">тне фінансування </w:t>
      </w:r>
      <w:r w:rsidR="00D9777D" w:rsidRPr="00BE5A3A">
        <w:rPr>
          <w:rFonts w:ascii="Times New Roman" w:hAnsi="Times New Roman"/>
          <w:sz w:val="28"/>
          <w:szCs w:val="28"/>
          <w:lang w:val="uk-UA"/>
        </w:rPr>
        <w:t>інвестиційної привабливості</w:t>
      </w:r>
      <w:r w:rsidRPr="009C19A3">
        <w:rPr>
          <w:rFonts w:ascii="Times New Roman" w:hAnsi="Times New Roman"/>
          <w:sz w:val="28"/>
          <w:szCs w:val="28"/>
          <w:lang w:val="uk-UA"/>
        </w:rPr>
        <w:t xml:space="preserve"> є</w:t>
      </w:r>
      <w:r w:rsidR="009C1CD7" w:rsidRPr="009C19A3">
        <w:rPr>
          <w:rFonts w:ascii="Times New Roman" w:hAnsi="Times New Roman"/>
          <w:sz w:val="28"/>
          <w:szCs w:val="28"/>
          <w:lang w:val="uk-UA"/>
        </w:rPr>
        <w:t>,</w:t>
      </w:r>
      <w:r w:rsidRPr="009C19A3">
        <w:rPr>
          <w:rFonts w:ascii="Times New Roman" w:hAnsi="Times New Roman"/>
          <w:sz w:val="28"/>
          <w:szCs w:val="28"/>
          <w:lang w:val="uk-UA"/>
        </w:rPr>
        <w:t xml:space="preserve"> за оцінками зарубіжних експертів</w:t>
      </w:r>
      <w:r w:rsidR="009C1CD7" w:rsidRPr="009C19A3">
        <w:rPr>
          <w:rFonts w:ascii="Times New Roman" w:hAnsi="Times New Roman"/>
          <w:sz w:val="28"/>
          <w:szCs w:val="28"/>
          <w:lang w:val="uk-UA"/>
        </w:rPr>
        <w:t>,</w:t>
      </w:r>
      <w:r w:rsidRPr="009C19A3">
        <w:rPr>
          <w:rFonts w:ascii="Times New Roman" w:hAnsi="Times New Roman"/>
          <w:sz w:val="28"/>
          <w:szCs w:val="28"/>
          <w:lang w:val="uk-UA"/>
        </w:rPr>
        <w:t xml:space="preserve"> найбільш ризикованим видом кредитування</w:t>
      </w:r>
      <w:r w:rsidR="004009DE" w:rsidRPr="009C19A3">
        <w:rPr>
          <w:rFonts w:ascii="Times New Roman" w:hAnsi="Times New Roman"/>
          <w:sz w:val="28"/>
          <w:szCs w:val="28"/>
          <w:lang w:val="uk-UA"/>
        </w:rPr>
        <w:t xml:space="preserve"> </w:t>
      </w:r>
      <w:r w:rsidR="004009DE" w:rsidRPr="009C19A3">
        <w:rPr>
          <w:rFonts w:ascii="Times New Roman" w:eastAsia="Times New Roman" w:hAnsi="Times New Roman"/>
          <w:sz w:val="28"/>
          <w:szCs w:val="28"/>
          <w:lang w:val="uk-UA"/>
        </w:rPr>
        <w:t>[139, 154, 156, 168]</w:t>
      </w:r>
      <w:r w:rsidR="009C19A3" w:rsidRPr="009C19A3">
        <w:rPr>
          <w:rFonts w:ascii="Times New Roman" w:hAnsi="Times New Roman"/>
          <w:sz w:val="28"/>
          <w:szCs w:val="28"/>
          <w:lang w:val="uk-UA"/>
        </w:rPr>
        <w:t>.</w:t>
      </w:r>
    </w:p>
    <w:p w:rsidR="00363C28"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Притаманні подібним </w:t>
      </w:r>
      <w:r w:rsidR="00DB1F48">
        <w:rPr>
          <w:rFonts w:ascii="Times New Roman" w:hAnsi="Times New Roman"/>
          <w:sz w:val="28"/>
          <w:szCs w:val="28"/>
          <w:lang w:val="uk-UA"/>
        </w:rPr>
        <w:t>проєк</w:t>
      </w:r>
      <w:r w:rsidRPr="00877BF2">
        <w:rPr>
          <w:rFonts w:ascii="Times New Roman" w:hAnsi="Times New Roman"/>
          <w:sz w:val="28"/>
          <w:szCs w:val="28"/>
          <w:lang w:val="uk-UA"/>
        </w:rPr>
        <w:t>там ризики значні та різноманітні:</w:t>
      </w:r>
    </w:p>
    <w:p w:rsidR="00363C28"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 1) передбачається виділення значних коштів, найчастіше – кількох мільярдів доларів;</w:t>
      </w:r>
    </w:p>
    <w:p w:rsidR="00363C28"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 2) реалізація </w:t>
      </w:r>
      <w:r w:rsidR="00DB1F48">
        <w:rPr>
          <w:rFonts w:ascii="Times New Roman" w:hAnsi="Times New Roman"/>
          <w:sz w:val="28"/>
          <w:szCs w:val="28"/>
          <w:lang w:val="uk-UA"/>
        </w:rPr>
        <w:t>проєк</w:t>
      </w:r>
      <w:r w:rsidRPr="00877BF2">
        <w:rPr>
          <w:rFonts w:ascii="Times New Roman" w:hAnsi="Times New Roman"/>
          <w:sz w:val="28"/>
          <w:szCs w:val="28"/>
          <w:lang w:val="uk-UA"/>
        </w:rPr>
        <w:t xml:space="preserve">ту, що фінансується, може затримуватися внаслідок погодно-кліматичних умов або дефіциту будівельних матеріалів; </w:t>
      </w:r>
    </w:p>
    <w:p w:rsidR="00363C28"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3) закони та правила цього регіону або країни, в яких розгортається будівництво, можуть змінитися в несприятливий бік, що спричинить труднощі у завершенні будівництва або збільшення його вартості; </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4) можуть змінитися відсоткові ставки, що призведе до негативних наслідків для кредитора (оскільки багато таких кредитів надаються за фіксованими процентними ставками)</w:t>
      </w:r>
      <w:r w:rsidR="00AF1864" w:rsidRPr="00AF1864">
        <w:rPr>
          <w:rFonts w:ascii="Times New Roman" w:hAnsi="Times New Roman"/>
          <w:sz w:val="28"/>
          <w:szCs w:val="28"/>
        </w:rPr>
        <w:t xml:space="preserve"> </w:t>
      </w:r>
      <w:r w:rsidR="00AF1864" w:rsidRPr="00AF1864">
        <w:rPr>
          <w:rFonts w:ascii="Times New Roman" w:eastAsia="Times New Roman" w:hAnsi="Times New Roman"/>
          <w:sz w:val="28"/>
          <w:szCs w:val="28"/>
        </w:rPr>
        <w:t>[54, c. 18]</w:t>
      </w:r>
      <w:r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Нині інвестори залучають кредит у ті сфери підприємницької діяльності, які дають швидкий ефект (у вигляді отримання прибутку чи доходу). Практика показує, що </w:t>
      </w:r>
      <w:r w:rsidR="009C1CD7">
        <w:rPr>
          <w:rFonts w:ascii="Times New Roman" w:hAnsi="Times New Roman"/>
          <w:sz w:val="28"/>
          <w:szCs w:val="28"/>
          <w:lang w:val="uk-UA"/>
        </w:rPr>
        <w:t>для</w:t>
      </w:r>
      <w:r w:rsidRPr="00877BF2">
        <w:rPr>
          <w:rFonts w:ascii="Times New Roman" w:hAnsi="Times New Roman"/>
          <w:sz w:val="28"/>
          <w:szCs w:val="28"/>
          <w:lang w:val="uk-UA"/>
        </w:rPr>
        <w:t xml:space="preserve"> підприємств, які здатні швидко збільшувати випускати продукцію (чи платоспроможний попит продукції яких досить стійкий), залучення кредитів значно вигідніше, ніж інвестування коштів із виплатою частки прибутку.</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Об'єктами банківського кредитування капітальних вкладень юридичних та фізичних осіб можуть бути витрати на: будівництво, розширення, реконструкцію та технічне переозброєння об'єктів виробничого та невиробничого призначення; придбання рухомого та нерухомого майна (машин, обладнання, транспортних засобів, будівель та споруд); </w:t>
      </w:r>
      <w:r w:rsidR="009C1CD7">
        <w:rPr>
          <w:rFonts w:ascii="Times New Roman" w:hAnsi="Times New Roman"/>
          <w:sz w:val="28"/>
          <w:szCs w:val="28"/>
          <w:lang w:val="uk-UA"/>
        </w:rPr>
        <w:t>створення</w:t>
      </w:r>
      <w:r w:rsidRPr="00877BF2">
        <w:rPr>
          <w:rFonts w:ascii="Times New Roman" w:hAnsi="Times New Roman"/>
          <w:sz w:val="28"/>
          <w:szCs w:val="28"/>
          <w:lang w:val="uk-UA"/>
        </w:rPr>
        <w:t xml:space="preserve"> спільних підприємств; створення науково-технічної продукції, </w:t>
      </w:r>
      <w:r w:rsidRPr="00877BF2">
        <w:rPr>
          <w:rFonts w:ascii="Times New Roman" w:hAnsi="Times New Roman"/>
          <w:sz w:val="28"/>
          <w:szCs w:val="28"/>
          <w:lang w:val="uk-UA"/>
        </w:rPr>
        <w:lastRenderedPageBreak/>
        <w:t>інтелектуальних цінностей та інших об'єктів власності; здійснення природоохоронних заходів.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Основою кредитних відносин юридичних та фізичних осіб із банком є кредитний договір. У цьому документі передбачаються, як правило, такі умови: суми видаваних позичок, строки та порядок їх використання та погашення, процентні ставки та інші виплати за кредит, форми забезпечення зобов'язань (застава, договір гарантії, договір поруки, договір страхування), перелік документів, що подаються банку. Конкретні терміни та періодичність погашення довгострокового кредиту, що видається юридичним особам, встановлюються за домовленістю банку з позичальником</w:t>
      </w:r>
      <w:r w:rsidR="009C1CD7">
        <w:rPr>
          <w:rFonts w:ascii="Times New Roman" w:hAnsi="Times New Roman"/>
          <w:sz w:val="28"/>
          <w:szCs w:val="28"/>
          <w:lang w:val="uk-UA"/>
        </w:rPr>
        <w:t>,</w:t>
      </w:r>
      <w:r w:rsidRPr="00877BF2">
        <w:rPr>
          <w:rFonts w:ascii="Times New Roman" w:hAnsi="Times New Roman"/>
          <w:sz w:val="28"/>
          <w:szCs w:val="28"/>
          <w:lang w:val="uk-UA"/>
        </w:rPr>
        <w:t xml:space="preserve"> виходячи з окупності витрат, платоспроможності та фінансового стану позичальника, кредитного ризику, необхідності прискорення оборотності кредитних ресурсів</w:t>
      </w:r>
      <w:r w:rsidR="00AF1864" w:rsidRPr="00AF1864">
        <w:rPr>
          <w:rFonts w:ascii="Times New Roman" w:hAnsi="Times New Roman"/>
          <w:sz w:val="28"/>
          <w:szCs w:val="28"/>
        </w:rPr>
        <w:t xml:space="preserve"> </w:t>
      </w:r>
      <w:r w:rsidR="00AF1864" w:rsidRPr="00AF1864">
        <w:rPr>
          <w:rFonts w:ascii="Times New Roman" w:eastAsia="Times New Roman" w:hAnsi="Times New Roman"/>
          <w:sz w:val="28"/>
          <w:szCs w:val="28"/>
        </w:rPr>
        <w:t>[56, c. 25]</w:t>
      </w:r>
      <w:r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Видача довгострокового кредиту на об'єкти виробничого та невиробничого призначення здійснюється за умови подання позичальником наступних документів, що підтверджують його кредитоспроможність та можливість кредитування об'єкта: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статуту (рішення про створення підприємства);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бухгалтерського балансу підприємства на останню звітну дату, засвідченого податковою інспекцією;</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техніко-економічного обґрунтування (розрахунку, що відображає економічну ефективність та окупність витрат на будівництво);</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інших документів, що підтверджують фінансовий стан та</w:t>
      </w:r>
      <w:r w:rsidR="00363C28">
        <w:rPr>
          <w:rFonts w:ascii="Times New Roman" w:hAnsi="Times New Roman"/>
          <w:sz w:val="28"/>
          <w:szCs w:val="28"/>
          <w:lang w:val="uk-UA"/>
        </w:rPr>
        <w:t xml:space="preserve"> </w:t>
      </w:r>
      <w:r w:rsidR="00363C28" w:rsidRPr="00877BF2">
        <w:rPr>
          <w:rFonts w:ascii="Times New Roman" w:hAnsi="Times New Roman"/>
          <w:sz w:val="28"/>
          <w:szCs w:val="28"/>
          <w:lang w:val="uk-UA"/>
        </w:rPr>
        <w:t>кредитоспроможність підприємства</w:t>
      </w:r>
      <w:r w:rsidR="00AF1864" w:rsidRPr="00AF1864">
        <w:rPr>
          <w:rFonts w:ascii="Times New Roman" w:hAnsi="Times New Roman"/>
          <w:sz w:val="28"/>
          <w:szCs w:val="28"/>
        </w:rPr>
        <w:t xml:space="preserve"> </w:t>
      </w:r>
      <w:r w:rsidR="00AF1864" w:rsidRPr="00AF1864">
        <w:rPr>
          <w:rFonts w:ascii="Times New Roman" w:eastAsia="Times New Roman" w:hAnsi="Times New Roman"/>
          <w:sz w:val="28"/>
          <w:szCs w:val="28"/>
        </w:rPr>
        <w:t>[63, c. 259]</w:t>
      </w:r>
      <w:r w:rsidR="00363C28"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Банк здійснює спостереження за ходом виконання заходів, що кредитуються. При невиконанні позичальником своїх зобов'язань банк має право застосовувати економічні санкції, передбачені кредитним договором.</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Аналіз інвестиційної </w:t>
      </w:r>
      <w:r w:rsidRPr="00BC0268">
        <w:rPr>
          <w:rFonts w:ascii="Times New Roman" w:hAnsi="Times New Roman"/>
          <w:sz w:val="28"/>
          <w:szCs w:val="28"/>
          <w:lang w:val="uk-UA"/>
        </w:rPr>
        <w:t xml:space="preserve">політики, наприклад, </w:t>
      </w:r>
      <w:r w:rsidR="00AF1864" w:rsidRPr="00BC0268">
        <w:rPr>
          <w:rFonts w:ascii="Times New Roman" w:hAnsi="Times New Roman"/>
          <w:sz w:val="28"/>
          <w:szCs w:val="28"/>
          <w:lang w:val="uk-UA"/>
        </w:rPr>
        <w:t>Б</w:t>
      </w:r>
      <w:r w:rsidRPr="00BC0268">
        <w:rPr>
          <w:rFonts w:ascii="Times New Roman" w:hAnsi="Times New Roman"/>
          <w:sz w:val="28"/>
          <w:szCs w:val="28"/>
          <w:lang w:val="uk-UA"/>
        </w:rPr>
        <w:t xml:space="preserve">анку щодо фінансування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 xml:space="preserve">тів </w:t>
      </w:r>
      <w:r w:rsidR="00386FA6" w:rsidRPr="00BC0268">
        <w:rPr>
          <w:rFonts w:ascii="Times New Roman" w:hAnsi="Times New Roman"/>
          <w:sz w:val="28"/>
          <w:szCs w:val="28"/>
          <w:lang w:val="uk-UA"/>
        </w:rPr>
        <w:t>з</w:t>
      </w:r>
      <w:r w:rsidR="00386FA6" w:rsidRPr="004C5906">
        <w:rPr>
          <w:rFonts w:ascii="Times New Roman" w:hAnsi="Times New Roman"/>
          <w:sz w:val="28"/>
          <w:szCs w:val="28"/>
          <w:lang w:val="uk-UA"/>
        </w:rPr>
        <w:t xml:space="preserve"> інвестиційної привабливості</w:t>
      </w:r>
      <w:r w:rsidR="00386FA6" w:rsidRPr="00BC0268">
        <w:rPr>
          <w:rFonts w:ascii="Times New Roman" w:hAnsi="Times New Roman"/>
          <w:sz w:val="28"/>
          <w:szCs w:val="28"/>
          <w:lang w:val="uk-UA"/>
        </w:rPr>
        <w:t xml:space="preserve"> </w:t>
      </w:r>
      <w:r w:rsidRPr="00BC0268">
        <w:rPr>
          <w:rFonts w:ascii="Times New Roman" w:hAnsi="Times New Roman"/>
          <w:sz w:val="28"/>
          <w:szCs w:val="28"/>
          <w:lang w:val="uk-UA"/>
        </w:rPr>
        <w:t xml:space="preserve">зі створення нового виробництва, реконструкції, модернізації та розширення діючого виробництва українських </w:t>
      </w:r>
      <w:r w:rsidRPr="00BC0268">
        <w:rPr>
          <w:rFonts w:ascii="Times New Roman" w:hAnsi="Times New Roman"/>
          <w:sz w:val="28"/>
          <w:szCs w:val="28"/>
          <w:lang w:val="uk-UA"/>
        </w:rPr>
        <w:lastRenderedPageBreak/>
        <w:t xml:space="preserve">підприємств, показує, що вона включає наступні вимоги та умови до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4C5906">
        <w:rPr>
          <w:rFonts w:ascii="Times New Roman" w:hAnsi="Times New Roman"/>
          <w:sz w:val="28"/>
          <w:szCs w:val="28"/>
          <w:lang w:val="uk-UA"/>
        </w:rPr>
        <w:t xml:space="preserve"> інвестиційної привабливості</w:t>
      </w:r>
      <w:r w:rsidRPr="00877BF2">
        <w:rPr>
          <w:rFonts w:ascii="Times New Roman" w:hAnsi="Times New Roman"/>
          <w:sz w:val="28"/>
          <w:szCs w:val="28"/>
          <w:lang w:val="uk-UA"/>
        </w:rPr>
        <w:t xml:space="preserve"> і самому позичальнику:</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1. Базові умови Банку під час </w:t>
      </w:r>
      <w:r w:rsidR="00DB1F48">
        <w:rPr>
          <w:rFonts w:ascii="Times New Roman" w:hAnsi="Times New Roman"/>
          <w:sz w:val="28"/>
          <w:szCs w:val="28"/>
          <w:lang w:val="uk-UA"/>
        </w:rPr>
        <w:t>проєк</w:t>
      </w:r>
      <w:r w:rsidRPr="00877BF2">
        <w:rPr>
          <w:rFonts w:ascii="Times New Roman" w:hAnsi="Times New Roman"/>
          <w:sz w:val="28"/>
          <w:szCs w:val="28"/>
          <w:lang w:val="uk-UA"/>
        </w:rPr>
        <w:t>тного фінансування:</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877BF2">
        <w:rPr>
          <w:rFonts w:ascii="Times New Roman" w:hAnsi="Times New Roman"/>
          <w:sz w:val="28"/>
          <w:szCs w:val="28"/>
          <w:lang w:val="uk-UA"/>
        </w:rPr>
        <w:t>термін</w:t>
      </w:r>
      <w:r w:rsidR="00DB1F48">
        <w:rPr>
          <w:rFonts w:ascii="Times New Roman" w:hAnsi="Times New Roman"/>
          <w:sz w:val="28"/>
          <w:szCs w:val="28"/>
          <w:lang w:val="uk-UA"/>
        </w:rPr>
        <w:t xml:space="preserve"> – </w:t>
      </w:r>
      <w:r w:rsidR="00363C28" w:rsidRPr="00877BF2">
        <w:rPr>
          <w:rFonts w:ascii="Times New Roman" w:hAnsi="Times New Roman"/>
          <w:sz w:val="28"/>
          <w:szCs w:val="28"/>
          <w:lang w:val="uk-UA"/>
        </w:rPr>
        <w:t>від 1 до 5 років</w:t>
      </w:r>
      <w:r>
        <w:rPr>
          <w:rFonts w:ascii="Times New Roman" w:hAnsi="Times New Roman"/>
          <w:sz w:val="28"/>
          <w:szCs w:val="28"/>
          <w:lang w:val="uk-UA"/>
        </w:rPr>
        <w:t>;</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877BF2">
        <w:rPr>
          <w:rFonts w:ascii="Times New Roman" w:hAnsi="Times New Roman"/>
          <w:sz w:val="28"/>
          <w:szCs w:val="28"/>
          <w:lang w:val="uk-UA"/>
        </w:rPr>
        <w:t xml:space="preserve">сума </w:t>
      </w:r>
      <w:r w:rsidR="00DB1F48">
        <w:rPr>
          <w:rFonts w:ascii="Times New Roman" w:hAnsi="Times New Roman"/>
          <w:sz w:val="28"/>
          <w:szCs w:val="28"/>
          <w:lang w:val="uk-UA"/>
        </w:rPr>
        <w:t>проєк</w:t>
      </w:r>
      <w:r w:rsidR="00363C28" w:rsidRPr="00877BF2">
        <w:rPr>
          <w:rFonts w:ascii="Times New Roman" w:hAnsi="Times New Roman"/>
          <w:sz w:val="28"/>
          <w:szCs w:val="28"/>
          <w:lang w:val="uk-UA"/>
        </w:rPr>
        <w:t>ту – від $500 000 до $5 000</w:t>
      </w:r>
      <w:r>
        <w:rPr>
          <w:rFonts w:ascii="Times New Roman" w:hAnsi="Times New Roman"/>
          <w:sz w:val="28"/>
          <w:szCs w:val="28"/>
          <w:lang w:val="uk-UA"/>
        </w:rPr>
        <w:t> </w:t>
      </w:r>
      <w:r w:rsidR="00363C28" w:rsidRPr="00877BF2">
        <w:rPr>
          <w:rFonts w:ascii="Times New Roman" w:hAnsi="Times New Roman"/>
          <w:sz w:val="28"/>
          <w:szCs w:val="28"/>
          <w:lang w:val="uk-UA"/>
        </w:rPr>
        <w:t>000</w:t>
      </w:r>
      <w:r>
        <w:rPr>
          <w:rFonts w:ascii="Times New Roman" w:hAnsi="Times New Roman"/>
          <w:sz w:val="28"/>
          <w:szCs w:val="28"/>
          <w:lang w:val="uk-UA"/>
        </w:rPr>
        <w:t xml:space="preserve">; </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877BF2">
        <w:rPr>
          <w:rFonts w:ascii="Times New Roman" w:hAnsi="Times New Roman"/>
          <w:sz w:val="28"/>
          <w:szCs w:val="28"/>
          <w:lang w:val="uk-UA"/>
        </w:rPr>
        <w:t>ставка</w:t>
      </w:r>
      <w:r w:rsidR="00DB1F48">
        <w:rPr>
          <w:rFonts w:ascii="Times New Roman" w:hAnsi="Times New Roman"/>
          <w:sz w:val="28"/>
          <w:szCs w:val="28"/>
          <w:lang w:val="uk-UA"/>
        </w:rPr>
        <w:t xml:space="preserve"> – </w:t>
      </w:r>
      <w:r w:rsidR="00363C28" w:rsidRPr="00877BF2">
        <w:rPr>
          <w:rFonts w:ascii="Times New Roman" w:hAnsi="Times New Roman"/>
          <w:sz w:val="28"/>
          <w:szCs w:val="28"/>
          <w:lang w:val="uk-UA"/>
        </w:rPr>
        <w:t>від 15% річних</w:t>
      </w:r>
      <w:r>
        <w:rPr>
          <w:rFonts w:ascii="Times New Roman" w:hAnsi="Times New Roman"/>
          <w:sz w:val="28"/>
          <w:szCs w:val="28"/>
          <w:lang w:val="uk-UA"/>
        </w:rPr>
        <w:t xml:space="preserve">; </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877BF2">
        <w:rPr>
          <w:rFonts w:ascii="Times New Roman" w:hAnsi="Times New Roman"/>
          <w:sz w:val="28"/>
          <w:szCs w:val="28"/>
          <w:lang w:val="uk-UA"/>
        </w:rPr>
        <w:t>забезпечення: застава основних засобів, акцій підприємств, поруки клієнтів Банку.</w:t>
      </w:r>
    </w:p>
    <w:p w:rsidR="00363C28" w:rsidRPr="009C19A3"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Завдяки ресурсам </w:t>
      </w:r>
      <w:r w:rsidRPr="00235B44">
        <w:rPr>
          <w:rFonts w:ascii="Times New Roman" w:hAnsi="Times New Roman"/>
          <w:sz w:val="28"/>
          <w:szCs w:val="28"/>
          <w:lang w:val="uk-UA"/>
        </w:rPr>
        <w:t xml:space="preserve">іноземних фінансових інститутів, низька ставка кредитування дозволяє клієнтам банку здійснювати ефективні </w:t>
      </w:r>
      <w:r w:rsidR="00DB1F48" w:rsidRPr="00235B44">
        <w:rPr>
          <w:rFonts w:ascii="Times New Roman" w:hAnsi="Times New Roman"/>
          <w:sz w:val="28"/>
          <w:szCs w:val="28"/>
          <w:lang w:val="uk-UA"/>
        </w:rPr>
        <w:t>проєк</w:t>
      </w:r>
      <w:r w:rsidRPr="00235B44">
        <w:rPr>
          <w:rFonts w:ascii="Times New Roman" w:hAnsi="Times New Roman"/>
          <w:sz w:val="28"/>
          <w:szCs w:val="28"/>
          <w:lang w:val="uk-UA"/>
        </w:rPr>
        <w:t>ти</w:t>
      </w:r>
      <w:r w:rsidR="00386FA6" w:rsidRPr="00235B44">
        <w:rPr>
          <w:rFonts w:ascii="Times New Roman" w:hAnsi="Times New Roman"/>
          <w:sz w:val="28"/>
          <w:szCs w:val="28"/>
          <w:lang w:val="uk-UA"/>
        </w:rPr>
        <w:t xml:space="preserve"> з</w:t>
      </w:r>
      <w:r w:rsidR="00386FA6" w:rsidRPr="00235B44">
        <w:rPr>
          <w:rStyle w:val="docdata"/>
          <w:rFonts w:ascii="Times New Roman" w:eastAsia="Aptos" w:hAnsi="Times New Roman"/>
          <w:color w:val="000000"/>
          <w:kern w:val="2"/>
          <w:sz w:val="28"/>
          <w:szCs w:val="28"/>
          <w:lang w:val="uk-UA"/>
        </w:rPr>
        <w:t xml:space="preserve"> інвестиційної привабливості</w:t>
      </w:r>
      <w:r w:rsidRPr="00235B44">
        <w:rPr>
          <w:rFonts w:ascii="Times New Roman" w:hAnsi="Times New Roman"/>
          <w:sz w:val="28"/>
          <w:szCs w:val="28"/>
          <w:lang w:val="uk-UA"/>
        </w:rPr>
        <w:t>. Тривалі терміни запозичення дозволяють здійснювати повернення боргу із засобів, що утворюються</w:t>
      </w:r>
      <w:r w:rsidRPr="00877BF2">
        <w:rPr>
          <w:rFonts w:ascii="Times New Roman" w:hAnsi="Times New Roman"/>
          <w:sz w:val="28"/>
          <w:szCs w:val="28"/>
          <w:lang w:val="uk-UA"/>
        </w:rPr>
        <w:t xml:space="preserve"> в результаті реалізації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4C5906">
        <w:rPr>
          <w:rFonts w:ascii="Times New Roman" w:hAnsi="Times New Roman"/>
          <w:sz w:val="28"/>
          <w:szCs w:val="28"/>
          <w:lang w:val="uk-UA"/>
        </w:rPr>
        <w:t xml:space="preserve"> інвестиційної привабливості</w:t>
      </w:r>
      <w:r w:rsidRPr="00BC0268">
        <w:rPr>
          <w:rFonts w:ascii="Times New Roman" w:hAnsi="Times New Roman"/>
          <w:sz w:val="28"/>
          <w:szCs w:val="28"/>
          <w:lang w:val="uk-UA"/>
        </w:rPr>
        <w:t>, не залучаючи фінансові ресурси від інших видів діяльності компанії. Надані банком відстрочки у виплаті основного боргу до 6 місяців дозволя</w:t>
      </w:r>
      <w:r w:rsidR="00A43831" w:rsidRPr="00BC0268">
        <w:rPr>
          <w:rFonts w:ascii="Times New Roman" w:hAnsi="Times New Roman"/>
          <w:sz w:val="28"/>
          <w:szCs w:val="28"/>
          <w:lang w:val="uk-UA"/>
        </w:rPr>
        <w:t>ють</w:t>
      </w:r>
      <w:r w:rsidRPr="00BC0268">
        <w:rPr>
          <w:rFonts w:ascii="Times New Roman" w:hAnsi="Times New Roman"/>
          <w:sz w:val="28"/>
          <w:szCs w:val="28"/>
          <w:lang w:val="uk-UA"/>
        </w:rPr>
        <w:t xml:space="preserve"> враховувати специфіку виробництва клієнта</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[191]</w:t>
      </w:r>
      <w:r w:rsidR="009C19A3" w:rsidRPr="009C19A3">
        <w:rPr>
          <w:rFonts w:ascii="Times New Roman" w:hAnsi="Times New Roman"/>
          <w:sz w:val="28"/>
          <w:szCs w:val="28"/>
          <w:lang w:val="uk-UA"/>
        </w:rPr>
        <w:t>.</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2. Базові вимоги Банку до реципієнта:</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 xml:space="preserve">Місце розташування компанії та реалізація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DB1F48" w:rsidRPr="00BC0268">
        <w:rPr>
          <w:rFonts w:ascii="Times New Roman" w:hAnsi="Times New Roman"/>
          <w:sz w:val="28"/>
          <w:szCs w:val="28"/>
          <w:lang w:val="uk-UA"/>
        </w:rPr>
        <w:t xml:space="preserve"> </w:t>
      </w:r>
      <w:r w:rsidR="00386FA6" w:rsidRPr="00BC0268">
        <w:rPr>
          <w:rFonts w:ascii="Times New Roman" w:hAnsi="Times New Roman"/>
          <w:sz w:val="28"/>
          <w:szCs w:val="28"/>
          <w:lang w:val="uk-UA"/>
        </w:rPr>
        <w:t>з</w:t>
      </w:r>
      <w:r w:rsidR="00386FA6" w:rsidRPr="004C5906">
        <w:rPr>
          <w:rFonts w:ascii="Times New Roman" w:hAnsi="Times New Roman"/>
          <w:sz w:val="28"/>
          <w:szCs w:val="28"/>
          <w:lang w:val="uk-UA"/>
        </w:rPr>
        <w:t xml:space="preserve"> інвестиційної привабливості</w:t>
      </w:r>
      <w:r w:rsidR="00386FA6" w:rsidRPr="00BC0268">
        <w:rPr>
          <w:rFonts w:ascii="Times New Roman" w:hAnsi="Times New Roman"/>
          <w:sz w:val="28"/>
          <w:szCs w:val="28"/>
          <w:lang w:val="uk-UA"/>
        </w:rPr>
        <w:t xml:space="preserve"> </w:t>
      </w:r>
      <w:r w:rsidR="00DB1F48" w:rsidRPr="00BC0268">
        <w:rPr>
          <w:rFonts w:ascii="Times New Roman" w:hAnsi="Times New Roman"/>
          <w:sz w:val="28"/>
          <w:szCs w:val="28"/>
          <w:lang w:val="uk-UA"/>
        </w:rPr>
        <w:t xml:space="preserve">– </w:t>
      </w:r>
      <w:r w:rsidRPr="00BC0268">
        <w:rPr>
          <w:rFonts w:ascii="Times New Roman" w:hAnsi="Times New Roman"/>
          <w:sz w:val="28"/>
          <w:szCs w:val="28"/>
          <w:lang w:val="uk-UA"/>
        </w:rPr>
        <w:t xml:space="preserve">як правило </w:t>
      </w:r>
      <w:r w:rsidR="00A43831" w:rsidRPr="00BC0268">
        <w:rPr>
          <w:rFonts w:ascii="Times New Roman" w:hAnsi="Times New Roman"/>
          <w:sz w:val="28"/>
          <w:szCs w:val="28"/>
          <w:lang w:val="uk-UA"/>
        </w:rPr>
        <w:t xml:space="preserve">у </w:t>
      </w:r>
      <w:r w:rsidRPr="00BC0268">
        <w:rPr>
          <w:rFonts w:ascii="Times New Roman" w:hAnsi="Times New Roman"/>
          <w:sz w:val="28"/>
          <w:szCs w:val="28"/>
          <w:lang w:val="uk-UA"/>
        </w:rPr>
        <w:t>регіоні</w:t>
      </w:r>
      <w:r w:rsidR="00A43831" w:rsidRPr="00BC0268">
        <w:rPr>
          <w:rFonts w:ascii="Times New Roman" w:hAnsi="Times New Roman"/>
          <w:sz w:val="28"/>
          <w:szCs w:val="28"/>
          <w:lang w:val="uk-UA"/>
        </w:rPr>
        <w:t>, де</w:t>
      </w:r>
      <w:r w:rsidRPr="00BC0268">
        <w:rPr>
          <w:rFonts w:ascii="Times New Roman" w:hAnsi="Times New Roman"/>
          <w:sz w:val="28"/>
          <w:szCs w:val="28"/>
          <w:lang w:val="uk-UA"/>
        </w:rPr>
        <w:t xml:space="preserve"> </w:t>
      </w:r>
      <w:r w:rsidR="00A43831" w:rsidRPr="00BC0268">
        <w:rPr>
          <w:rFonts w:ascii="Times New Roman" w:hAnsi="Times New Roman"/>
          <w:sz w:val="28"/>
          <w:szCs w:val="28"/>
          <w:lang w:val="uk-UA"/>
        </w:rPr>
        <w:t>є</w:t>
      </w:r>
      <w:r w:rsidRPr="00BC0268">
        <w:rPr>
          <w:rFonts w:ascii="Times New Roman" w:hAnsi="Times New Roman"/>
          <w:sz w:val="28"/>
          <w:szCs w:val="28"/>
          <w:lang w:val="uk-UA"/>
        </w:rPr>
        <w:t xml:space="preserve"> структурні підрозділи Банку.</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Термін реального функціонування компанії чи системи бізнесу (під системою бізнесу можуть розумітися кілька компаній, об'єднаних одним власником) у цій галузі — щонайменше 3 років.</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 xml:space="preserve">Беззбиткова діяльність </w:t>
      </w:r>
      <w:r w:rsidR="00FC4ABE">
        <w:rPr>
          <w:rFonts w:ascii="Times New Roman" w:hAnsi="Times New Roman"/>
          <w:sz w:val="28"/>
          <w:szCs w:val="28"/>
          <w:lang w:val="uk-UA"/>
        </w:rPr>
        <w:t>компанії за останні 4 квартали.</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Відсутність простроченої заборгованості перед бюджетними та позабюджетними обов'язковими фондами.</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 xml:space="preserve">Реальні активи компанії повинні перевищувати вартість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BC0268">
        <w:rPr>
          <w:rFonts w:ascii="Times New Roman" w:hAnsi="Times New Roman"/>
          <w:sz w:val="28"/>
          <w:szCs w:val="28"/>
        </w:rPr>
        <w:t xml:space="preserve"> інвестиційної привабливості</w:t>
      </w:r>
      <w:r w:rsidRPr="00BC0268">
        <w:rPr>
          <w:rFonts w:ascii="Times New Roman" w:hAnsi="Times New Roman"/>
          <w:sz w:val="28"/>
          <w:szCs w:val="28"/>
          <w:lang w:val="uk-UA"/>
        </w:rPr>
        <w:t>, що кредитується, як правило, не менш ніж у два рази.</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lastRenderedPageBreak/>
        <w:t xml:space="preserve">Можливість компанії обслуговувати кредитну заборгованість із поточної комерційної діяльності, не пов'язаної з реалізацією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4C5906">
        <w:rPr>
          <w:rFonts w:ascii="Times New Roman" w:hAnsi="Times New Roman"/>
          <w:sz w:val="28"/>
          <w:szCs w:val="28"/>
          <w:lang w:val="uk-UA"/>
        </w:rPr>
        <w:t xml:space="preserve"> інвестиційної привабливості</w:t>
      </w:r>
      <w:r w:rsidRPr="00BC0268">
        <w:rPr>
          <w:rFonts w:ascii="Times New Roman" w:hAnsi="Times New Roman"/>
          <w:sz w:val="28"/>
          <w:szCs w:val="28"/>
          <w:lang w:val="uk-UA"/>
        </w:rPr>
        <w:t>.</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 xml:space="preserve">Підприємство зазвичай за рахунок власних коштів фінансує не менше 25% від вартості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4C5906">
        <w:rPr>
          <w:rFonts w:ascii="Times New Roman" w:hAnsi="Times New Roman"/>
          <w:sz w:val="28"/>
          <w:szCs w:val="28"/>
          <w:lang w:val="uk-UA"/>
        </w:rPr>
        <w:t xml:space="preserve"> інвестиційної привабливості</w:t>
      </w:r>
      <w:r w:rsidRPr="00BC0268">
        <w:rPr>
          <w:rFonts w:ascii="Times New Roman" w:hAnsi="Times New Roman"/>
          <w:sz w:val="28"/>
          <w:szCs w:val="28"/>
          <w:lang w:val="uk-UA"/>
        </w:rPr>
        <w:t>.</w:t>
      </w:r>
    </w:p>
    <w:p w:rsidR="00363C28" w:rsidRPr="00BC0268"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 xml:space="preserve">На момент подання документів до Банку компанія має бізнес-план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ту</w:t>
      </w:r>
      <w:r w:rsidR="00386FA6" w:rsidRPr="00BC0268">
        <w:rPr>
          <w:rFonts w:ascii="Times New Roman" w:hAnsi="Times New Roman"/>
          <w:sz w:val="28"/>
          <w:szCs w:val="28"/>
          <w:lang w:val="uk-UA"/>
        </w:rPr>
        <w:t xml:space="preserve"> з</w:t>
      </w:r>
      <w:r w:rsidR="00386FA6" w:rsidRPr="004C5906">
        <w:rPr>
          <w:rFonts w:ascii="Times New Roman" w:hAnsi="Times New Roman"/>
          <w:sz w:val="28"/>
          <w:szCs w:val="28"/>
          <w:lang w:val="uk-UA"/>
        </w:rPr>
        <w:t xml:space="preserve"> інвестиційної привабливості</w:t>
      </w:r>
      <w:r w:rsidRPr="00BC0268">
        <w:rPr>
          <w:rFonts w:ascii="Times New Roman" w:hAnsi="Times New Roman"/>
          <w:sz w:val="28"/>
          <w:szCs w:val="28"/>
          <w:lang w:val="uk-UA"/>
        </w:rPr>
        <w:t xml:space="preserve">, оформлена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тно-кошторисна та дозвільна документація та існують специфікації необхідного обладнання.</w:t>
      </w:r>
    </w:p>
    <w:p w:rsidR="00363C28" w:rsidRPr="0066756D" w:rsidRDefault="00363C28" w:rsidP="00363C28">
      <w:pPr>
        <w:spacing w:after="0" w:line="360" w:lineRule="auto"/>
        <w:ind w:firstLine="709"/>
        <w:jc w:val="both"/>
        <w:rPr>
          <w:rFonts w:ascii="Times New Roman" w:hAnsi="Times New Roman"/>
          <w:sz w:val="28"/>
          <w:szCs w:val="28"/>
          <w:lang w:val="uk-UA"/>
        </w:rPr>
      </w:pPr>
      <w:r w:rsidRPr="00BC0268">
        <w:rPr>
          <w:rFonts w:ascii="Times New Roman" w:hAnsi="Times New Roman"/>
          <w:sz w:val="28"/>
          <w:szCs w:val="28"/>
          <w:lang w:val="uk-UA"/>
        </w:rPr>
        <w:t>Виходячи з головної мети функціонування банку (як і будь-якого іншого комерційного підприємства)</w:t>
      </w:r>
      <w:r w:rsidR="00DB1F48" w:rsidRPr="00BC0268">
        <w:rPr>
          <w:rFonts w:ascii="Times New Roman" w:hAnsi="Times New Roman"/>
          <w:sz w:val="28"/>
          <w:szCs w:val="28"/>
          <w:lang w:val="uk-UA"/>
        </w:rPr>
        <w:t xml:space="preserve"> – </w:t>
      </w:r>
      <w:r w:rsidRPr="00BC0268">
        <w:rPr>
          <w:rFonts w:ascii="Times New Roman" w:hAnsi="Times New Roman"/>
          <w:sz w:val="28"/>
          <w:szCs w:val="28"/>
          <w:lang w:val="uk-UA"/>
        </w:rPr>
        <w:t xml:space="preserve">отримання максимуму прибутку зі своєї діяльності, основні завдання при </w:t>
      </w:r>
      <w:r w:rsidR="00DB1F48" w:rsidRPr="00BC0268">
        <w:rPr>
          <w:rFonts w:ascii="Times New Roman" w:hAnsi="Times New Roman"/>
          <w:sz w:val="28"/>
          <w:szCs w:val="28"/>
          <w:lang w:val="uk-UA"/>
        </w:rPr>
        <w:t>проєк</w:t>
      </w:r>
      <w:r w:rsidRPr="00BC0268">
        <w:rPr>
          <w:rFonts w:ascii="Times New Roman" w:hAnsi="Times New Roman"/>
          <w:sz w:val="28"/>
          <w:szCs w:val="28"/>
          <w:lang w:val="uk-UA"/>
        </w:rPr>
        <w:t>тному фінансуванні можна сформулювати як пошук, експертиза</w:t>
      </w:r>
      <w:r w:rsidRPr="00877BF2">
        <w:rPr>
          <w:rFonts w:ascii="Times New Roman" w:hAnsi="Times New Roman"/>
          <w:sz w:val="28"/>
          <w:szCs w:val="28"/>
          <w:lang w:val="uk-UA"/>
        </w:rPr>
        <w:t xml:space="preserve">, фінансування та супровід високоефективних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 xml:space="preserve">тів </w:t>
      </w:r>
      <w:r w:rsidR="00386FA6" w:rsidRPr="0066756D">
        <w:rPr>
          <w:rFonts w:ascii="Times New Roman" w:hAnsi="Times New Roman"/>
          <w:sz w:val="28"/>
          <w:szCs w:val="28"/>
          <w:lang w:val="uk-UA"/>
        </w:rPr>
        <w:t>з</w:t>
      </w:r>
      <w:r w:rsidR="00386FA6" w:rsidRPr="004C5906">
        <w:rPr>
          <w:rFonts w:ascii="Times New Roman" w:hAnsi="Times New Roman"/>
          <w:sz w:val="28"/>
          <w:szCs w:val="28"/>
          <w:lang w:val="uk-UA"/>
        </w:rPr>
        <w:t xml:space="preserve"> інвестиційної привабливості</w:t>
      </w:r>
      <w:r w:rsidR="00386FA6" w:rsidRPr="0066756D">
        <w:rPr>
          <w:rFonts w:ascii="Times New Roman" w:hAnsi="Times New Roman"/>
          <w:sz w:val="28"/>
          <w:szCs w:val="28"/>
          <w:lang w:val="uk-UA"/>
        </w:rPr>
        <w:t xml:space="preserve"> </w:t>
      </w:r>
      <w:r w:rsidRPr="0066756D">
        <w:rPr>
          <w:rFonts w:ascii="Times New Roman" w:hAnsi="Times New Roman"/>
          <w:sz w:val="28"/>
          <w:szCs w:val="28"/>
          <w:lang w:val="uk-UA"/>
        </w:rPr>
        <w:t>та пропозицій</w:t>
      </w:r>
      <w:r w:rsidR="00AF1864" w:rsidRPr="0066756D">
        <w:rPr>
          <w:rFonts w:ascii="Times New Roman" w:hAnsi="Times New Roman"/>
          <w:sz w:val="28"/>
          <w:szCs w:val="28"/>
          <w:lang w:val="uk-UA"/>
        </w:rPr>
        <w:t xml:space="preserve"> </w:t>
      </w:r>
      <w:r w:rsidR="00AF1864" w:rsidRPr="0066756D">
        <w:rPr>
          <w:rFonts w:ascii="Times New Roman" w:eastAsia="Times New Roman" w:hAnsi="Times New Roman"/>
          <w:sz w:val="28"/>
          <w:szCs w:val="28"/>
          <w:lang w:val="uk-UA"/>
        </w:rPr>
        <w:t>[68, c. 259]</w:t>
      </w:r>
      <w:r w:rsidRPr="0066756D">
        <w:rPr>
          <w:rFonts w:ascii="Times New Roman" w:hAnsi="Times New Roman"/>
          <w:sz w:val="28"/>
          <w:szCs w:val="28"/>
          <w:lang w:val="uk-UA"/>
        </w:rPr>
        <w:t>.</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 xml:space="preserve">У загальному випадку експертиза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 xml:space="preserve">ту </w:t>
      </w:r>
      <w:r w:rsidR="00386FA6" w:rsidRPr="0066756D">
        <w:rPr>
          <w:rFonts w:ascii="Times New Roman" w:hAnsi="Times New Roman"/>
          <w:sz w:val="28"/>
          <w:szCs w:val="28"/>
          <w:lang w:val="uk-UA"/>
        </w:rPr>
        <w:t>з</w:t>
      </w:r>
      <w:r w:rsidR="00386FA6" w:rsidRPr="0066756D">
        <w:rPr>
          <w:rFonts w:ascii="Times New Roman" w:hAnsi="Times New Roman"/>
          <w:sz w:val="28"/>
          <w:szCs w:val="28"/>
        </w:rPr>
        <w:t xml:space="preserve"> інвестиційної привабливості</w:t>
      </w:r>
      <w:r w:rsidR="00386FA6" w:rsidRPr="0066756D">
        <w:rPr>
          <w:rFonts w:ascii="Times New Roman" w:hAnsi="Times New Roman"/>
          <w:sz w:val="28"/>
          <w:szCs w:val="28"/>
          <w:lang w:val="uk-UA"/>
        </w:rPr>
        <w:t xml:space="preserve"> </w:t>
      </w:r>
      <w:r w:rsidRPr="0066756D">
        <w:rPr>
          <w:rFonts w:ascii="Times New Roman" w:hAnsi="Times New Roman"/>
          <w:sz w:val="28"/>
          <w:szCs w:val="28"/>
          <w:lang w:val="uk-UA"/>
        </w:rPr>
        <w:t>в банку повинна включати наступні етапи:</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1. Оцінка об'єкта інвестування.</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2. Верифікація вихідних даних.</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3. Перевірка повноти та коректності розрахунків.</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4. Оцінка прибутковості інвестора (кредитора).</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 xml:space="preserve">5. Оцінка ризиків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ту та інвестора (кредитора).</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При аналізі об'єкта інвестування, крім оцінки його фінансового стану на підставі стандартного набору коефіцієнтів (бажано в динаміці за кілька років)</w:t>
      </w:r>
      <w:r w:rsidR="009309D4" w:rsidRPr="0066756D">
        <w:rPr>
          <w:rFonts w:ascii="Times New Roman" w:hAnsi="Times New Roman"/>
          <w:sz w:val="28"/>
          <w:szCs w:val="28"/>
          <w:lang w:val="uk-UA"/>
        </w:rPr>
        <w:t>,</w:t>
      </w:r>
      <w:r w:rsidRPr="0066756D">
        <w:rPr>
          <w:rFonts w:ascii="Times New Roman" w:hAnsi="Times New Roman"/>
          <w:sz w:val="28"/>
          <w:szCs w:val="28"/>
          <w:lang w:val="uk-UA"/>
        </w:rPr>
        <w:t xml:space="preserve"> необхідно виявити причини ситуації, що склалася, і за можлив</w:t>
      </w:r>
      <w:r w:rsidR="009309D4" w:rsidRPr="0066756D">
        <w:rPr>
          <w:rFonts w:ascii="Times New Roman" w:hAnsi="Times New Roman"/>
          <w:sz w:val="28"/>
          <w:szCs w:val="28"/>
          <w:lang w:val="uk-UA"/>
        </w:rPr>
        <w:t>о</w:t>
      </w:r>
      <w:r w:rsidRPr="0066756D">
        <w:rPr>
          <w:rFonts w:ascii="Times New Roman" w:hAnsi="Times New Roman"/>
          <w:sz w:val="28"/>
          <w:szCs w:val="28"/>
          <w:lang w:val="uk-UA"/>
        </w:rPr>
        <w:t>ст</w:t>
      </w:r>
      <w:r w:rsidR="009309D4" w:rsidRPr="0066756D">
        <w:rPr>
          <w:rFonts w:ascii="Times New Roman" w:hAnsi="Times New Roman"/>
          <w:sz w:val="28"/>
          <w:szCs w:val="28"/>
          <w:lang w:val="uk-UA"/>
        </w:rPr>
        <w:t>і</w:t>
      </w:r>
      <w:r w:rsidRPr="0066756D">
        <w:rPr>
          <w:rFonts w:ascii="Times New Roman" w:hAnsi="Times New Roman"/>
          <w:sz w:val="28"/>
          <w:szCs w:val="28"/>
          <w:lang w:val="uk-UA"/>
        </w:rPr>
        <w:t xml:space="preserve"> зробити прогноз (у частині, що не відноситься до реалізації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 xml:space="preserve">ту), а також необхідно звернути увагу на можливість негативного впливу фінансового стану на реалізацію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ту</w:t>
      </w:r>
      <w:r w:rsidR="0053161D" w:rsidRPr="0066756D">
        <w:rPr>
          <w:rFonts w:ascii="Times New Roman" w:hAnsi="Times New Roman"/>
          <w:sz w:val="28"/>
          <w:szCs w:val="28"/>
          <w:lang w:val="uk-UA"/>
        </w:rPr>
        <w:t xml:space="preserve"> з</w:t>
      </w:r>
      <w:r w:rsidR="0053161D" w:rsidRPr="004C5906">
        <w:rPr>
          <w:rFonts w:ascii="Times New Roman" w:hAnsi="Times New Roman"/>
          <w:sz w:val="28"/>
          <w:szCs w:val="28"/>
          <w:lang w:val="uk-UA"/>
        </w:rPr>
        <w:t xml:space="preserve"> інвестиційної привабливості</w:t>
      </w:r>
      <w:r w:rsidRPr="0066756D">
        <w:rPr>
          <w:rFonts w:ascii="Times New Roman" w:hAnsi="Times New Roman"/>
          <w:sz w:val="28"/>
          <w:szCs w:val="28"/>
          <w:lang w:val="uk-UA"/>
        </w:rPr>
        <w:t>.</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 xml:space="preserve">Перед тим, як аналізувати розрахунки, необхідно провести верифікацію вихідних даних (тобто перевірити їх достовірність). Методи верифікації поділяються на прямі та непрямі. Прямі методи мають на увазі порівняння </w:t>
      </w:r>
      <w:r w:rsidRPr="0066756D">
        <w:rPr>
          <w:rFonts w:ascii="Times New Roman" w:hAnsi="Times New Roman"/>
          <w:sz w:val="28"/>
          <w:szCs w:val="28"/>
          <w:lang w:val="uk-UA"/>
        </w:rPr>
        <w:lastRenderedPageBreak/>
        <w:t>даних, закладених у розрахунки</w:t>
      </w:r>
      <w:r w:rsidR="009309D4" w:rsidRPr="0066756D">
        <w:rPr>
          <w:rFonts w:ascii="Times New Roman" w:hAnsi="Times New Roman"/>
          <w:sz w:val="28"/>
          <w:szCs w:val="28"/>
          <w:lang w:val="uk-UA"/>
        </w:rPr>
        <w:t>,</w:t>
      </w:r>
      <w:r w:rsidRPr="0066756D">
        <w:rPr>
          <w:rFonts w:ascii="Times New Roman" w:hAnsi="Times New Roman"/>
          <w:sz w:val="28"/>
          <w:szCs w:val="28"/>
          <w:lang w:val="uk-UA"/>
        </w:rPr>
        <w:t xml:space="preserve"> з реальними цифрами (переважно це стосується цінового оточення)</w:t>
      </w:r>
      <w:r w:rsidR="00AF1864" w:rsidRPr="0066756D">
        <w:rPr>
          <w:rFonts w:ascii="Times New Roman" w:hAnsi="Times New Roman"/>
          <w:sz w:val="28"/>
          <w:szCs w:val="28"/>
          <w:lang w:val="uk-UA"/>
        </w:rPr>
        <w:t xml:space="preserve"> </w:t>
      </w:r>
      <w:r w:rsidR="00AF1864" w:rsidRPr="0066756D">
        <w:rPr>
          <w:rFonts w:ascii="Times New Roman" w:eastAsia="Times New Roman" w:hAnsi="Times New Roman"/>
          <w:sz w:val="28"/>
          <w:szCs w:val="28"/>
          <w:lang w:val="uk-UA"/>
        </w:rPr>
        <w:t>[76, c. 64]</w:t>
      </w:r>
      <w:r w:rsidRPr="0066756D">
        <w:rPr>
          <w:rFonts w:ascii="Times New Roman" w:hAnsi="Times New Roman"/>
          <w:sz w:val="28"/>
          <w:szCs w:val="28"/>
          <w:lang w:val="uk-UA"/>
        </w:rPr>
        <w:t xml:space="preserve">. Непрямі ґрунтуються на порівнянні пропонованого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ту</w:t>
      </w:r>
      <w:r w:rsidR="0053161D" w:rsidRPr="0066756D">
        <w:rPr>
          <w:rFonts w:ascii="Times New Roman" w:hAnsi="Times New Roman"/>
          <w:sz w:val="28"/>
          <w:szCs w:val="28"/>
          <w:lang w:val="uk-UA"/>
        </w:rPr>
        <w:t xml:space="preserve"> з</w:t>
      </w:r>
      <w:r w:rsidR="0053161D" w:rsidRPr="0066756D">
        <w:rPr>
          <w:rFonts w:ascii="Times New Roman" w:hAnsi="Times New Roman"/>
          <w:sz w:val="28"/>
          <w:szCs w:val="28"/>
        </w:rPr>
        <w:t xml:space="preserve"> інвестиційної привабливості</w:t>
      </w:r>
      <w:r w:rsidRPr="0066756D">
        <w:rPr>
          <w:rFonts w:ascii="Times New Roman" w:hAnsi="Times New Roman"/>
          <w:sz w:val="28"/>
          <w:szCs w:val="28"/>
          <w:lang w:val="uk-UA"/>
        </w:rPr>
        <w:t xml:space="preserve"> з аналогами. На початку порівнюються рівні, а потім виявляються причини та обґрунтованість їх відхилень. При перевірці прибутковості, коректності та повноти розрахунків звертається увага на такі фактори:</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 xml:space="preserve">наявність розрахунку грошових потоків для фінансового планування та визначення економічної ефективності за </w:t>
      </w:r>
      <w:r w:rsidR="00DB1F48" w:rsidRPr="0066756D">
        <w:rPr>
          <w:rFonts w:ascii="Times New Roman" w:hAnsi="Times New Roman"/>
          <w:sz w:val="28"/>
          <w:szCs w:val="28"/>
          <w:lang w:val="uk-UA"/>
        </w:rPr>
        <w:t>проєк</w:t>
      </w:r>
      <w:r w:rsidR="00363C28" w:rsidRPr="0066756D">
        <w:rPr>
          <w:rFonts w:ascii="Times New Roman" w:hAnsi="Times New Roman"/>
          <w:sz w:val="28"/>
          <w:szCs w:val="28"/>
          <w:lang w:val="uk-UA"/>
        </w:rPr>
        <w:t>том та об'єктом інвестування в цілому;</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повнота розрахунків витрат;</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облік податків та зборів (основні проблеми виникають з урахуванням ПДВ до капітальних витрат та пільг з податку на прибуток);</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 xml:space="preserve">облік прогнозованих ризиків (плановий </w:t>
      </w:r>
      <w:r w:rsidR="009309D4" w:rsidRPr="0066756D">
        <w:rPr>
          <w:rFonts w:ascii="Times New Roman" w:hAnsi="Times New Roman"/>
          <w:sz w:val="28"/>
          <w:szCs w:val="28"/>
          <w:lang w:val="uk-UA"/>
        </w:rPr>
        <w:t>брак</w:t>
      </w:r>
      <w:r w:rsidR="00363C28" w:rsidRPr="0066756D">
        <w:rPr>
          <w:rFonts w:ascii="Times New Roman" w:hAnsi="Times New Roman"/>
          <w:sz w:val="28"/>
          <w:szCs w:val="28"/>
          <w:lang w:val="uk-UA"/>
        </w:rPr>
        <w:t>, простої, очевидні зміни цін тощо)</w:t>
      </w:r>
      <w:r w:rsidR="009309D4" w:rsidRPr="0066756D">
        <w:rPr>
          <w:rFonts w:ascii="Times New Roman" w:hAnsi="Times New Roman"/>
          <w:sz w:val="28"/>
          <w:szCs w:val="28"/>
          <w:lang w:val="uk-UA"/>
        </w:rPr>
        <w:t>;</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 xml:space="preserve">юридична захищеність </w:t>
      </w:r>
      <w:r w:rsidR="00DB1F48" w:rsidRPr="0066756D">
        <w:rPr>
          <w:rFonts w:ascii="Times New Roman" w:hAnsi="Times New Roman"/>
          <w:sz w:val="28"/>
          <w:szCs w:val="28"/>
          <w:lang w:val="uk-UA"/>
        </w:rPr>
        <w:t>проєк</w:t>
      </w:r>
      <w:r w:rsidR="00363C28" w:rsidRPr="0066756D">
        <w:rPr>
          <w:rFonts w:ascii="Times New Roman" w:hAnsi="Times New Roman"/>
          <w:sz w:val="28"/>
          <w:szCs w:val="28"/>
          <w:lang w:val="uk-UA"/>
        </w:rPr>
        <w:t>ту (наявність відповідних квот, ліцензій, дозволів тощо);</w:t>
      </w:r>
    </w:p>
    <w:p w:rsidR="00363C28" w:rsidRPr="0066756D"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9309D4" w:rsidRPr="0066756D">
        <w:rPr>
          <w:rFonts w:ascii="Times New Roman" w:hAnsi="Times New Roman"/>
          <w:sz w:val="28"/>
          <w:szCs w:val="28"/>
          <w:lang w:val="uk-UA"/>
        </w:rPr>
        <w:t xml:space="preserve"> </w:t>
      </w:r>
      <w:r w:rsidR="00363C28" w:rsidRPr="0066756D">
        <w:rPr>
          <w:rFonts w:ascii="Times New Roman" w:hAnsi="Times New Roman"/>
          <w:sz w:val="28"/>
          <w:szCs w:val="28"/>
          <w:lang w:val="uk-UA"/>
        </w:rPr>
        <w:t>ступінь підтвердження інформації документами</w:t>
      </w:r>
      <w:r w:rsidR="00AF1864" w:rsidRPr="0066756D">
        <w:rPr>
          <w:rFonts w:ascii="Times New Roman" w:hAnsi="Times New Roman"/>
          <w:sz w:val="28"/>
          <w:szCs w:val="28"/>
          <w:lang w:val="uk-UA"/>
        </w:rPr>
        <w:t xml:space="preserve"> </w:t>
      </w:r>
      <w:r w:rsidR="00AF1864" w:rsidRPr="0066756D">
        <w:rPr>
          <w:rFonts w:ascii="Times New Roman" w:eastAsia="Times New Roman" w:hAnsi="Times New Roman"/>
          <w:sz w:val="28"/>
          <w:szCs w:val="28"/>
          <w:lang w:val="uk-UA"/>
        </w:rPr>
        <w:t>[10, c. 96]</w:t>
      </w:r>
      <w:r w:rsidR="00363C28" w:rsidRPr="0066756D">
        <w:rPr>
          <w:rFonts w:ascii="Times New Roman" w:hAnsi="Times New Roman"/>
          <w:sz w:val="28"/>
          <w:szCs w:val="28"/>
          <w:lang w:val="uk-UA"/>
        </w:rPr>
        <w:t>.</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Для аналізу прибутковості інвестора складається звіт про рух його коштів та розраховується внутрішня норма прибутку, після цього прораховуються різні форми фінансування та вибирається оптимальна. У разі потреби відповідні розрахунки коригуються та доповнюються з урахуванням обраної форми фінансування.</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 xml:space="preserve">Під час проведення аналізу ризиків, крім виявлення можливих ризикових подій, їхнього впливу на реалізацію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 xml:space="preserve">ту </w:t>
      </w:r>
      <w:r w:rsidR="0053161D" w:rsidRPr="0066756D">
        <w:rPr>
          <w:rFonts w:ascii="Times New Roman" w:hAnsi="Times New Roman"/>
          <w:sz w:val="28"/>
          <w:szCs w:val="28"/>
          <w:lang w:val="uk-UA"/>
        </w:rPr>
        <w:t>з</w:t>
      </w:r>
      <w:r w:rsidR="0053161D" w:rsidRPr="004C5906">
        <w:rPr>
          <w:rFonts w:ascii="Times New Roman" w:hAnsi="Times New Roman"/>
          <w:sz w:val="28"/>
          <w:szCs w:val="28"/>
          <w:lang w:val="uk-UA"/>
        </w:rPr>
        <w:t xml:space="preserve"> інвестиційної привабливості</w:t>
      </w:r>
      <w:r w:rsidR="0053161D" w:rsidRPr="0066756D">
        <w:rPr>
          <w:rFonts w:ascii="Times New Roman" w:hAnsi="Times New Roman"/>
          <w:sz w:val="28"/>
          <w:szCs w:val="28"/>
          <w:lang w:val="uk-UA"/>
        </w:rPr>
        <w:t xml:space="preserve"> </w:t>
      </w:r>
      <w:r w:rsidRPr="0066756D">
        <w:rPr>
          <w:rFonts w:ascii="Times New Roman" w:hAnsi="Times New Roman"/>
          <w:sz w:val="28"/>
          <w:szCs w:val="28"/>
          <w:lang w:val="uk-UA"/>
        </w:rPr>
        <w:t xml:space="preserve">та методів боротьби з ризиками, оцінюється плата за мінімізацію ризиків, що співвідноситься з небезпекою ризикових подій. Коригування потоків коштів здійснюється з урахуванням можливих сценаріїв настання ризикових подій, необхідного резервування грошових коштів та страхування ризиків як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ту</w:t>
      </w:r>
      <w:r w:rsidR="0053161D" w:rsidRPr="0066756D">
        <w:rPr>
          <w:rFonts w:ascii="Times New Roman" w:hAnsi="Times New Roman"/>
          <w:sz w:val="28"/>
          <w:szCs w:val="28"/>
          <w:lang w:val="uk-UA"/>
        </w:rPr>
        <w:t xml:space="preserve"> з</w:t>
      </w:r>
      <w:r w:rsidR="0053161D" w:rsidRPr="004C5906">
        <w:rPr>
          <w:rFonts w:ascii="Times New Roman" w:hAnsi="Times New Roman"/>
          <w:sz w:val="28"/>
          <w:szCs w:val="28"/>
          <w:lang w:val="uk-UA"/>
        </w:rPr>
        <w:t xml:space="preserve"> інвестиційної привабливості</w:t>
      </w:r>
      <w:r w:rsidRPr="0066756D">
        <w:rPr>
          <w:rFonts w:ascii="Times New Roman" w:hAnsi="Times New Roman"/>
          <w:sz w:val="28"/>
          <w:szCs w:val="28"/>
          <w:lang w:val="uk-UA"/>
        </w:rPr>
        <w:t>, так і інвестора</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[171]</w:t>
      </w:r>
      <w:r w:rsidRPr="005670E0">
        <w:rPr>
          <w:lang w:val="uk-UA"/>
        </w:rPr>
        <w:t>.</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lastRenderedPageBreak/>
        <w:t xml:space="preserve">Облік цих моментів на стадії техніко-економічного обґрунтування не тільки сприяє просуванню </w:t>
      </w:r>
      <w:r w:rsidR="00DB1F48" w:rsidRPr="0066756D">
        <w:rPr>
          <w:rFonts w:ascii="Times New Roman" w:hAnsi="Times New Roman"/>
          <w:sz w:val="28"/>
          <w:szCs w:val="28"/>
          <w:lang w:val="uk-UA"/>
        </w:rPr>
        <w:t>проєк</w:t>
      </w:r>
      <w:r w:rsidRPr="0066756D">
        <w:rPr>
          <w:rFonts w:ascii="Times New Roman" w:hAnsi="Times New Roman"/>
          <w:sz w:val="28"/>
          <w:szCs w:val="28"/>
          <w:lang w:val="uk-UA"/>
        </w:rPr>
        <w:t>тів</w:t>
      </w:r>
      <w:r w:rsidR="0053161D" w:rsidRPr="0066756D">
        <w:rPr>
          <w:rFonts w:ascii="Times New Roman" w:hAnsi="Times New Roman"/>
          <w:sz w:val="28"/>
          <w:szCs w:val="28"/>
          <w:lang w:val="uk-UA"/>
        </w:rPr>
        <w:t xml:space="preserve"> з</w:t>
      </w:r>
      <w:r w:rsidR="0053161D" w:rsidRPr="004C5906">
        <w:rPr>
          <w:rFonts w:ascii="Times New Roman" w:hAnsi="Times New Roman"/>
          <w:sz w:val="28"/>
          <w:szCs w:val="28"/>
          <w:lang w:val="uk-UA"/>
        </w:rPr>
        <w:t xml:space="preserve"> інвестиційної привабливості</w:t>
      </w:r>
      <w:r w:rsidRPr="0066756D">
        <w:rPr>
          <w:rFonts w:ascii="Times New Roman" w:hAnsi="Times New Roman"/>
          <w:sz w:val="28"/>
          <w:szCs w:val="28"/>
          <w:lang w:val="uk-UA"/>
        </w:rPr>
        <w:t>, а й дозволяє збільшити їхню інвестиційну привабливість.</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Інвестиційна політика Банку в галузі інвестицій передбачає інвестування власних коштів у підприємства середнього та великого бізнесу різних галузей промисловості, а також здійснення венчурних угод.</w:t>
      </w:r>
    </w:p>
    <w:p w:rsidR="00363C28" w:rsidRPr="0066756D" w:rsidRDefault="00363C28" w:rsidP="00363C28">
      <w:pPr>
        <w:spacing w:after="0" w:line="360" w:lineRule="auto"/>
        <w:ind w:firstLine="709"/>
        <w:jc w:val="both"/>
        <w:rPr>
          <w:rFonts w:ascii="Times New Roman" w:hAnsi="Times New Roman"/>
          <w:sz w:val="28"/>
          <w:szCs w:val="28"/>
          <w:lang w:val="uk-UA"/>
        </w:rPr>
      </w:pPr>
      <w:r w:rsidRPr="0066756D">
        <w:rPr>
          <w:rFonts w:ascii="Times New Roman" w:hAnsi="Times New Roman"/>
          <w:sz w:val="28"/>
          <w:szCs w:val="28"/>
          <w:lang w:val="uk-UA"/>
        </w:rPr>
        <w:t>Інвестиції здійснюються у компанії, що займають стійку позицію на внутрішньому ринку, з сильним, успішно діючим керівництвом, що має чітку концепцію та політику розвитку свого підприємства.</w:t>
      </w:r>
    </w:p>
    <w:p w:rsidR="00363C28" w:rsidRPr="00E531C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Фінансування надається у різних формах. У вигляді інвестицій в акціонерний капітал, тобто через розширення статутного капіталу та викуп пакету акцій, пропорційного за вартістю та обсягом інвестованих коштів, що дозволяє здійснювати дієвий контроль за використанням коштів</w:t>
      </w:r>
      <w:r w:rsidR="00AF1864" w:rsidRPr="00AF1864">
        <w:rPr>
          <w:rFonts w:ascii="Times New Roman" w:hAnsi="Times New Roman"/>
          <w:sz w:val="28"/>
          <w:szCs w:val="28"/>
          <w:lang w:val="uk-UA"/>
        </w:rPr>
        <w:t xml:space="preserve"> </w:t>
      </w:r>
      <w:r w:rsidR="00AF1864" w:rsidRPr="00AF1864">
        <w:rPr>
          <w:rFonts w:ascii="Times New Roman" w:eastAsia="Times New Roman" w:hAnsi="Times New Roman"/>
          <w:sz w:val="28"/>
          <w:szCs w:val="28"/>
          <w:lang w:val="uk-UA"/>
        </w:rPr>
        <w:t>[17, c. 15]</w:t>
      </w:r>
      <w:r w:rsidRPr="00877BF2">
        <w:rPr>
          <w:rFonts w:ascii="Times New Roman" w:hAnsi="Times New Roman"/>
          <w:sz w:val="28"/>
          <w:szCs w:val="28"/>
          <w:lang w:val="uk-UA"/>
        </w:rPr>
        <w:t xml:space="preserve">. У вигляді прямого викупу пакета акцій підприємства, що продається, у існуючих акціонерів. Паралельно з інвестуванням в основний капітал компанії може </w:t>
      </w:r>
      <w:r w:rsidRPr="00E531C2">
        <w:rPr>
          <w:rFonts w:ascii="Times New Roman" w:hAnsi="Times New Roman"/>
          <w:sz w:val="28"/>
          <w:szCs w:val="28"/>
          <w:lang w:val="uk-UA"/>
        </w:rPr>
        <w:t>бути наданий комерційний кредит.</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В основі інвестиційної політики Банку, що визначають вимоги до інвестиційної привабливості підприємства</w:t>
      </w:r>
      <w:r w:rsidR="00D41FDF" w:rsidRPr="00E531C2">
        <w:rPr>
          <w:rFonts w:ascii="Times New Roman" w:hAnsi="Times New Roman"/>
          <w:sz w:val="28"/>
          <w:szCs w:val="28"/>
          <w:lang w:val="uk-UA"/>
        </w:rPr>
        <w:t>,</w:t>
      </w:r>
      <w:r w:rsidRPr="00E531C2">
        <w:rPr>
          <w:rFonts w:ascii="Times New Roman" w:hAnsi="Times New Roman"/>
          <w:sz w:val="28"/>
          <w:szCs w:val="28"/>
          <w:lang w:val="uk-UA"/>
        </w:rPr>
        <w:t xml:space="preserve"> лежать такі положення.</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Підприємство може працювати у будь-якому секторі економіки, крім сектора банківських, фінансових і страхових послуг.</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 xml:space="preserve">Надані кошти, зазвичай, застосовуються </w:t>
      </w:r>
      <w:r w:rsidR="00D41FDF" w:rsidRPr="00E531C2">
        <w:rPr>
          <w:rFonts w:ascii="Times New Roman" w:hAnsi="Times New Roman"/>
          <w:sz w:val="28"/>
          <w:szCs w:val="28"/>
          <w:lang w:val="uk-UA"/>
        </w:rPr>
        <w:t xml:space="preserve">для </w:t>
      </w:r>
      <w:r w:rsidRPr="00E531C2">
        <w:rPr>
          <w:rFonts w:ascii="Times New Roman" w:hAnsi="Times New Roman"/>
          <w:sz w:val="28"/>
          <w:szCs w:val="28"/>
          <w:lang w:val="uk-UA"/>
        </w:rPr>
        <w:t>придбання виробничих фондів, поповнення оборотних засобів чи дружн</w:t>
      </w:r>
      <w:r w:rsidR="00D41FDF" w:rsidRPr="00E531C2">
        <w:rPr>
          <w:rFonts w:ascii="Times New Roman" w:hAnsi="Times New Roman"/>
          <w:sz w:val="28"/>
          <w:szCs w:val="28"/>
          <w:lang w:val="uk-UA"/>
        </w:rPr>
        <w:t>ього</w:t>
      </w:r>
      <w:r w:rsidRPr="00E531C2">
        <w:rPr>
          <w:rFonts w:ascii="Times New Roman" w:hAnsi="Times New Roman"/>
          <w:sz w:val="28"/>
          <w:szCs w:val="28"/>
          <w:lang w:val="uk-UA"/>
        </w:rPr>
        <w:t xml:space="preserve"> викуп</w:t>
      </w:r>
      <w:r w:rsidR="00D41FDF" w:rsidRPr="00E531C2">
        <w:rPr>
          <w:rFonts w:ascii="Times New Roman" w:hAnsi="Times New Roman"/>
          <w:sz w:val="28"/>
          <w:szCs w:val="28"/>
          <w:lang w:val="uk-UA"/>
        </w:rPr>
        <w:t>у</w:t>
      </w:r>
      <w:r w:rsidRPr="00E531C2">
        <w:rPr>
          <w:rFonts w:ascii="Times New Roman" w:hAnsi="Times New Roman"/>
          <w:sz w:val="28"/>
          <w:szCs w:val="28"/>
          <w:lang w:val="uk-UA"/>
        </w:rPr>
        <w:t xml:space="preserve"> акцій в акціонерів</w:t>
      </w:r>
      <w:r w:rsidR="00D41FDF" w:rsidRPr="00E531C2">
        <w:rPr>
          <w:rFonts w:ascii="Times New Roman" w:hAnsi="Times New Roman"/>
          <w:sz w:val="28"/>
          <w:szCs w:val="28"/>
          <w:lang w:val="uk-UA"/>
        </w:rPr>
        <w:t>.</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 xml:space="preserve">Якщо кошти планується використати на реалізацію </w:t>
      </w:r>
      <w:r w:rsidR="00DB1F48" w:rsidRPr="00E531C2">
        <w:rPr>
          <w:rFonts w:ascii="Times New Roman" w:hAnsi="Times New Roman"/>
          <w:sz w:val="28"/>
          <w:szCs w:val="28"/>
          <w:lang w:val="uk-UA"/>
        </w:rPr>
        <w:t>проєк</w:t>
      </w:r>
      <w:r w:rsidRPr="00E531C2">
        <w:rPr>
          <w:rFonts w:ascii="Times New Roman" w:hAnsi="Times New Roman"/>
          <w:sz w:val="28"/>
          <w:szCs w:val="28"/>
          <w:lang w:val="uk-UA"/>
        </w:rPr>
        <w:t>ту</w:t>
      </w:r>
      <w:r w:rsidR="0053161D" w:rsidRPr="00E531C2">
        <w:rPr>
          <w:rFonts w:ascii="Times New Roman" w:hAnsi="Times New Roman"/>
          <w:sz w:val="28"/>
          <w:szCs w:val="28"/>
          <w:lang w:val="uk-UA"/>
        </w:rPr>
        <w:t xml:space="preserve"> з</w:t>
      </w:r>
      <w:r w:rsidR="0053161D" w:rsidRPr="004C5906">
        <w:rPr>
          <w:rFonts w:ascii="Times New Roman" w:hAnsi="Times New Roman"/>
          <w:sz w:val="28"/>
          <w:szCs w:val="28"/>
          <w:lang w:val="uk-UA"/>
        </w:rPr>
        <w:t xml:space="preserve"> інвестиційної привабливості</w:t>
      </w:r>
      <w:r w:rsidRPr="00E531C2">
        <w:rPr>
          <w:rFonts w:ascii="Times New Roman" w:hAnsi="Times New Roman"/>
          <w:sz w:val="28"/>
          <w:szCs w:val="28"/>
          <w:lang w:val="uk-UA"/>
        </w:rPr>
        <w:t>, то в основі його має лежати раціоналізація, модернізація та розширення існуючих виробництв.</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 xml:space="preserve">Будучи фінансовим інвестором, пріоритетними для Банку будуть </w:t>
      </w:r>
      <w:r w:rsidR="00DB1F48" w:rsidRPr="00E531C2">
        <w:rPr>
          <w:rFonts w:ascii="Times New Roman" w:hAnsi="Times New Roman"/>
          <w:sz w:val="28"/>
          <w:szCs w:val="28"/>
          <w:lang w:val="uk-UA"/>
        </w:rPr>
        <w:t>проєк</w:t>
      </w:r>
      <w:r w:rsidRPr="00E531C2">
        <w:rPr>
          <w:rFonts w:ascii="Times New Roman" w:hAnsi="Times New Roman"/>
          <w:sz w:val="28"/>
          <w:szCs w:val="28"/>
          <w:lang w:val="uk-UA"/>
        </w:rPr>
        <w:t>ти</w:t>
      </w:r>
      <w:r w:rsidR="0053161D" w:rsidRPr="00E531C2">
        <w:rPr>
          <w:rFonts w:ascii="Times New Roman" w:hAnsi="Times New Roman"/>
          <w:sz w:val="28"/>
          <w:szCs w:val="28"/>
          <w:lang w:val="uk-UA"/>
        </w:rPr>
        <w:t xml:space="preserve"> з</w:t>
      </w:r>
      <w:r w:rsidR="0053161D" w:rsidRPr="004C5906">
        <w:rPr>
          <w:rFonts w:ascii="Times New Roman" w:hAnsi="Times New Roman"/>
          <w:sz w:val="28"/>
          <w:szCs w:val="28"/>
          <w:lang w:val="uk-UA"/>
        </w:rPr>
        <w:t xml:space="preserve"> інвестиційної привабливості</w:t>
      </w:r>
      <w:r w:rsidRPr="00E531C2">
        <w:rPr>
          <w:rFonts w:ascii="Times New Roman" w:hAnsi="Times New Roman"/>
          <w:sz w:val="28"/>
          <w:szCs w:val="28"/>
          <w:lang w:val="uk-UA"/>
        </w:rPr>
        <w:t>, з яких можна буде здійснити вихід у періоді 3-5 років</w:t>
      </w:r>
      <w:r w:rsidR="00D41FDF" w:rsidRPr="00E531C2">
        <w:rPr>
          <w:rFonts w:ascii="Times New Roman" w:hAnsi="Times New Roman"/>
          <w:sz w:val="28"/>
          <w:szCs w:val="28"/>
          <w:lang w:val="uk-UA"/>
        </w:rPr>
        <w:t>, з</w:t>
      </w:r>
      <w:r w:rsidRPr="00E531C2">
        <w:rPr>
          <w:rFonts w:ascii="Times New Roman" w:hAnsi="Times New Roman"/>
          <w:sz w:val="28"/>
          <w:szCs w:val="28"/>
          <w:lang w:val="uk-UA"/>
        </w:rPr>
        <w:t xml:space="preserve"> очікуваною внутрішньою нормою доходності на вкладений капітал близько 40%.</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lastRenderedPageBreak/>
        <w:t>Остаточне рішення про проведення інвестування приймається Інвестиційним Комітетом, засідання якого відбуваються 2 рази на місяць.</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Діяльність Банку формується меморандумом про інвестиційну політику, що є основним документом, у якому визначено принципи здійснення банком інвестиційної стратегії.</w:t>
      </w:r>
    </w:p>
    <w:p w:rsidR="00363C28" w:rsidRPr="00E531C2" w:rsidRDefault="00363C28" w:rsidP="00363C28">
      <w:pPr>
        <w:spacing w:after="0" w:line="360" w:lineRule="auto"/>
        <w:ind w:firstLine="709"/>
        <w:jc w:val="both"/>
        <w:rPr>
          <w:rFonts w:ascii="Times New Roman" w:hAnsi="Times New Roman"/>
          <w:sz w:val="28"/>
          <w:szCs w:val="28"/>
          <w:lang w:val="uk-UA"/>
        </w:rPr>
      </w:pPr>
      <w:r w:rsidRPr="00E531C2">
        <w:rPr>
          <w:rFonts w:ascii="Times New Roman" w:hAnsi="Times New Roman"/>
          <w:sz w:val="28"/>
          <w:szCs w:val="28"/>
          <w:lang w:val="uk-UA"/>
        </w:rPr>
        <w:t>Залежно від факторів та обмежень, що впливають на інвестиційну діяльність підприємства, можна виділити три типи інвестиційної стратегії:</w:t>
      </w:r>
      <w:r w:rsidRPr="005670E0">
        <w:rPr>
          <w:lang w:val="uk-UA"/>
        </w:rPr>
        <w:t xml:space="preserve"> </w:t>
      </w:r>
      <w:r w:rsidRPr="005670E0">
        <w:rPr>
          <w:rFonts w:ascii="Times New Roman" w:eastAsia="Times New Roman" w:hAnsi="Times New Roman"/>
          <w:sz w:val="28"/>
          <w:szCs w:val="28"/>
          <w:lang w:val="uk-UA"/>
        </w:rPr>
        <w:t>[117]</w:t>
      </w:r>
      <w:r w:rsidRPr="005670E0">
        <w:rPr>
          <w:lang w:val="uk-UA"/>
        </w:rPr>
        <w:t>.</w:t>
      </w:r>
    </w:p>
    <w:p w:rsidR="00363C28" w:rsidRPr="00E531C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E531C2">
        <w:rPr>
          <w:rFonts w:ascii="Times New Roman" w:hAnsi="Times New Roman"/>
          <w:sz w:val="28"/>
          <w:szCs w:val="28"/>
          <w:lang w:val="uk-UA"/>
        </w:rPr>
        <w:t xml:space="preserve"> консервативна стратегія;</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помірна стратегія;</w:t>
      </w:r>
    </w:p>
    <w:p w:rsidR="00363C28" w:rsidRPr="00AF7F70" w:rsidRDefault="00FC4ABE" w:rsidP="00363C28">
      <w:pPr>
        <w:spacing w:after="0" w:line="360" w:lineRule="auto"/>
        <w:ind w:firstLine="709"/>
        <w:jc w:val="both"/>
        <w:rPr>
          <w:rFonts w:ascii="Times New Roman" w:hAnsi="Times New Roman"/>
          <w:sz w:val="28"/>
          <w:szCs w:val="28"/>
        </w:rPr>
      </w:pPr>
      <w:r>
        <w:rPr>
          <w:rFonts w:ascii="Times New Roman" w:hAnsi="Times New Roman"/>
          <w:sz w:val="28"/>
          <w:szCs w:val="28"/>
          <w:lang w:val="uk-UA"/>
        </w:rPr>
        <w:t>–</w:t>
      </w:r>
      <w:r w:rsidR="00363C28" w:rsidRPr="00877BF2">
        <w:rPr>
          <w:rFonts w:ascii="Times New Roman" w:hAnsi="Times New Roman"/>
          <w:sz w:val="28"/>
          <w:szCs w:val="28"/>
          <w:lang w:val="uk-UA"/>
        </w:rPr>
        <w:t xml:space="preserve"> агресивна стратегія</w:t>
      </w:r>
      <w:r w:rsidR="00AF1864" w:rsidRPr="00AF7F70">
        <w:rPr>
          <w:rFonts w:ascii="Times New Roman" w:hAnsi="Times New Roman"/>
          <w:sz w:val="28"/>
          <w:szCs w:val="28"/>
        </w:rPr>
        <w:t xml:space="preserve"> </w:t>
      </w:r>
      <w:r w:rsidR="00AF1864" w:rsidRPr="00AF7F70">
        <w:rPr>
          <w:rFonts w:ascii="Times New Roman" w:eastAsia="Times New Roman" w:hAnsi="Times New Roman"/>
          <w:sz w:val="28"/>
          <w:szCs w:val="28"/>
        </w:rPr>
        <w:t>[150, c. 32]</w:t>
      </w:r>
      <w:r w:rsidR="00AF1864" w:rsidRPr="00AF7F70">
        <w:rPr>
          <w:rFonts w:ascii="Times New Roman" w:hAnsi="Times New Roman"/>
          <w:sz w:val="28"/>
          <w:szCs w:val="28"/>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Управління підприємством – це групова діяльність, тому інвестиційна стратегія формується радою директорів. Однак особа (або комітет), яка відповідає на підприємстві за інвестиційну політику, має бути наділена відповідними повноваженнями для здійснення необхідних операцій. </w:t>
      </w:r>
    </w:p>
    <w:p w:rsidR="00363C28" w:rsidRPr="00877BF2" w:rsidRDefault="00D41FDF"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Оскільки</w:t>
      </w:r>
      <w:r w:rsidR="00363C28" w:rsidRPr="00877BF2">
        <w:rPr>
          <w:rFonts w:ascii="Times New Roman" w:hAnsi="Times New Roman"/>
          <w:sz w:val="28"/>
          <w:szCs w:val="28"/>
          <w:lang w:val="uk-UA"/>
        </w:rPr>
        <w:t xml:space="preserve"> за правильне інвестування коштів підприємства відповідає рада директорів, для нього необхідно готувати періодичні звіти, які можна було б використовувати для аналізу управління інвестиційним процесом та вироблення інвестиційної політики.</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Ці звіти мають бути інформативними, зрозумілими та короткими. Так, рад</w:t>
      </w:r>
      <w:r w:rsidR="00D41FDF">
        <w:rPr>
          <w:rFonts w:ascii="Times New Roman" w:hAnsi="Times New Roman"/>
          <w:sz w:val="28"/>
          <w:szCs w:val="28"/>
          <w:lang w:val="uk-UA"/>
        </w:rPr>
        <w:t>у</w:t>
      </w:r>
      <w:r w:rsidRPr="00877BF2">
        <w:rPr>
          <w:rFonts w:ascii="Times New Roman" w:hAnsi="Times New Roman"/>
          <w:sz w:val="28"/>
          <w:szCs w:val="28"/>
          <w:lang w:val="uk-UA"/>
        </w:rPr>
        <w:t xml:space="preserve"> директорів цікавлять насамперед ступінь диверсифікації та структура термінів погашення цінних паперів, що утворюють інвестиційний портфель підприємства, важливе значення для н</w:t>
      </w:r>
      <w:r w:rsidR="00D41FDF">
        <w:rPr>
          <w:rFonts w:ascii="Times New Roman" w:hAnsi="Times New Roman"/>
          <w:sz w:val="28"/>
          <w:szCs w:val="28"/>
          <w:lang w:val="uk-UA"/>
        </w:rPr>
        <w:t>еї</w:t>
      </w:r>
      <w:r w:rsidRPr="00877BF2">
        <w:rPr>
          <w:rFonts w:ascii="Times New Roman" w:hAnsi="Times New Roman"/>
          <w:sz w:val="28"/>
          <w:szCs w:val="28"/>
          <w:lang w:val="uk-UA"/>
        </w:rPr>
        <w:t xml:space="preserve"> мають також дані регулярного аналізу інвестиційних якостей зазначених цінних паперів.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У міру зміни економічних умов інвестиційну політику підприємства слід переглядати та оновлювати. Це робиться при необхідності</w:t>
      </w:r>
      <w:r w:rsidR="00DB1F48">
        <w:rPr>
          <w:rFonts w:ascii="Times New Roman" w:hAnsi="Times New Roman"/>
          <w:sz w:val="28"/>
          <w:szCs w:val="28"/>
          <w:lang w:val="uk-UA"/>
        </w:rPr>
        <w:t xml:space="preserve"> – </w:t>
      </w:r>
      <w:r w:rsidRPr="00877BF2">
        <w:rPr>
          <w:rFonts w:ascii="Times New Roman" w:hAnsi="Times New Roman"/>
          <w:sz w:val="28"/>
          <w:szCs w:val="28"/>
          <w:lang w:val="uk-UA"/>
        </w:rPr>
        <w:t>залежно від зміни ситуації на ринку, фінансово</w:t>
      </w:r>
      <w:r w:rsidR="00D41FDF">
        <w:rPr>
          <w:rFonts w:ascii="Times New Roman" w:hAnsi="Times New Roman"/>
          <w:sz w:val="28"/>
          <w:szCs w:val="28"/>
          <w:lang w:val="uk-UA"/>
        </w:rPr>
        <w:t>го</w:t>
      </w:r>
      <w:r w:rsidRPr="00877BF2">
        <w:rPr>
          <w:rFonts w:ascii="Times New Roman" w:eastAsia="Times New Roman" w:hAnsi="Times New Roman"/>
          <w:sz w:val="28"/>
          <w:szCs w:val="28"/>
          <w:lang w:val="uk-UA"/>
        </w:rPr>
        <w:t xml:space="preserve"> ринку в цілому або всередині підприємства [176].</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lastRenderedPageBreak/>
        <w:t xml:space="preserve">При обґрунтуванні та прийнятті інвестиційних рішень необхідно враховувати також особливості галузі, в рамках якої здійснюється інвестиційний </w:t>
      </w:r>
      <w:r w:rsidR="00DB1F48">
        <w:rPr>
          <w:rFonts w:ascii="Times New Roman" w:hAnsi="Times New Roman"/>
          <w:sz w:val="28"/>
          <w:szCs w:val="28"/>
          <w:lang w:val="uk-UA"/>
        </w:rPr>
        <w:t>проєк</w:t>
      </w:r>
      <w:r w:rsidRPr="00877BF2">
        <w:rPr>
          <w:rFonts w:ascii="Times New Roman" w:hAnsi="Times New Roman"/>
          <w:sz w:val="28"/>
          <w:szCs w:val="28"/>
          <w:lang w:val="uk-UA"/>
        </w:rPr>
        <w:t>т.</w:t>
      </w:r>
    </w:p>
    <w:p w:rsidR="00363C28" w:rsidRPr="00766B79"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Так, </w:t>
      </w:r>
      <w:r w:rsidRPr="00766B79">
        <w:rPr>
          <w:rFonts w:ascii="Times New Roman" w:hAnsi="Times New Roman"/>
          <w:sz w:val="28"/>
          <w:szCs w:val="28"/>
          <w:lang w:val="uk-UA"/>
        </w:rPr>
        <w:t>наприклад, можна виділити та</w:t>
      </w:r>
      <w:r w:rsidR="00AB42E3" w:rsidRPr="00766B79">
        <w:rPr>
          <w:rFonts w:ascii="Times New Roman" w:hAnsi="Times New Roman"/>
          <w:sz w:val="28"/>
          <w:szCs w:val="28"/>
          <w:lang w:val="uk-UA"/>
        </w:rPr>
        <w:t xml:space="preserve">кі найбільш суттєві, з погляду </w:t>
      </w:r>
      <w:r w:rsidR="00DB1F48" w:rsidRPr="00766B79">
        <w:rPr>
          <w:rFonts w:ascii="Times New Roman" w:hAnsi="Times New Roman"/>
          <w:sz w:val="28"/>
          <w:szCs w:val="28"/>
          <w:lang w:val="uk-UA"/>
        </w:rPr>
        <w:t>проєк</w:t>
      </w:r>
      <w:r w:rsidRPr="00766B79">
        <w:rPr>
          <w:rFonts w:ascii="Times New Roman" w:hAnsi="Times New Roman"/>
          <w:sz w:val="28"/>
          <w:szCs w:val="28"/>
          <w:lang w:val="uk-UA"/>
        </w:rPr>
        <w:t>тування</w:t>
      </w:r>
      <w:r w:rsidR="00AB42E3" w:rsidRPr="00766B79">
        <w:rPr>
          <w:rFonts w:ascii="Times New Roman" w:hAnsi="Times New Roman"/>
          <w:sz w:val="28"/>
          <w:szCs w:val="28"/>
          <w:lang w:val="uk-UA"/>
        </w:rPr>
        <w:t xml:space="preserve"> з</w:t>
      </w:r>
      <w:r w:rsidR="00AB42E3" w:rsidRPr="00766B79">
        <w:rPr>
          <w:rStyle w:val="docdata"/>
          <w:rFonts w:ascii="Times New Roman" w:eastAsia="Aptos" w:hAnsi="Times New Roman"/>
          <w:color w:val="000000"/>
          <w:kern w:val="2"/>
          <w:sz w:val="28"/>
          <w:szCs w:val="28"/>
          <w:lang w:val="uk-UA"/>
        </w:rPr>
        <w:t xml:space="preserve"> інвестиційної привабливості</w:t>
      </w:r>
      <w:r w:rsidRPr="00766B79">
        <w:rPr>
          <w:rFonts w:ascii="Times New Roman" w:hAnsi="Times New Roman"/>
          <w:sz w:val="28"/>
          <w:szCs w:val="28"/>
          <w:lang w:val="uk-UA"/>
        </w:rPr>
        <w:t>, особливості підприємств:</w:t>
      </w:r>
    </w:p>
    <w:p w:rsidR="00363C28" w:rsidRPr="00877BF2" w:rsidRDefault="00363C28" w:rsidP="00363C28">
      <w:pPr>
        <w:spacing w:after="0" w:line="360" w:lineRule="auto"/>
        <w:ind w:firstLine="709"/>
        <w:jc w:val="both"/>
        <w:rPr>
          <w:rFonts w:ascii="Times New Roman" w:hAnsi="Times New Roman"/>
          <w:sz w:val="28"/>
          <w:szCs w:val="28"/>
          <w:lang w:val="uk-UA"/>
        </w:rPr>
      </w:pPr>
      <w:r w:rsidRPr="00766B79">
        <w:rPr>
          <w:rFonts w:ascii="Times New Roman" w:hAnsi="Times New Roman"/>
          <w:sz w:val="28"/>
          <w:szCs w:val="28"/>
          <w:lang w:val="uk-UA"/>
        </w:rPr>
        <w:t>1. Масштабність виробництва зумовлює більш високий рівень інвестиційних витрат</w:t>
      </w:r>
      <w:r w:rsidRPr="00877BF2">
        <w:rPr>
          <w:rFonts w:ascii="Times New Roman" w:hAnsi="Times New Roman"/>
          <w:sz w:val="28"/>
          <w:szCs w:val="28"/>
          <w:lang w:val="uk-UA"/>
        </w:rPr>
        <w:t xml:space="preserve"> і витрат виробництва та ускладнює можливості реагування на зміну ринкового попиту </w:t>
      </w:r>
      <w:r w:rsidR="00D41FDF">
        <w:rPr>
          <w:rFonts w:ascii="Times New Roman" w:hAnsi="Times New Roman"/>
          <w:sz w:val="28"/>
          <w:szCs w:val="28"/>
          <w:lang w:val="uk-UA"/>
        </w:rPr>
        <w:t>і</w:t>
      </w:r>
      <w:r w:rsidRPr="00877BF2">
        <w:rPr>
          <w:rFonts w:ascii="Times New Roman" w:hAnsi="Times New Roman"/>
          <w:sz w:val="28"/>
          <w:szCs w:val="28"/>
          <w:lang w:val="uk-UA"/>
        </w:rPr>
        <w:t xml:space="preserve"> прийняття управлінських рішень.</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2. Виробництво продукції у більшості випадків є багатопродуктовим та багатофазовим, що створює значні складності при проведенні планових та інвестиційних розрахунків</w:t>
      </w:r>
      <w:r w:rsidR="00AF1864" w:rsidRPr="00AF1864">
        <w:rPr>
          <w:rFonts w:ascii="Times New Roman" w:hAnsi="Times New Roman"/>
          <w:sz w:val="28"/>
          <w:szCs w:val="28"/>
          <w:lang w:val="uk-UA"/>
        </w:rPr>
        <w:t xml:space="preserve"> </w:t>
      </w:r>
      <w:r w:rsidR="00AF1864" w:rsidRPr="00AF1864">
        <w:rPr>
          <w:rFonts w:ascii="Times New Roman" w:eastAsia="Times New Roman" w:hAnsi="Times New Roman"/>
          <w:sz w:val="28"/>
          <w:szCs w:val="28"/>
          <w:lang w:val="uk-UA"/>
        </w:rPr>
        <w:t>[123, c. 80]</w:t>
      </w:r>
      <w:r w:rsidRPr="00877BF2">
        <w:rPr>
          <w:rFonts w:ascii="Times New Roman" w:hAnsi="Times New Roman"/>
          <w:sz w:val="28"/>
          <w:szCs w:val="28"/>
          <w:lang w:val="uk-UA"/>
        </w:rPr>
        <w:t>. Так, наприклад, для багатопродуктових виробництв досить важко визначити точку беззбитковості виробництва. Багатофазовий характер виробничого процесу створює складнощі при розробці інвестиційної програми.</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3. Через велику кількість комплектуючих, які у виробничому процесі складно прогнозувати</w:t>
      </w:r>
      <w:r w:rsidR="00D41FDF">
        <w:rPr>
          <w:rFonts w:ascii="Times New Roman" w:hAnsi="Times New Roman"/>
          <w:sz w:val="28"/>
          <w:szCs w:val="28"/>
          <w:lang w:val="uk-UA"/>
        </w:rPr>
        <w:t>, виникає</w:t>
      </w:r>
      <w:r w:rsidRPr="00877BF2">
        <w:rPr>
          <w:rFonts w:ascii="Times New Roman" w:hAnsi="Times New Roman"/>
          <w:sz w:val="28"/>
          <w:szCs w:val="28"/>
          <w:lang w:val="uk-UA"/>
        </w:rPr>
        <w:t xml:space="preserve"> потреба у комплектуючих і виробничих витратах</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w:t>
      </w:r>
      <w:r>
        <w:rPr>
          <w:rFonts w:ascii="Times New Roman" w:eastAsia="Times New Roman" w:hAnsi="Times New Roman"/>
          <w:sz w:val="28"/>
          <w:szCs w:val="28"/>
        </w:rPr>
        <w:t>25]</w:t>
      </w:r>
      <w: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4. Значні розміри допоміжного виробництва та служб створюють складнощі щодо беззбиткового обсягу виробництва.</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5. Висока капіталомісткість промислового виробництва у поєднанні з високою матеріало</w:t>
      </w:r>
      <w:r w:rsidR="00D41FDF">
        <w:rPr>
          <w:rFonts w:ascii="Times New Roman" w:hAnsi="Times New Roman"/>
          <w:sz w:val="28"/>
          <w:szCs w:val="28"/>
          <w:lang w:val="uk-UA"/>
        </w:rPr>
        <w:t>-</w:t>
      </w:r>
      <w:r w:rsidR="00DB1F48">
        <w:rPr>
          <w:rFonts w:ascii="Times New Roman" w:hAnsi="Times New Roman"/>
          <w:sz w:val="28"/>
          <w:szCs w:val="28"/>
          <w:lang w:val="uk-UA"/>
        </w:rPr>
        <w:t xml:space="preserve"> </w:t>
      </w:r>
      <w:r w:rsidRPr="00877BF2">
        <w:rPr>
          <w:rFonts w:ascii="Times New Roman" w:hAnsi="Times New Roman"/>
          <w:sz w:val="28"/>
          <w:szCs w:val="28"/>
          <w:lang w:val="uk-UA"/>
        </w:rPr>
        <w:t>і енергоємністю впливає на величину виробничих витрат.</w:t>
      </w:r>
    </w:p>
    <w:p w:rsidR="00363C28" w:rsidRPr="00766B79"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6. Висока частка </w:t>
      </w:r>
      <w:r w:rsidRPr="00766B79">
        <w:rPr>
          <w:rFonts w:ascii="Times New Roman" w:hAnsi="Times New Roman"/>
          <w:sz w:val="28"/>
          <w:szCs w:val="28"/>
          <w:lang w:val="uk-UA"/>
        </w:rPr>
        <w:t>витрат на нульовому циклі будівельних робіт у загальній частці капіталовкладень підвищує величину початкових капітальних вкладень і</w:t>
      </w:r>
      <w:r w:rsidR="00D41FDF" w:rsidRPr="00766B79">
        <w:rPr>
          <w:rFonts w:ascii="Times New Roman" w:hAnsi="Times New Roman"/>
          <w:sz w:val="28"/>
          <w:szCs w:val="28"/>
          <w:lang w:val="uk-UA"/>
        </w:rPr>
        <w:t>,</w:t>
      </w:r>
      <w:r w:rsidRPr="00766B79">
        <w:rPr>
          <w:rFonts w:ascii="Times New Roman" w:hAnsi="Times New Roman"/>
          <w:sz w:val="28"/>
          <w:szCs w:val="28"/>
          <w:lang w:val="uk-UA"/>
        </w:rPr>
        <w:t xml:space="preserve"> відповідно</w:t>
      </w:r>
      <w:r w:rsidR="00D41FDF" w:rsidRPr="00766B79">
        <w:rPr>
          <w:rFonts w:ascii="Times New Roman" w:hAnsi="Times New Roman"/>
          <w:sz w:val="28"/>
          <w:szCs w:val="28"/>
          <w:lang w:val="uk-UA"/>
        </w:rPr>
        <w:t>,</w:t>
      </w:r>
      <w:r w:rsidRPr="00766B79">
        <w:rPr>
          <w:rFonts w:ascii="Times New Roman" w:hAnsi="Times New Roman"/>
          <w:sz w:val="28"/>
          <w:szCs w:val="28"/>
          <w:lang w:val="uk-UA"/>
        </w:rPr>
        <w:t xml:space="preserve"> збільшує терміни окупності </w:t>
      </w:r>
      <w:r w:rsidR="00DB1F48" w:rsidRPr="00766B79">
        <w:rPr>
          <w:rFonts w:ascii="Times New Roman" w:hAnsi="Times New Roman"/>
          <w:sz w:val="28"/>
          <w:szCs w:val="28"/>
          <w:lang w:val="uk-UA"/>
        </w:rPr>
        <w:t>проєк</w:t>
      </w:r>
      <w:r w:rsidRPr="00766B79">
        <w:rPr>
          <w:rFonts w:ascii="Times New Roman" w:hAnsi="Times New Roman"/>
          <w:sz w:val="28"/>
          <w:szCs w:val="28"/>
          <w:lang w:val="uk-UA"/>
        </w:rPr>
        <w:t xml:space="preserve">тів </w:t>
      </w:r>
      <w:r w:rsidR="00AB42E3" w:rsidRPr="00766B79">
        <w:rPr>
          <w:rFonts w:ascii="Times New Roman" w:hAnsi="Times New Roman"/>
          <w:sz w:val="28"/>
          <w:szCs w:val="28"/>
          <w:lang w:val="uk-UA"/>
        </w:rPr>
        <w:t>з</w:t>
      </w:r>
      <w:r w:rsidR="00AB42E3" w:rsidRPr="004C5906">
        <w:rPr>
          <w:rFonts w:ascii="Times New Roman" w:hAnsi="Times New Roman"/>
          <w:sz w:val="28"/>
          <w:szCs w:val="28"/>
          <w:lang w:val="uk-UA"/>
        </w:rPr>
        <w:t xml:space="preserve"> інвестиційної привабливості</w:t>
      </w:r>
      <w:r w:rsidR="00AB42E3" w:rsidRPr="00766B79">
        <w:rPr>
          <w:rFonts w:ascii="Times New Roman" w:hAnsi="Times New Roman"/>
          <w:sz w:val="28"/>
          <w:szCs w:val="28"/>
          <w:lang w:val="uk-UA"/>
        </w:rPr>
        <w:t xml:space="preserve"> </w:t>
      </w:r>
      <w:r w:rsidRPr="00766B79">
        <w:rPr>
          <w:rFonts w:ascii="Times New Roman" w:hAnsi="Times New Roman"/>
          <w:sz w:val="28"/>
          <w:szCs w:val="28"/>
          <w:lang w:val="uk-UA"/>
        </w:rPr>
        <w:t>у промисловості.</w:t>
      </w:r>
    </w:p>
    <w:p w:rsidR="00363C28" w:rsidRPr="00877BF2" w:rsidRDefault="00363C28" w:rsidP="00363C28">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7. Висока енергоємність виробництва, </w:t>
      </w:r>
      <w:r w:rsidR="00D41FDF" w:rsidRPr="00400BAB">
        <w:rPr>
          <w:rFonts w:ascii="Times New Roman" w:hAnsi="Times New Roman"/>
          <w:sz w:val="28"/>
          <w:szCs w:val="28"/>
          <w:lang w:val="uk-UA"/>
        </w:rPr>
        <w:t>в</w:t>
      </w:r>
      <w:r w:rsidRPr="00400BAB">
        <w:rPr>
          <w:rFonts w:ascii="Times New Roman" w:hAnsi="Times New Roman"/>
          <w:sz w:val="28"/>
          <w:szCs w:val="28"/>
          <w:lang w:val="uk-UA"/>
        </w:rPr>
        <w:t xml:space="preserve"> умовах монополізму на основні енергетичні складові (особливо газу та електроенергію) призводить до залежності від цін монополістів</w:t>
      </w:r>
      <w:r w:rsidRPr="00877BF2">
        <w:rPr>
          <w:rFonts w:ascii="Times New Roman" w:hAnsi="Times New Roman"/>
          <w:sz w:val="28"/>
          <w:szCs w:val="28"/>
          <w:lang w:val="uk-UA"/>
        </w:rPr>
        <w:t xml:space="preserve"> і веде до необхідності врахування ризику збільшення витрат.</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lastRenderedPageBreak/>
        <w:t>8. Номенклатура продукції підприємств промисловості може перебувати під впливом сезонних коливань ринкового попиту на цю продукцію, що призводить до нестабільної величини прибутку та надходження коштів.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9. Капітальні вкладення </w:t>
      </w:r>
      <w:r w:rsidR="00D41FDF" w:rsidRPr="00766B79">
        <w:rPr>
          <w:rFonts w:ascii="Times New Roman" w:hAnsi="Times New Roman"/>
          <w:sz w:val="28"/>
          <w:szCs w:val="28"/>
          <w:lang w:val="uk-UA"/>
        </w:rPr>
        <w:t xml:space="preserve">у </w:t>
      </w:r>
      <w:r w:rsidR="00DB1F48" w:rsidRPr="00766B79">
        <w:rPr>
          <w:rFonts w:ascii="Times New Roman" w:hAnsi="Times New Roman"/>
          <w:sz w:val="28"/>
          <w:szCs w:val="28"/>
          <w:lang w:val="uk-UA"/>
        </w:rPr>
        <w:t>проєк</w:t>
      </w:r>
      <w:r w:rsidRPr="00766B79">
        <w:rPr>
          <w:rFonts w:ascii="Times New Roman" w:hAnsi="Times New Roman"/>
          <w:sz w:val="28"/>
          <w:szCs w:val="28"/>
          <w:lang w:val="uk-UA"/>
        </w:rPr>
        <w:t xml:space="preserve">т </w:t>
      </w:r>
      <w:r w:rsidR="00AB42E3" w:rsidRPr="00766B79">
        <w:rPr>
          <w:rFonts w:ascii="Times New Roman" w:hAnsi="Times New Roman"/>
          <w:sz w:val="28"/>
          <w:szCs w:val="28"/>
          <w:lang w:val="uk-UA"/>
        </w:rPr>
        <w:t>з</w:t>
      </w:r>
      <w:r w:rsidR="00AB42E3" w:rsidRPr="004C5906">
        <w:rPr>
          <w:rFonts w:ascii="Times New Roman" w:hAnsi="Times New Roman"/>
          <w:sz w:val="28"/>
          <w:szCs w:val="28"/>
          <w:lang w:val="uk-UA"/>
        </w:rPr>
        <w:t xml:space="preserve"> інвестиційної привабливості</w:t>
      </w:r>
      <w:r w:rsidR="00AB42E3" w:rsidRPr="00766B79">
        <w:rPr>
          <w:rFonts w:ascii="Times New Roman" w:hAnsi="Times New Roman"/>
          <w:sz w:val="28"/>
          <w:szCs w:val="28"/>
          <w:lang w:val="uk-UA"/>
        </w:rPr>
        <w:t xml:space="preserve"> </w:t>
      </w:r>
      <w:r w:rsidR="00D41FDF" w:rsidRPr="00766B79">
        <w:rPr>
          <w:rFonts w:ascii="Times New Roman" w:hAnsi="Times New Roman"/>
          <w:sz w:val="28"/>
          <w:szCs w:val="28"/>
          <w:lang w:val="uk-UA"/>
        </w:rPr>
        <w:t>через</w:t>
      </w:r>
      <w:r w:rsidRPr="00766B79">
        <w:rPr>
          <w:rFonts w:ascii="Times New Roman" w:hAnsi="Times New Roman"/>
          <w:sz w:val="28"/>
          <w:szCs w:val="28"/>
          <w:lang w:val="uk-UA"/>
        </w:rPr>
        <w:t xml:space="preserve"> його масштабн</w:t>
      </w:r>
      <w:r w:rsidR="00D41FDF" w:rsidRPr="00766B79">
        <w:rPr>
          <w:rFonts w:ascii="Times New Roman" w:hAnsi="Times New Roman"/>
          <w:sz w:val="28"/>
          <w:szCs w:val="28"/>
          <w:lang w:val="uk-UA"/>
        </w:rPr>
        <w:t>і</w:t>
      </w:r>
      <w:r w:rsidRPr="00766B79">
        <w:rPr>
          <w:rFonts w:ascii="Times New Roman" w:hAnsi="Times New Roman"/>
          <w:sz w:val="28"/>
          <w:szCs w:val="28"/>
          <w:lang w:val="uk-UA"/>
        </w:rPr>
        <w:t>ст</w:t>
      </w:r>
      <w:r w:rsidR="00D41FDF" w:rsidRPr="00766B79">
        <w:rPr>
          <w:rFonts w:ascii="Times New Roman" w:hAnsi="Times New Roman"/>
          <w:sz w:val="28"/>
          <w:szCs w:val="28"/>
          <w:lang w:val="uk-UA"/>
        </w:rPr>
        <w:t>ь</w:t>
      </w:r>
      <w:r w:rsidRPr="00766B79">
        <w:rPr>
          <w:rFonts w:ascii="Times New Roman" w:hAnsi="Times New Roman"/>
          <w:sz w:val="28"/>
          <w:szCs w:val="28"/>
          <w:lang w:val="uk-UA"/>
        </w:rPr>
        <w:t xml:space="preserve"> не окупаються в короткостроковій</w:t>
      </w:r>
      <w:r w:rsidRPr="00877BF2">
        <w:rPr>
          <w:rFonts w:ascii="Times New Roman" w:hAnsi="Times New Roman"/>
          <w:sz w:val="28"/>
          <w:szCs w:val="28"/>
          <w:lang w:val="uk-UA"/>
        </w:rPr>
        <w:t xml:space="preserve"> перспективі, що, з одного боку, ускладнює залучення приватних інвесторів, з другого боку</w:t>
      </w:r>
      <w:r w:rsidR="00D41FDF">
        <w:rPr>
          <w:rFonts w:ascii="Times New Roman" w:hAnsi="Times New Roman"/>
          <w:sz w:val="28"/>
          <w:szCs w:val="28"/>
          <w:lang w:val="uk-UA"/>
        </w:rPr>
        <w:t>,</w:t>
      </w:r>
      <w:r w:rsidRPr="00877BF2">
        <w:rPr>
          <w:rFonts w:ascii="Times New Roman" w:hAnsi="Times New Roman"/>
          <w:sz w:val="28"/>
          <w:szCs w:val="28"/>
          <w:lang w:val="uk-UA"/>
        </w:rPr>
        <w:t xml:space="preserve"> дає можливість отримання кредитів на пільгових умовах під гарантії державних структур.</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10. Висока тривалість життя </w:t>
      </w:r>
      <w:r w:rsidR="00DB1F48">
        <w:rPr>
          <w:rFonts w:ascii="Times New Roman" w:hAnsi="Times New Roman"/>
          <w:sz w:val="28"/>
          <w:szCs w:val="28"/>
          <w:lang w:val="uk-UA"/>
        </w:rPr>
        <w:t>проєк</w:t>
      </w:r>
      <w:r w:rsidRPr="00877BF2">
        <w:rPr>
          <w:rFonts w:ascii="Times New Roman" w:hAnsi="Times New Roman"/>
          <w:sz w:val="28"/>
          <w:szCs w:val="28"/>
          <w:lang w:val="uk-UA"/>
        </w:rPr>
        <w:t>ту</w:t>
      </w:r>
      <w:r w:rsidR="00AB42E3" w:rsidRPr="00AB42E3">
        <w:rPr>
          <w:rFonts w:ascii="Times New Roman" w:hAnsi="Times New Roman"/>
          <w:sz w:val="28"/>
          <w:szCs w:val="28"/>
          <w:lang w:val="uk-UA"/>
        </w:rPr>
        <w:t xml:space="preserve"> </w:t>
      </w:r>
      <w:r w:rsidR="00AB42E3">
        <w:rPr>
          <w:rFonts w:ascii="Times New Roman" w:hAnsi="Times New Roman"/>
          <w:sz w:val="28"/>
          <w:szCs w:val="28"/>
          <w:lang w:val="uk-UA"/>
        </w:rPr>
        <w:t>з</w:t>
      </w:r>
      <w:r w:rsidR="00AB42E3" w:rsidRPr="000F596F">
        <w:rPr>
          <w:rFonts w:ascii="Times New Roman" w:hAnsi="Times New Roman"/>
          <w:sz w:val="28"/>
          <w:szCs w:val="28"/>
          <w:lang w:val="uk-UA"/>
        </w:rPr>
        <w:t xml:space="preserve"> інвестиційної привабливості</w:t>
      </w:r>
      <w:r w:rsidRPr="00877BF2">
        <w:rPr>
          <w:rFonts w:ascii="Times New Roman" w:hAnsi="Times New Roman"/>
          <w:sz w:val="28"/>
          <w:szCs w:val="28"/>
          <w:lang w:val="uk-UA"/>
        </w:rPr>
        <w:t xml:space="preserve"> вимагає прийняття довгострокових </w:t>
      </w:r>
      <w:r w:rsidR="00DB1F48">
        <w:rPr>
          <w:rFonts w:ascii="Times New Roman" w:hAnsi="Times New Roman"/>
          <w:sz w:val="28"/>
          <w:szCs w:val="28"/>
          <w:lang w:val="uk-UA"/>
        </w:rPr>
        <w:t>проєк</w:t>
      </w:r>
      <w:r w:rsidRPr="00877BF2">
        <w:rPr>
          <w:rFonts w:ascii="Times New Roman" w:hAnsi="Times New Roman"/>
          <w:sz w:val="28"/>
          <w:szCs w:val="28"/>
          <w:lang w:val="uk-UA"/>
        </w:rPr>
        <w:t xml:space="preserve">тних та інвестиційних рішень. </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11. Низька екологічність виробничих процесів вимагає </w:t>
      </w:r>
      <w:r w:rsidR="00D41FDF">
        <w:rPr>
          <w:rFonts w:ascii="Times New Roman" w:hAnsi="Times New Roman"/>
          <w:sz w:val="28"/>
          <w:szCs w:val="28"/>
          <w:lang w:val="uk-UA"/>
        </w:rPr>
        <w:t>досить</w:t>
      </w:r>
      <w:r w:rsidRPr="00877BF2">
        <w:rPr>
          <w:rFonts w:ascii="Times New Roman" w:hAnsi="Times New Roman"/>
          <w:sz w:val="28"/>
          <w:szCs w:val="28"/>
          <w:lang w:val="uk-UA"/>
        </w:rPr>
        <w:t xml:space="preserve"> високих обсягів витрат </w:t>
      </w:r>
      <w:r w:rsidR="00D41FDF">
        <w:rPr>
          <w:rFonts w:ascii="Times New Roman" w:hAnsi="Times New Roman"/>
          <w:sz w:val="28"/>
          <w:szCs w:val="28"/>
          <w:lang w:val="uk-UA"/>
        </w:rPr>
        <w:t>н</w:t>
      </w:r>
      <w:r w:rsidRPr="00877BF2">
        <w:rPr>
          <w:rFonts w:ascii="Times New Roman" w:hAnsi="Times New Roman"/>
          <w:sz w:val="28"/>
          <w:szCs w:val="28"/>
          <w:lang w:val="uk-UA"/>
        </w:rPr>
        <w:t>а забезпечення охорони навколишнього середовища.</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Свої особливості мають </w:t>
      </w:r>
      <w:r w:rsidR="00DB1F48">
        <w:rPr>
          <w:rFonts w:ascii="Times New Roman" w:hAnsi="Times New Roman"/>
          <w:sz w:val="28"/>
          <w:szCs w:val="28"/>
          <w:lang w:val="uk-UA"/>
        </w:rPr>
        <w:t>проєк</w:t>
      </w:r>
      <w:r w:rsidRPr="00877BF2">
        <w:rPr>
          <w:rFonts w:ascii="Times New Roman" w:hAnsi="Times New Roman"/>
          <w:sz w:val="28"/>
          <w:szCs w:val="28"/>
          <w:lang w:val="uk-UA"/>
        </w:rPr>
        <w:t>ти</w:t>
      </w:r>
      <w:r w:rsidR="00AB42E3">
        <w:rPr>
          <w:rFonts w:ascii="Times New Roman" w:hAnsi="Times New Roman"/>
          <w:sz w:val="28"/>
          <w:szCs w:val="28"/>
          <w:lang w:val="uk-UA"/>
        </w:rPr>
        <w:t xml:space="preserve"> з</w:t>
      </w:r>
      <w:r w:rsidR="00AB42E3" w:rsidRPr="000F596F">
        <w:rPr>
          <w:rFonts w:ascii="Times New Roman" w:hAnsi="Times New Roman"/>
          <w:sz w:val="28"/>
          <w:szCs w:val="28"/>
          <w:lang w:val="uk-UA"/>
        </w:rPr>
        <w:t xml:space="preserve"> інвестиційної привабливості</w:t>
      </w:r>
      <w:r w:rsidRPr="00877BF2">
        <w:rPr>
          <w:rFonts w:ascii="Times New Roman" w:hAnsi="Times New Roman"/>
          <w:sz w:val="28"/>
          <w:szCs w:val="28"/>
          <w:lang w:val="uk-UA"/>
        </w:rPr>
        <w:t xml:space="preserve">, наприклад, у сфері ПЕК. Певну специфіку мають й </w:t>
      </w:r>
      <w:r w:rsidR="00DB1F48">
        <w:rPr>
          <w:rFonts w:ascii="Times New Roman" w:hAnsi="Times New Roman"/>
          <w:sz w:val="28"/>
          <w:szCs w:val="28"/>
          <w:lang w:val="uk-UA"/>
        </w:rPr>
        <w:t>проєк</w:t>
      </w:r>
      <w:r w:rsidRPr="00877BF2">
        <w:rPr>
          <w:rFonts w:ascii="Times New Roman" w:hAnsi="Times New Roman"/>
          <w:sz w:val="28"/>
          <w:szCs w:val="28"/>
          <w:lang w:val="uk-UA"/>
        </w:rPr>
        <w:t xml:space="preserve">ти </w:t>
      </w:r>
      <w:r w:rsidR="00AB42E3">
        <w:rPr>
          <w:rFonts w:ascii="Times New Roman" w:hAnsi="Times New Roman"/>
          <w:sz w:val="28"/>
          <w:szCs w:val="28"/>
          <w:lang w:val="uk-UA"/>
        </w:rPr>
        <w:t>з</w:t>
      </w:r>
      <w:r w:rsidR="00AB42E3" w:rsidRPr="000F596F">
        <w:rPr>
          <w:rFonts w:ascii="Times New Roman" w:hAnsi="Times New Roman"/>
          <w:sz w:val="28"/>
          <w:szCs w:val="28"/>
          <w:lang w:val="uk-UA"/>
        </w:rPr>
        <w:t xml:space="preserve"> інвестиційної привабливості</w:t>
      </w:r>
      <w:r w:rsidR="00AB42E3" w:rsidRPr="00877BF2">
        <w:rPr>
          <w:rFonts w:ascii="Times New Roman" w:hAnsi="Times New Roman"/>
          <w:sz w:val="28"/>
          <w:szCs w:val="28"/>
          <w:lang w:val="uk-UA"/>
        </w:rPr>
        <w:t xml:space="preserve"> </w:t>
      </w:r>
      <w:r w:rsidRPr="00877BF2">
        <w:rPr>
          <w:rFonts w:ascii="Times New Roman" w:hAnsi="Times New Roman"/>
          <w:sz w:val="28"/>
          <w:szCs w:val="28"/>
          <w:lang w:val="uk-UA"/>
        </w:rPr>
        <w:t>у сфері будівництва газосховищ. Так, для них характерні такі моменти, як:</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зв’</w:t>
      </w:r>
      <w:r w:rsidR="00363C28" w:rsidRPr="00877BF2">
        <w:rPr>
          <w:rFonts w:ascii="Times New Roman" w:hAnsi="Times New Roman"/>
          <w:sz w:val="28"/>
          <w:szCs w:val="28"/>
          <w:lang w:val="uk-UA"/>
        </w:rPr>
        <w:t>язок із землею;</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порівняно тривалі терміни виконання;</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877BF2">
        <w:rPr>
          <w:rFonts w:ascii="Times New Roman" w:hAnsi="Times New Roman"/>
          <w:sz w:val="28"/>
          <w:szCs w:val="28"/>
          <w:lang w:val="uk-UA"/>
        </w:rPr>
        <w:t xml:space="preserve"> великі одноразові витрати капітальних вкладень</w:t>
      </w:r>
      <w:r w:rsidR="00AF1864" w:rsidRPr="00E531C2">
        <w:rPr>
          <w:rFonts w:ascii="Times New Roman" w:hAnsi="Times New Roman"/>
          <w:sz w:val="28"/>
          <w:szCs w:val="28"/>
          <w:lang w:val="uk-UA"/>
        </w:rPr>
        <w:t xml:space="preserve"> </w:t>
      </w:r>
      <w:r w:rsidR="00AF1864" w:rsidRPr="00E531C2">
        <w:rPr>
          <w:rFonts w:ascii="Times New Roman" w:eastAsia="Times New Roman" w:hAnsi="Times New Roman"/>
          <w:sz w:val="28"/>
          <w:szCs w:val="28"/>
          <w:lang w:val="uk-UA"/>
        </w:rPr>
        <w:t>[33, c. 5]</w:t>
      </w:r>
      <w:r w:rsidR="00363C28"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Існують також особливості, пов'язані зі специфікою виду</w:t>
      </w:r>
      <w:r>
        <w:rPr>
          <w:rFonts w:ascii="Times New Roman" w:hAnsi="Times New Roman"/>
          <w:sz w:val="28"/>
          <w:szCs w:val="28"/>
          <w:lang w:val="uk-UA"/>
        </w:rPr>
        <w:t xml:space="preserve"> </w:t>
      </w:r>
      <w:r w:rsidRPr="00877BF2">
        <w:rPr>
          <w:rFonts w:ascii="Times New Roman" w:hAnsi="Times New Roman"/>
          <w:sz w:val="28"/>
          <w:szCs w:val="28"/>
          <w:lang w:val="uk-UA"/>
        </w:rPr>
        <w:t>діяльності, наприклад коли будівельно</w:t>
      </w:r>
      <w:r w:rsidR="00D41FDF">
        <w:rPr>
          <w:rFonts w:ascii="Times New Roman" w:hAnsi="Times New Roman"/>
          <w:sz w:val="28"/>
          <w:szCs w:val="28"/>
          <w:lang w:val="uk-UA"/>
        </w:rPr>
        <w:t>-</w:t>
      </w:r>
      <w:r w:rsidRPr="00877BF2">
        <w:rPr>
          <w:rFonts w:ascii="Times New Roman" w:hAnsi="Times New Roman"/>
          <w:sz w:val="28"/>
          <w:szCs w:val="28"/>
          <w:lang w:val="uk-UA"/>
        </w:rPr>
        <w:t>монтажні організації, зайняті у житлово-цивільному будівництві, функціонують в основному на регіональних ринках, тоді як зайняті у виробничому будівництві (особливо у нафтовидобувній промисловості, транспорті, енергетиці тощо) працюють і на інших територіях. Ця особливість найбільш характерна для вузькоспеціалізованих організацій.</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Особливості прийняття управлінських рішень для формування інвестиційної привабливості підприємств орієнтуються на нейтралізацію чинників діяльності, які призводять до стримування інвестиційної діяльності</w:t>
      </w:r>
      <w:r w:rsidR="00AF1864" w:rsidRPr="003440B9">
        <w:rPr>
          <w:rFonts w:ascii="Times New Roman" w:hAnsi="Times New Roman"/>
          <w:sz w:val="28"/>
          <w:szCs w:val="28"/>
          <w:lang w:val="uk-UA"/>
        </w:rPr>
        <w:t xml:space="preserve"> </w:t>
      </w:r>
      <w:r w:rsidR="00AF1864" w:rsidRPr="003440B9">
        <w:rPr>
          <w:rFonts w:ascii="Times New Roman" w:eastAsia="Times New Roman" w:hAnsi="Times New Roman"/>
          <w:sz w:val="28"/>
          <w:szCs w:val="28"/>
          <w:lang w:val="uk-UA"/>
        </w:rPr>
        <w:lastRenderedPageBreak/>
        <w:t>[54, c. 19]</w:t>
      </w:r>
      <w:r w:rsidR="00FC4ABE">
        <w:rPr>
          <w:rFonts w:ascii="Times New Roman" w:hAnsi="Times New Roman"/>
          <w:sz w:val="28"/>
          <w:szCs w:val="28"/>
          <w:lang w:val="uk-UA"/>
        </w:rPr>
        <w:t>. У зв’</w:t>
      </w:r>
      <w:r w:rsidRPr="003440B9">
        <w:rPr>
          <w:rFonts w:ascii="Times New Roman" w:hAnsi="Times New Roman"/>
          <w:sz w:val="28"/>
          <w:szCs w:val="28"/>
          <w:lang w:val="uk-UA"/>
        </w:rPr>
        <w:t>язку з цим виділяють такі фактори інвестиційної діяльності, що призводять до стримування інвестиційної діяльності в Україні</w:t>
      </w:r>
      <w:r w:rsidR="004009DE">
        <w:rPr>
          <w:rFonts w:ascii="Times New Roman" w:hAnsi="Times New Roman"/>
          <w:sz w:val="28"/>
          <w:szCs w:val="28"/>
          <w:lang w:val="uk-UA"/>
        </w:rPr>
        <w:t xml:space="preserve"> </w:t>
      </w:r>
      <w:r w:rsidR="00FC4ABE">
        <w:rPr>
          <w:rFonts w:ascii="Times New Roman" w:hAnsi="Times New Roman"/>
          <w:sz w:val="28"/>
          <w:szCs w:val="28"/>
          <w:lang w:val="uk-UA"/>
        </w:rPr>
        <w:br/>
      </w:r>
      <w:r w:rsidR="004009DE">
        <w:rPr>
          <w:rFonts w:ascii="Times New Roman" w:eastAsia="Times New Roman" w:hAnsi="Times New Roman"/>
          <w:sz w:val="28"/>
          <w:szCs w:val="28"/>
          <w:lang w:val="uk-UA"/>
        </w:rPr>
        <w:t>[15, 42, 74, 155]</w:t>
      </w:r>
      <w:r w:rsidRPr="004009DE">
        <w:rPr>
          <w:lang w:val="uk-UA"/>
        </w:rPr>
        <w:t>.</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 В економічній та фінансовій сферах:</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 значний податковий прес;</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 недостатня розвиненість кредитно-фінансової та банківської систем;</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в) постійний дефіцит державного</w:t>
      </w:r>
      <w:r w:rsidR="00555AA3" w:rsidRPr="003440B9">
        <w:rPr>
          <w:rFonts w:ascii="Times New Roman" w:hAnsi="Times New Roman"/>
          <w:sz w:val="28"/>
          <w:szCs w:val="28"/>
          <w:lang w:val="uk-UA"/>
        </w:rPr>
        <w:t xml:space="preserve"> </w:t>
      </w:r>
      <w:r w:rsidRPr="003440B9">
        <w:rPr>
          <w:rFonts w:ascii="Times New Roman" w:hAnsi="Times New Roman"/>
          <w:sz w:val="28"/>
          <w:szCs w:val="28"/>
          <w:lang w:val="uk-UA"/>
        </w:rPr>
        <w:t>та багатьох регіональних бюджетів;</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г) наявність великої кількості монопольних структур у країні, діяльність яких призводить до формування найвищих цін, особливо на енергетичні ресурси;</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д) недорозвиненість ринкової інфраструктури;</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е) недостатньо ефективні форми та кінцеві результати приватизації;</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ж) низький рівень виконання контрольних (договірних) зобов'язань учасників інвестиційних процесів;</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з) надмірне ослаблення державного регулювання економікою країни;</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і) розпилення та недостатній контроль використання державних інвестицій;</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к) відсутність належної конкуренції, нерозвиненість тендерних торгів та конкурсів з багатьох сфер цієї діяльності.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 У соціально-політичній сфері: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 відсутність належної соціально-політичної стабільності;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 відсутність програми стратегічного розвитку;</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в) соціально несправедливий переділ державної власності, що призвело до різкого соціального розшарування населення країни з доходів та власності;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г) низький життєвий рівень населення, наявність порівняно високого безробіття;</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д) наявність корупції та криміналізації суспільства в економічних сферах діяльності;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lastRenderedPageBreak/>
        <w:t>е) розбіжність належною мірою демократичних принципів у створенні управління всіх рівнях.</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В. У правовій сфері:</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 відсутність належного правового забезпечення всіх рівнях управління;</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 часта змінюваність окремих законодавчих актів, інструктивних та нормативно-методичних документів;</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в) низький рівень виконання законодавчих актів;</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г) відсутність ефективного механізму контролю над виконанням правових акт</w:t>
      </w:r>
      <w:r w:rsidR="00555AA3" w:rsidRPr="003440B9">
        <w:rPr>
          <w:rFonts w:ascii="Times New Roman" w:hAnsi="Times New Roman"/>
          <w:sz w:val="28"/>
          <w:szCs w:val="28"/>
          <w:lang w:val="uk-UA"/>
        </w:rPr>
        <w:t>і</w:t>
      </w:r>
      <w:r w:rsidRPr="003440B9">
        <w:rPr>
          <w:rFonts w:ascii="Times New Roman" w:hAnsi="Times New Roman"/>
          <w:sz w:val="28"/>
          <w:szCs w:val="28"/>
          <w:lang w:val="uk-UA"/>
        </w:rPr>
        <w:t>в.</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Г. У сфері інформаційних технологій:</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а) недостатній розвиток інформаційної інфраструктури;</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б) слабкий зв'язок із міжнародними інформаційними системами;</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 xml:space="preserve">в) низький рівень вітчизняних засобів обчислювальної техніки та телекомунікацій; </w:t>
      </w:r>
    </w:p>
    <w:p w:rsidR="00363C28" w:rsidRPr="003440B9" w:rsidRDefault="00363C28"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г) слабка та недостатня за обсягами підготовка кадрів, здатних працювати у сфері сучасної інформатики.</w:t>
      </w:r>
    </w:p>
    <w:p w:rsidR="00363C28" w:rsidRPr="003440B9" w:rsidRDefault="00555AA3" w:rsidP="00363C28">
      <w:pPr>
        <w:spacing w:after="0" w:line="360" w:lineRule="auto"/>
        <w:ind w:firstLine="709"/>
        <w:jc w:val="both"/>
        <w:rPr>
          <w:rFonts w:ascii="Times New Roman" w:hAnsi="Times New Roman"/>
          <w:sz w:val="28"/>
          <w:szCs w:val="28"/>
          <w:lang w:val="uk-UA"/>
        </w:rPr>
      </w:pPr>
      <w:r w:rsidRPr="003440B9">
        <w:rPr>
          <w:rFonts w:ascii="Times New Roman" w:hAnsi="Times New Roman"/>
          <w:sz w:val="28"/>
          <w:szCs w:val="28"/>
          <w:lang w:val="uk-UA"/>
        </w:rPr>
        <w:t>Оскільки</w:t>
      </w:r>
      <w:r w:rsidR="00363C28" w:rsidRPr="003440B9">
        <w:rPr>
          <w:rFonts w:ascii="Times New Roman" w:hAnsi="Times New Roman"/>
          <w:sz w:val="28"/>
          <w:szCs w:val="28"/>
          <w:lang w:val="uk-UA"/>
        </w:rPr>
        <w:t xml:space="preserve"> основною метою інвестиційної діяльності є забезпечення реалізації найбільш ефективних форм вкладення капіталу, спрямованих на розширення економічного потенціалу підприємства, то особливу увагу кожен суб'єкт господарювання повинен, з одного боку, приділяти виключенню або мінімізації дії факторів, що стримують їх інвестиційну привабливість, а з іншого поліпшують</w:t>
      </w:r>
      <w:r w:rsidR="00AF1864" w:rsidRPr="003440B9">
        <w:rPr>
          <w:rFonts w:ascii="Times New Roman" w:hAnsi="Times New Roman"/>
          <w:sz w:val="28"/>
          <w:szCs w:val="28"/>
          <w:lang w:val="uk-UA"/>
        </w:rPr>
        <w:t xml:space="preserve"> </w:t>
      </w:r>
      <w:r w:rsidR="00AF1864" w:rsidRPr="003440B9">
        <w:rPr>
          <w:rFonts w:ascii="Times New Roman" w:eastAsia="Times New Roman" w:hAnsi="Times New Roman"/>
          <w:sz w:val="28"/>
          <w:szCs w:val="28"/>
          <w:lang w:val="uk-UA"/>
        </w:rPr>
        <w:t>[106, c. 7]</w:t>
      </w:r>
      <w:r w:rsidR="00363C28" w:rsidRPr="003440B9">
        <w:rPr>
          <w:rFonts w:ascii="Times New Roman" w:hAnsi="Times New Roman"/>
          <w:sz w:val="28"/>
          <w:szCs w:val="28"/>
          <w:lang w:val="uk-UA"/>
        </w:rPr>
        <w:t>. Для оцінки інвестиційної привабливості українських підприємств пропонується наступна схема аналізу, яка полягає в тому, що досліджуються шість основних блоків:</w:t>
      </w:r>
    </w:p>
    <w:p w:rsidR="00363C28" w:rsidRPr="003440B9"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1. </w:t>
      </w:r>
      <w:r w:rsidR="00363C28" w:rsidRPr="003440B9">
        <w:rPr>
          <w:rFonts w:ascii="Times New Roman" w:hAnsi="Times New Roman"/>
          <w:sz w:val="28"/>
          <w:szCs w:val="28"/>
          <w:lang w:val="uk-UA"/>
        </w:rPr>
        <w:t>Показники фінансового стану підприємства.</w:t>
      </w:r>
    </w:p>
    <w:p w:rsidR="00363C28" w:rsidRPr="003440B9"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w:t>
      </w:r>
      <w:r w:rsidR="00363C28" w:rsidRPr="003440B9">
        <w:rPr>
          <w:rFonts w:ascii="Times New Roman" w:hAnsi="Times New Roman"/>
          <w:sz w:val="28"/>
          <w:szCs w:val="28"/>
          <w:lang w:val="uk-UA"/>
        </w:rPr>
        <w:t>Показники ринкового стану та конкурентоспроможності продукції підприємства.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3. </w:t>
      </w:r>
      <w:r w:rsidR="00363C28" w:rsidRPr="003440B9">
        <w:rPr>
          <w:rFonts w:ascii="Times New Roman" w:hAnsi="Times New Roman"/>
          <w:sz w:val="28"/>
          <w:szCs w:val="28"/>
          <w:lang w:val="uk-UA"/>
        </w:rPr>
        <w:t>Показники</w:t>
      </w:r>
      <w:r w:rsidR="00363C28" w:rsidRPr="00877BF2">
        <w:rPr>
          <w:rFonts w:ascii="Times New Roman" w:hAnsi="Times New Roman"/>
          <w:sz w:val="28"/>
          <w:szCs w:val="28"/>
          <w:lang w:val="uk-UA"/>
        </w:rPr>
        <w:t xml:space="preserve"> організаційно-технічного та кадрового рівня підприємства.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4. </w:t>
      </w:r>
      <w:r w:rsidR="00363C28" w:rsidRPr="00877BF2">
        <w:rPr>
          <w:rFonts w:ascii="Times New Roman" w:hAnsi="Times New Roman"/>
          <w:sz w:val="28"/>
          <w:szCs w:val="28"/>
          <w:lang w:val="uk-UA"/>
        </w:rPr>
        <w:t>Показники використання ресурсів для підприємства.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5. </w:t>
      </w:r>
      <w:r w:rsidR="00363C28" w:rsidRPr="00877BF2">
        <w:rPr>
          <w:rFonts w:ascii="Times New Roman" w:hAnsi="Times New Roman"/>
          <w:sz w:val="28"/>
          <w:szCs w:val="28"/>
          <w:lang w:val="uk-UA"/>
        </w:rPr>
        <w:t>Показники, що характеризують дивідендну політику підприємства.</w:t>
      </w:r>
    </w:p>
    <w:p w:rsidR="00363C28" w:rsidRPr="00877BF2" w:rsidRDefault="00FC4ABE"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6. </w:t>
      </w:r>
      <w:r w:rsidR="00363C28" w:rsidRPr="00877BF2">
        <w:rPr>
          <w:rFonts w:ascii="Times New Roman" w:hAnsi="Times New Roman"/>
          <w:sz w:val="28"/>
          <w:szCs w:val="28"/>
          <w:lang w:val="uk-UA"/>
        </w:rPr>
        <w:t>Показники, що характеризують структуру власників (акціонерів) підприємства.</w:t>
      </w:r>
    </w:p>
    <w:p w:rsidR="00625D39" w:rsidRPr="009C19A3" w:rsidRDefault="005670E0" w:rsidP="009C19A3">
      <w:pPr>
        <w:spacing w:after="0" w:line="360" w:lineRule="auto"/>
        <w:ind w:firstLine="709"/>
        <w:jc w:val="both"/>
        <w:rPr>
          <w:rFonts w:ascii="Times New Roman" w:hAnsi="Times New Roman"/>
          <w:sz w:val="28"/>
          <w:szCs w:val="28"/>
          <w:lang w:val="uk-UA"/>
        </w:rPr>
      </w:pPr>
      <w:r w:rsidRPr="009C19A3">
        <w:rPr>
          <w:rFonts w:ascii="Times New Roman" w:hAnsi="Times New Roman"/>
          <w:sz w:val="28"/>
          <w:szCs w:val="28"/>
          <w:lang w:val="uk-UA"/>
        </w:rPr>
        <w:t xml:space="preserve">Шість груп вихідної схеми аналізу (фінансовий стан, ринкові характеристики, організаційно-технічний і кадровий рівень, використання ресурсів, дивідендна політика, структура власників) становлять деталізований перелік індикаторів, а не альтернативну авторську класифікацію. Авторська чотириблокова модель об’єднує їх за управлінською функцією: фінансовий стан і дивідендну політику </w:t>
      </w:r>
      <w:r w:rsidR="00336F0C">
        <w:rPr>
          <w:rFonts w:ascii="Times New Roman" w:hAnsi="Times New Roman"/>
          <w:sz w:val="28"/>
          <w:szCs w:val="28"/>
          <w:lang w:val="uk-UA"/>
        </w:rPr>
        <w:t>–</w:t>
      </w:r>
      <w:r w:rsidRPr="009C19A3">
        <w:rPr>
          <w:rFonts w:ascii="Times New Roman" w:hAnsi="Times New Roman"/>
          <w:sz w:val="28"/>
          <w:szCs w:val="28"/>
          <w:lang w:val="uk-UA"/>
        </w:rPr>
        <w:t xml:space="preserve"> у фінансово-економічний блок; техніко-виробничі показники </w:t>
      </w:r>
      <w:r w:rsidR="00336F0C">
        <w:rPr>
          <w:rFonts w:ascii="Times New Roman" w:hAnsi="Times New Roman"/>
          <w:sz w:val="28"/>
          <w:szCs w:val="28"/>
          <w:lang w:val="uk-UA"/>
        </w:rPr>
        <w:t>–</w:t>
      </w:r>
      <w:r w:rsidRPr="009C19A3">
        <w:rPr>
          <w:rFonts w:ascii="Times New Roman" w:hAnsi="Times New Roman"/>
          <w:sz w:val="28"/>
          <w:szCs w:val="28"/>
          <w:lang w:val="uk-UA"/>
        </w:rPr>
        <w:t xml:space="preserve"> у виробничо-технологічний; кадрові, ресурсні показники та якість і прозорість структури власників </w:t>
      </w:r>
      <w:r w:rsidR="00336F0C">
        <w:rPr>
          <w:rFonts w:ascii="Times New Roman" w:hAnsi="Times New Roman"/>
          <w:sz w:val="28"/>
          <w:szCs w:val="28"/>
          <w:lang w:val="uk-UA"/>
        </w:rPr>
        <w:t>–</w:t>
      </w:r>
      <w:r w:rsidRPr="009C19A3">
        <w:rPr>
          <w:rFonts w:ascii="Times New Roman" w:hAnsi="Times New Roman"/>
          <w:sz w:val="28"/>
          <w:szCs w:val="28"/>
          <w:lang w:val="uk-UA"/>
        </w:rPr>
        <w:t xml:space="preserve"> в управлінський; ринкові характеристики, конкурентне середовище й зовнішні загрози </w:t>
      </w:r>
      <w:r w:rsidR="00336F0C">
        <w:rPr>
          <w:rFonts w:ascii="Times New Roman" w:hAnsi="Times New Roman"/>
          <w:sz w:val="28"/>
          <w:szCs w:val="28"/>
          <w:lang w:val="uk-UA"/>
        </w:rPr>
        <w:t>–</w:t>
      </w:r>
      <w:r w:rsidRPr="009C19A3">
        <w:rPr>
          <w:rFonts w:ascii="Times New Roman" w:hAnsi="Times New Roman"/>
          <w:sz w:val="28"/>
          <w:szCs w:val="28"/>
          <w:lang w:val="uk-UA"/>
        </w:rPr>
        <w:t xml:space="preserve"> у зовнішній блок. Отже, структура власників не вилучається, а переноситься до управлінського блоку, тоді як зовнішні умови під час шестиблокового первинного аналізу враховуються в ринкових показниках і надалі виокремлюються для стратегічної оцінки.</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Показники фінансового стану підприємства є найбільш суттєвими для інвесторів, тому пропонуються сім основних напрямів аналізу фінансового стану підприємства</w:t>
      </w:r>
      <w:r w:rsidR="009C19A3">
        <w:rPr>
          <w:rFonts w:ascii="Times New Roman" w:hAnsi="Times New Roman"/>
          <w:sz w:val="28"/>
          <w:szCs w:val="28"/>
          <w:lang w:val="uk-UA"/>
        </w:rPr>
        <w:t xml:space="preserve"> </w:t>
      </w:r>
      <w:r w:rsidR="009C19A3" w:rsidRPr="009C19A3">
        <w:rPr>
          <w:rFonts w:ascii="Times New Roman" w:eastAsia="Times New Roman" w:hAnsi="Times New Roman"/>
          <w:sz w:val="28"/>
          <w:szCs w:val="28"/>
          <w:lang w:val="uk-UA"/>
        </w:rPr>
        <w:t>[9, 73, 90, 120, 125]</w:t>
      </w:r>
      <w:r w:rsidRPr="00877BF2">
        <w:rPr>
          <w:rFonts w:ascii="Times New Roman" w:hAnsi="Times New Roman"/>
          <w:sz w:val="28"/>
          <w:szCs w:val="28"/>
          <w:lang w:val="uk-UA"/>
        </w:rPr>
        <w:t>:</w:t>
      </w:r>
      <w:r w:rsidRPr="009C19A3">
        <w:rPr>
          <w:rFonts w:ascii="Times New Roman" w:hAnsi="Times New Roman"/>
          <w:sz w:val="28"/>
          <w:szCs w:val="28"/>
          <w:lang w:val="uk-UA"/>
        </w:rPr>
        <w:t xml:space="preserve"> </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xml:space="preserve"> </w:t>
      </w:r>
      <w:r w:rsidR="00363C28" w:rsidRPr="00877BF2">
        <w:rPr>
          <w:rFonts w:ascii="Times New Roman" w:hAnsi="Times New Roman"/>
          <w:sz w:val="28"/>
          <w:szCs w:val="28"/>
          <w:lang w:val="uk-UA"/>
        </w:rPr>
        <w:t>показники рентабельності;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xml:space="preserve"> </w:t>
      </w:r>
      <w:r w:rsidR="00363C28" w:rsidRPr="00877BF2">
        <w:rPr>
          <w:rFonts w:ascii="Times New Roman" w:hAnsi="Times New Roman"/>
          <w:sz w:val="28"/>
          <w:szCs w:val="28"/>
          <w:lang w:val="uk-UA"/>
        </w:rPr>
        <w:t>показники довгострокової фінансової стійкості;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xml:space="preserve"> </w:t>
      </w:r>
      <w:r w:rsidR="00363C28" w:rsidRPr="00877BF2">
        <w:rPr>
          <w:rFonts w:ascii="Times New Roman" w:hAnsi="Times New Roman"/>
          <w:sz w:val="28"/>
          <w:szCs w:val="28"/>
          <w:lang w:val="uk-UA"/>
        </w:rPr>
        <w:t>показники ліквідності;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xml:space="preserve"> </w:t>
      </w:r>
      <w:r w:rsidR="00363C28" w:rsidRPr="00877BF2">
        <w:rPr>
          <w:rFonts w:ascii="Times New Roman" w:hAnsi="Times New Roman"/>
          <w:sz w:val="28"/>
          <w:szCs w:val="28"/>
          <w:lang w:val="uk-UA"/>
        </w:rPr>
        <w:t>показники ділової активності;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xml:space="preserve"> </w:t>
      </w:r>
      <w:r w:rsidR="00363C28" w:rsidRPr="00877BF2">
        <w:rPr>
          <w:rFonts w:ascii="Times New Roman" w:hAnsi="Times New Roman"/>
          <w:sz w:val="28"/>
          <w:szCs w:val="28"/>
          <w:lang w:val="uk-UA"/>
        </w:rPr>
        <w:t xml:space="preserve">аналіз витрат підприємства; </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555AA3">
        <w:rPr>
          <w:rFonts w:ascii="Times New Roman" w:hAnsi="Times New Roman"/>
          <w:sz w:val="28"/>
          <w:szCs w:val="28"/>
          <w:lang w:val="uk-UA"/>
        </w:rPr>
        <w:t> </w:t>
      </w:r>
      <w:r w:rsidR="00363C28" w:rsidRPr="00877BF2">
        <w:rPr>
          <w:rFonts w:ascii="Times New Roman" w:hAnsi="Times New Roman"/>
          <w:sz w:val="28"/>
          <w:szCs w:val="28"/>
          <w:lang w:val="uk-UA"/>
        </w:rPr>
        <w:t>збирання платежів та аналіз дебіторської та кредиторської заборгованості підприємства.</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Показники рентабельності як основна характеристика прибутковості діяльності підприємства є найважливішими для інвесторів, оскільки характеризують ефективність діяльності підприємства, отже, побічно і </w:t>
      </w:r>
      <w:r w:rsidRPr="00877BF2">
        <w:rPr>
          <w:rFonts w:ascii="Times New Roman" w:hAnsi="Times New Roman"/>
          <w:sz w:val="28"/>
          <w:szCs w:val="28"/>
          <w:lang w:val="uk-UA"/>
        </w:rPr>
        <w:lastRenderedPageBreak/>
        <w:t>прибутковість здійснених інвестицій</w:t>
      </w:r>
      <w:r w:rsidR="00AF1864" w:rsidRPr="00AF1864">
        <w:rPr>
          <w:rFonts w:ascii="Times New Roman" w:hAnsi="Times New Roman"/>
          <w:sz w:val="28"/>
          <w:szCs w:val="28"/>
          <w:lang w:val="uk-UA"/>
        </w:rPr>
        <w:t xml:space="preserve"> </w:t>
      </w:r>
      <w:r w:rsidR="00AF1864" w:rsidRPr="00AF1864">
        <w:rPr>
          <w:rFonts w:ascii="Times New Roman" w:eastAsia="Times New Roman" w:hAnsi="Times New Roman"/>
          <w:sz w:val="28"/>
          <w:szCs w:val="28"/>
          <w:lang w:val="uk-UA"/>
        </w:rPr>
        <w:t>[118, c. 11]</w:t>
      </w:r>
      <w:r w:rsidRPr="00877BF2">
        <w:rPr>
          <w:rFonts w:ascii="Times New Roman" w:hAnsi="Times New Roman"/>
          <w:sz w:val="28"/>
          <w:szCs w:val="28"/>
          <w:lang w:val="uk-UA"/>
        </w:rPr>
        <w:t>. Хоча для інвестора, безумовно, пріоритетне значення мають відносні показники рентабельності, сам факт наявності у підприємства прибутку вже важливий.</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Особлив</w:t>
      </w:r>
      <w:r w:rsidR="00555AA3">
        <w:rPr>
          <w:rFonts w:ascii="Times New Roman" w:hAnsi="Times New Roman"/>
          <w:sz w:val="28"/>
          <w:szCs w:val="28"/>
          <w:lang w:val="uk-UA"/>
        </w:rPr>
        <w:t>е</w:t>
      </w:r>
      <w:r w:rsidRPr="00877BF2">
        <w:rPr>
          <w:rFonts w:ascii="Times New Roman" w:hAnsi="Times New Roman"/>
          <w:sz w:val="28"/>
          <w:szCs w:val="28"/>
          <w:lang w:val="uk-UA"/>
        </w:rPr>
        <w:t xml:space="preserve"> значення для інвесторів мають темпи зростання прибутку підприємства. За результатами опитування акціонерів 1000 провідних корп</w:t>
      </w:r>
      <w:r w:rsidR="00336F0C">
        <w:rPr>
          <w:rFonts w:ascii="Times New Roman" w:hAnsi="Times New Roman"/>
          <w:sz w:val="28"/>
          <w:szCs w:val="28"/>
          <w:lang w:val="uk-UA"/>
        </w:rPr>
        <w:t>орацій Західної Європи та США з’</w:t>
      </w:r>
      <w:r w:rsidRPr="00877BF2">
        <w:rPr>
          <w:rFonts w:ascii="Times New Roman" w:hAnsi="Times New Roman"/>
          <w:sz w:val="28"/>
          <w:szCs w:val="28"/>
          <w:lang w:val="uk-UA"/>
        </w:rPr>
        <w:t>ясувалося, що інвестори однозначно віддають перевагу компаніям, які демонструють швидке зростання прибутку, але одночасно купують цінні папери підприємств з високим ступенем прогнозованості прибутку та стійким характером його зростання.</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Що стосується відносних показників рентабельності, то зазначимо, що у зарубіжній теорії та практиці фінансового аналізу застосовують три основні групи:</w:t>
      </w:r>
      <w:r>
        <w:rPr>
          <w:rFonts w:ascii="Times New Roman" w:hAnsi="Times New Roman"/>
          <w:sz w:val="28"/>
          <w:szCs w:val="28"/>
          <w:lang w:val="uk-UA"/>
        </w:rPr>
        <w:t xml:space="preserve"> </w:t>
      </w:r>
      <w:r w:rsidRPr="00877BF2">
        <w:rPr>
          <w:rFonts w:ascii="Times New Roman" w:hAnsi="Times New Roman"/>
          <w:sz w:val="28"/>
          <w:szCs w:val="28"/>
          <w:lang w:val="uk-UA"/>
        </w:rPr>
        <w:t>показники рентабельності капіталу, показники рентабельності продажів та показники рентабельності активів.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Рентабельність капіталу найбільш істотна для інвесторів, оскільки характеризує результативність вкладення їхнього капіталу. Оцінками рентабельності капіталу є кілька показників.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Коефіцієнт рентабельності інвестованого капіталу (</w:t>
      </w:r>
      <w:r w:rsidRPr="00942162">
        <w:rPr>
          <w:rFonts w:ascii="Times New Roman" w:hAnsi="Times New Roman"/>
          <w:sz w:val="28"/>
          <w:szCs w:val="28"/>
          <w:lang w:val="uk-UA"/>
        </w:rPr>
        <w:t>return on capital employed, ROCE</w:t>
      </w:r>
      <w:r w:rsidRPr="00877BF2">
        <w:rPr>
          <w:rFonts w:ascii="Times New Roman" w:hAnsi="Times New Roman"/>
          <w:sz w:val="28"/>
          <w:szCs w:val="28"/>
          <w:lang w:val="uk-UA"/>
        </w:rPr>
        <w:t>), який обчислюється як відношення чистого прибутку підприємства та виплачених відсотків до середньої величини всього інвестованого капіталу</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[173, 178]</w:t>
      </w:r>
      <w:r w:rsidRPr="004009DE">
        <w:rPr>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Поняття «чистий прибуток», дуже поширене там, на жаль, не визначається </w:t>
      </w:r>
      <w:r>
        <w:rPr>
          <w:rFonts w:ascii="Times New Roman" w:hAnsi="Times New Roman"/>
          <w:sz w:val="28"/>
          <w:szCs w:val="28"/>
          <w:lang w:val="uk-UA"/>
        </w:rPr>
        <w:t>українськ</w:t>
      </w:r>
      <w:r w:rsidRPr="00877BF2">
        <w:rPr>
          <w:rFonts w:ascii="Times New Roman" w:hAnsi="Times New Roman"/>
          <w:sz w:val="28"/>
          <w:szCs w:val="28"/>
          <w:lang w:val="uk-UA"/>
        </w:rPr>
        <w:t xml:space="preserve">им законодавством. Для визначення чистого прибутку </w:t>
      </w:r>
      <w:r w:rsidR="00AF22D2">
        <w:rPr>
          <w:rFonts w:ascii="Times New Roman" w:hAnsi="Times New Roman"/>
          <w:sz w:val="28"/>
          <w:szCs w:val="28"/>
          <w:lang w:val="uk-UA"/>
        </w:rPr>
        <w:t>потрібно</w:t>
      </w:r>
      <w:r w:rsidRPr="00877BF2">
        <w:rPr>
          <w:rFonts w:ascii="Times New Roman" w:hAnsi="Times New Roman"/>
          <w:sz w:val="28"/>
          <w:szCs w:val="28"/>
          <w:lang w:val="uk-UA"/>
        </w:rPr>
        <w:t xml:space="preserve"> з величини прибутку до оподаткування віднімати всі витрати (крім відсотків за кредит), що не увійшли до собівартості продукції (робіт, послуг) згідно з </w:t>
      </w:r>
      <w:r>
        <w:rPr>
          <w:rFonts w:ascii="Times New Roman" w:hAnsi="Times New Roman"/>
          <w:sz w:val="28"/>
          <w:szCs w:val="28"/>
          <w:lang w:val="uk-UA"/>
        </w:rPr>
        <w:t>українськ</w:t>
      </w:r>
      <w:r w:rsidRPr="00877BF2">
        <w:rPr>
          <w:rFonts w:ascii="Times New Roman" w:hAnsi="Times New Roman"/>
          <w:sz w:val="28"/>
          <w:szCs w:val="28"/>
          <w:lang w:val="uk-UA"/>
        </w:rPr>
        <w:t>им законодавством, але це не завжди вдається на практиці через відсутність необхідної інформаційної бази</w:t>
      </w:r>
      <w:r w:rsidR="00AF1864" w:rsidRPr="00AF1864">
        <w:rPr>
          <w:rFonts w:ascii="Times New Roman" w:hAnsi="Times New Roman"/>
          <w:sz w:val="28"/>
          <w:szCs w:val="28"/>
          <w:lang w:val="uk-UA"/>
        </w:rPr>
        <w:t xml:space="preserve"> </w:t>
      </w:r>
      <w:r w:rsidR="00AF1864" w:rsidRPr="00AF1864">
        <w:rPr>
          <w:rFonts w:ascii="Times New Roman" w:eastAsia="Times New Roman" w:hAnsi="Times New Roman"/>
          <w:sz w:val="28"/>
          <w:szCs w:val="28"/>
          <w:lang w:val="uk-UA"/>
        </w:rPr>
        <w:t>[122, c. 169]</w:t>
      </w:r>
      <w:r w:rsidRPr="00877BF2">
        <w:rPr>
          <w:rFonts w:ascii="Times New Roman" w:hAnsi="Times New Roman"/>
          <w:sz w:val="28"/>
          <w:szCs w:val="28"/>
          <w:lang w:val="uk-UA"/>
        </w:rPr>
        <w:t>. У середньому у світовій економіці вважається нормальним рівень показника рентабельності інвестованого капіталу 7-8%.</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Коефіцієнт рентабельності власного капіталу (</w:t>
      </w:r>
      <w:r w:rsidRPr="00942162">
        <w:rPr>
          <w:rFonts w:ascii="Times New Roman" w:hAnsi="Times New Roman"/>
          <w:sz w:val="28"/>
          <w:szCs w:val="28"/>
          <w:lang w:val="uk-UA"/>
        </w:rPr>
        <w:t>return on equity, ROE</w:t>
      </w:r>
      <w:r w:rsidRPr="00877BF2">
        <w:rPr>
          <w:rFonts w:ascii="Times New Roman" w:hAnsi="Times New Roman"/>
          <w:sz w:val="28"/>
          <w:szCs w:val="28"/>
          <w:lang w:val="uk-UA"/>
        </w:rPr>
        <w:t xml:space="preserve">), який розраховується як відношення чистого прибутку до власного капіталу </w:t>
      </w:r>
      <w:r w:rsidRPr="00877BF2">
        <w:rPr>
          <w:rFonts w:ascii="Times New Roman" w:hAnsi="Times New Roman"/>
          <w:sz w:val="28"/>
          <w:szCs w:val="28"/>
          <w:lang w:val="uk-UA"/>
        </w:rPr>
        <w:lastRenderedPageBreak/>
        <w:t>(</w:t>
      </w:r>
      <w:r w:rsidRPr="00942162">
        <w:rPr>
          <w:rFonts w:ascii="Times New Roman" w:hAnsi="Times New Roman"/>
          <w:sz w:val="28"/>
          <w:szCs w:val="28"/>
          <w:lang w:val="uk-UA"/>
        </w:rPr>
        <w:t>equity</w:t>
      </w:r>
      <w:r w:rsidRPr="00877BF2">
        <w:rPr>
          <w:rFonts w:ascii="Times New Roman" w:hAnsi="Times New Roman"/>
          <w:sz w:val="28"/>
          <w:szCs w:val="28"/>
          <w:lang w:val="uk-UA"/>
        </w:rPr>
        <w:t>). Під власним капіталом зазвичай розуміється сума акціонерного капіталу та резервів, утворених із прибутку підприємства.</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Показниками рентабельності продажів є: рентабельність продажів </w:t>
      </w:r>
      <w:r w:rsidR="00AF22D2">
        <w:rPr>
          <w:rFonts w:ascii="Times New Roman" w:hAnsi="Times New Roman"/>
          <w:sz w:val="28"/>
          <w:szCs w:val="28"/>
          <w:lang w:val="uk-UA"/>
        </w:rPr>
        <w:t>за</w:t>
      </w:r>
      <w:r w:rsidRPr="00877BF2">
        <w:rPr>
          <w:rFonts w:ascii="Times New Roman" w:hAnsi="Times New Roman"/>
          <w:sz w:val="28"/>
          <w:szCs w:val="28"/>
          <w:lang w:val="uk-UA"/>
        </w:rPr>
        <w:t xml:space="preserve"> чист</w:t>
      </w:r>
      <w:r w:rsidR="00AF22D2">
        <w:rPr>
          <w:rFonts w:ascii="Times New Roman" w:hAnsi="Times New Roman"/>
          <w:sz w:val="28"/>
          <w:szCs w:val="28"/>
          <w:lang w:val="uk-UA"/>
        </w:rPr>
        <w:t>им</w:t>
      </w:r>
      <w:r w:rsidRPr="00877BF2">
        <w:rPr>
          <w:rFonts w:ascii="Times New Roman" w:hAnsi="Times New Roman"/>
          <w:sz w:val="28"/>
          <w:szCs w:val="28"/>
          <w:lang w:val="uk-UA"/>
        </w:rPr>
        <w:t xml:space="preserve"> прибутк</w:t>
      </w:r>
      <w:r w:rsidR="00AF22D2">
        <w:rPr>
          <w:rFonts w:ascii="Times New Roman" w:hAnsi="Times New Roman"/>
          <w:sz w:val="28"/>
          <w:szCs w:val="28"/>
          <w:lang w:val="uk-UA"/>
        </w:rPr>
        <w:t>ом</w:t>
      </w:r>
      <w:r w:rsidRPr="00877BF2">
        <w:rPr>
          <w:rFonts w:ascii="Times New Roman" w:hAnsi="Times New Roman"/>
          <w:sz w:val="28"/>
          <w:szCs w:val="28"/>
          <w:lang w:val="uk-UA"/>
        </w:rPr>
        <w:t xml:space="preserve"> (</w:t>
      </w:r>
      <w:r w:rsidRPr="00942162">
        <w:rPr>
          <w:rFonts w:ascii="Times New Roman" w:hAnsi="Times New Roman"/>
          <w:sz w:val="28"/>
          <w:szCs w:val="28"/>
          <w:lang w:val="uk-UA"/>
        </w:rPr>
        <w:t>net profit margin</w:t>
      </w:r>
      <w:r w:rsidRPr="00877BF2">
        <w:rPr>
          <w:rFonts w:ascii="Times New Roman" w:hAnsi="Times New Roman"/>
          <w:sz w:val="28"/>
          <w:szCs w:val="28"/>
          <w:lang w:val="uk-UA"/>
        </w:rPr>
        <w:t xml:space="preserve">), рентабельність продажів за маржинальним доходом </w:t>
      </w:r>
      <w:r w:rsidRPr="00942162">
        <w:rPr>
          <w:rFonts w:ascii="Times New Roman" w:hAnsi="Times New Roman"/>
          <w:sz w:val="28"/>
          <w:szCs w:val="28"/>
          <w:lang w:val="uk-UA"/>
        </w:rPr>
        <w:t>(gross profit margin</w:t>
      </w:r>
      <w:r w:rsidRPr="00877BF2">
        <w:rPr>
          <w:rFonts w:ascii="Times New Roman" w:hAnsi="Times New Roman"/>
          <w:sz w:val="28"/>
          <w:szCs w:val="28"/>
          <w:lang w:val="uk-UA"/>
        </w:rPr>
        <w:t>), рентабельність продаж</w:t>
      </w:r>
      <w:r>
        <w:rPr>
          <w:rFonts w:ascii="Times New Roman" w:hAnsi="Times New Roman"/>
          <w:sz w:val="28"/>
          <w:szCs w:val="28"/>
          <w:lang w:val="uk-UA"/>
        </w:rPr>
        <w:t xml:space="preserve">ів за прибутком від реалізації </w:t>
      </w:r>
      <w:r w:rsidRPr="00942162">
        <w:rPr>
          <w:rFonts w:ascii="Times New Roman" w:hAnsi="Times New Roman"/>
          <w:sz w:val="28"/>
          <w:szCs w:val="28"/>
          <w:lang w:val="uk-UA"/>
        </w:rPr>
        <w:t>(operating profit margin</w:t>
      </w:r>
      <w:r w:rsidRPr="00877BF2">
        <w:rPr>
          <w:rFonts w:ascii="Times New Roman" w:hAnsi="Times New Roman"/>
          <w:sz w:val="28"/>
          <w:szCs w:val="28"/>
          <w:lang w:val="uk-UA"/>
        </w:rPr>
        <w:t>)</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[164]</w:t>
      </w:r>
      <w:r w:rsidR="009C19A3" w:rsidRPr="009C19A3">
        <w:rPr>
          <w:rFonts w:ascii="Times New Roman" w:hAnsi="Times New Roman"/>
          <w:sz w:val="28"/>
          <w:szCs w:val="28"/>
          <w:lang w:val="uk-UA"/>
        </w:rPr>
        <w:t>.</w:t>
      </w:r>
    </w:p>
    <w:p w:rsidR="00AF22D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Рентабельність продажів з</w:t>
      </w:r>
      <w:r w:rsidR="00AF22D2">
        <w:rPr>
          <w:rFonts w:ascii="Times New Roman" w:hAnsi="Times New Roman"/>
          <w:sz w:val="28"/>
          <w:szCs w:val="28"/>
          <w:lang w:val="uk-UA"/>
        </w:rPr>
        <w:t>а</w:t>
      </w:r>
      <w:r w:rsidRPr="00877BF2">
        <w:rPr>
          <w:rFonts w:ascii="Times New Roman" w:hAnsi="Times New Roman"/>
          <w:sz w:val="28"/>
          <w:szCs w:val="28"/>
          <w:lang w:val="uk-UA"/>
        </w:rPr>
        <w:t xml:space="preserve"> чист</w:t>
      </w:r>
      <w:r w:rsidR="00AF22D2">
        <w:rPr>
          <w:rFonts w:ascii="Times New Roman" w:hAnsi="Times New Roman"/>
          <w:sz w:val="28"/>
          <w:szCs w:val="28"/>
          <w:lang w:val="uk-UA"/>
        </w:rPr>
        <w:t>им</w:t>
      </w:r>
      <w:r w:rsidRPr="00877BF2">
        <w:rPr>
          <w:rFonts w:ascii="Times New Roman" w:hAnsi="Times New Roman"/>
          <w:sz w:val="28"/>
          <w:szCs w:val="28"/>
          <w:lang w:val="uk-UA"/>
        </w:rPr>
        <w:t xml:space="preserve"> прибутк</w:t>
      </w:r>
      <w:r w:rsidR="00AF22D2">
        <w:rPr>
          <w:rFonts w:ascii="Times New Roman" w:hAnsi="Times New Roman"/>
          <w:sz w:val="28"/>
          <w:szCs w:val="28"/>
          <w:lang w:val="uk-UA"/>
        </w:rPr>
        <w:t>ом</w:t>
      </w:r>
      <w:r w:rsidRPr="00877BF2">
        <w:rPr>
          <w:rFonts w:ascii="Times New Roman" w:hAnsi="Times New Roman"/>
          <w:sz w:val="28"/>
          <w:szCs w:val="28"/>
          <w:lang w:val="uk-UA"/>
        </w:rPr>
        <w:t xml:space="preserve"> (</w:t>
      </w:r>
      <w:r w:rsidRPr="00942162">
        <w:rPr>
          <w:rFonts w:ascii="Times New Roman" w:hAnsi="Times New Roman"/>
          <w:sz w:val="28"/>
          <w:szCs w:val="28"/>
          <w:lang w:val="uk-UA"/>
        </w:rPr>
        <w:t>net profit margin</w:t>
      </w:r>
      <w:r w:rsidRPr="00877BF2">
        <w:rPr>
          <w:rFonts w:ascii="Times New Roman" w:hAnsi="Times New Roman"/>
          <w:sz w:val="28"/>
          <w:szCs w:val="28"/>
          <w:lang w:val="uk-UA"/>
        </w:rPr>
        <w:t>) розраховується як відношення чистого прибутку підприємства до виручки від реалізації і є найпоширенішим коефіцієнтом серед фінансових аналітиків</w:t>
      </w:r>
      <w:r w:rsidRPr="005670E0">
        <w:rPr>
          <w:lang w:val="uk-UA"/>
        </w:rPr>
        <w:t xml:space="preserve"> </w:t>
      </w:r>
      <w:r w:rsidRPr="00BE5A3A">
        <w:rPr>
          <w:rFonts w:ascii="Times New Roman" w:eastAsia="Times New Roman" w:hAnsi="Times New Roman"/>
          <w:sz w:val="28"/>
          <w:szCs w:val="28"/>
          <w:lang w:val="uk-UA"/>
        </w:rPr>
        <w:t>[193]</w:t>
      </w:r>
      <w:r w:rsidRPr="00BE5A3A">
        <w:rPr>
          <w:lang w:val="uk-UA"/>
        </w:rPr>
        <w:t>.</w:t>
      </w:r>
    </w:p>
    <w:p w:rsidR="00363C28" w:rsidRPr="009C19A3"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Рентабельність пр</w:t>
      </w:r>
      <w:r>
        <w:rPr>
          <w:rFonts w:ascii="Times New Roman" w:hAnsi="Times New Roman"/>
          <w:sz w:val="28"/>
          <w:szCs w:val="28"/>
          <w:lang w:val="uk-UA"/>
        </w:rPr>
        <w:t xml:space="preserve">одажу </w:t>
      </w:r>
      <w:r w:rsidR="00AF22D2">
        <w:rPr>
          <w:rFonts w:ascii="Times New Roman" w:hAnsi="Times New Roman"/>
          <w:sz w:val="28"/>
          <w:szCs w:val="28"/>
          <w:lang w:val="uk-UA"/>
        </w:rPr>
        <w:t>за</w:t>
      </w:r>
      <w:r>
        <w:rPr>
          <w:rFonts w:ascii="Times New Roman" w:hAnsi="Times New Roman"/>
          <w:sz w:val="28"/>
          <w:szCs w:val="28"/>
          <w:lang w:val="uk-UA"/>
        </w:rPr>
        <w:t xml:space="preserve"> маржинальн</w:t>
      </w:r>
      <w:r w:rsidR="00AF22D2">
        <w:rPr>
          <w:rFonts w:ascii="Times New Roman" w:hAnsi="Times New Roman"/>
          <w:sz w:val="28"/>
          <w:szCs w:val="28"/>
          <w:lang w:val="uk-UA"/>
        </w:rPr>
        <w:t>им</w:t>
      </w:r>
      <w:r>
        <w:rPr>
          <w:rFonts w:ascii="Times New Roman" w:hAnsi="Times New Roman"/>
          <w:sz w:val="28"/>
          <w:szCs w:val="28"/>
          <w:lang w:val="uk-UA"/>
        </w:rPr>
        <w:t xml:space="preserve"> доход</w:t>
      </w:r>
      <w:r w:rsidR="00AF22D2">
        <w:rPr>
          <w:rFonts w:ascii="Times New Roman" w:hAnsi="Times New Roman"/>
          <w:sz w:val="28"/>
          <w:szCs w:val="28"/>
          <w:lang w:val="uk-UA"/>
        </w:rPr>
        <w:t>ом</w:t>
      </w:r>
      <w:r>
        <w:rPr>
          <w:rFonts w:ascii="Times New Roman" w:hAnsi="Times New Roman"/>
          <w:sz w:val="28"/>
          <w:szCs w:val="28"/>
          <w:lang w:val="uk-UA"/>
        </w:rPr>
        <w:t xml:space="preserve"> (</w:t>
      </w:r>
      <w:r w:rsidRPr="00942162">
        <w:rPr>
          <w:rFonts w:ascii="Times New Roman" w:hAnsi="Times New Roman"/>
          <w:sz w:val="28"/>
          <w:szCs w:val="28"/>
          <w:lang w:val="uk-UA"/>
        </w:rPr>
        <w:t>gross profit margin</w:t>
      </w:r>
      <w:r w:rsidRPr="00877BF2">
        <w:rPr>
          <w:rFonts w:ascii="Times New Roman" w:hAnsi="Times New Roman"/>
          <w:sz w:val="28"/>
          <w:szCs w:val="28"/>
          <w:lang w:val="uk-UA"/>
        </w:rPr>
        <w:t xml:space="preserve">), розраховується як </w:t>
      </w:r>
      <w:r w:rsidR="00AF22D2">
        <w:rPr>
          <w:rFonts w:ascii="Times New Roman" w:hAnsi="Times New Roman"/>
          <w:sz w:val="28"/>
          <w:szCs w:val="28"/>
          <w:lang w:val="uk-UA"/>
        </w:rPr>
        <w:t>відношення</w:t>
      </w:r>
      <w:r w:rsidRPr="00877BF2">
        <w:rPr>
          <w:rFonts w:ascii="Times New Roman" w:hAnsi="Times New Roman"/>
          <w:sz w:val="28"/>
          <w:szCs w:val="28"/>
          <w:lang w:val="uk-UA"/>
        </w:rPr>
        <w:t xml:space="preserve"> ма</w:t>
      </w:r>
      <w:r w:rsidR="003440B9">
        <w:rPr>
          <w:rFonts w:ascii="Times New Roman" w:hAnsi="Times New Roman"/>
          <w:sz w:val="28"/>
          <w:szCs w:val="28"/>
          <w:lang w:val="uk-UA"/>
        </w:rPr>
        <w:t xml:space="preserve">ржинального доходу </w:t>
      </w:r>
      <w:r w:rsidR="003440B9" w:rsidRPr="00E531C2">
        <w:rPr>
          <w:rFonts w:ascii="Times New Roman" w:hAnsi="Times New Roman"/>
          <w:sz w:val="28"/>
          <w:szCs w:val="28"/>
          <w:lang w:val="uk-UA"/>
        </w:rPr>
        <w:t>підприємства</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[187]</w:t>
      </w:r>
      <w:r w:rsidR="009C19A3" w:rsidRPr="009C19A3">
        <w:rPr>
          <w:rFonts w:ascii="Times New Roman" w:hAnsi="Times New Roman"/>
          <w:sz w:val="28"/>
          <w:szCs w:val="28"/>
          <w:lang w:val="uk-UA"/>
        </w:rPr>
        <w:t>.</w:t>
      </w:r>
    </w:p>
    <w:p w:rsidR="00363C28" w:rsidRPr="009C19A3"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Рентабельність продажів з</w:t>
      </w:r>
      <w:r w:rsidR="00AF22D2">
        <w:rPr>
          <w:rFonts w:ascii="Times New Roman" w:hAnsi="Times New Roman"/>
          <w:sz w:val="28"/>
          <w:szCs w:val="28"/>
          <w:lang w:val="uk-UA"/>
        </w:rPr>
        <w:t>а</w:t>
      </w:r>
      <w:r w:rsidRPr="00877BF2">
        <w:rPr>
          <w:rFonts w:ascii="Times New Roman" w:hAnsi="Times New Roman"/>
          <w:sz w:val="28"/>
          <w:szCs w:val="28"/>
          <w:lang w:val="uk-UA"/>
        </w:rPr>
        <w:t xml:space="preserve"> прибутк</w:t>
      </w:r>
      <w:r w:rsidR="00AF22D2">
        <w:rPr>
          <w:rFonts w:ascii="Times New Roman" w:hAnsi="Times New Roman"/>
          <w:sz w:val="28"/>
          <w:szCs w:val="28"/>
          <w:lang w:val="uk-UA"/>
        </w:rPr>
        <w:t>ом</w:t>
      </w:r>
      <w:r w:rsidRPr="00877BF2">
        <w:rPr>
          <w:rFonts w:ascii="Times New Roman" w:hAnsi="Times New Roman"/>
          <w:sz w:val="28"/>
          <w:szCs w:val="28"/>
          <w:lang w:val="uk-UA"/>
        </w:rPr>
        <w:t xml:space="preserve"> від реалізації (</w:t>
      </w:r>
      <w:r w:rsidRPr="00942162">
        <w:rPr>
          <w:rFonts w:ascii="Times New Roman" w:hAnsi="Times New Roman"/>
          <w:sz w:val="28"/>
          <w:szCs w:val="28"/>
          <w:lang w:val="uk-UA"/>
        </w:rPr>
        <w:t>operating profit margin</w:t>
      </w:r>
      <w:r w:rsidRPr="00877BF2">
        <w:rPr>
          <w:rFonts w:ascii="Times New Roman" w:hAnsi="Times New Roman"/>
          <w:sz w:val="28"/>
          <w:szCs w:val="28"/>
          <w:lang w:val="uk-UA"/>
        </w:rPr>
        <w:t>) розраховується як відношення прибутку від реалізації до виручки від реалізації. У деяких випадках інвестори вважають за краще використовувати не прибуток від реалізації, а прибуток до виплати податку, відсотків та амортизації (</w:t>
      </w:r>
      <w:r w:rsidRPr="00942162">
        <w:rPr>
          <w:rFonts w:ascii="Times New Roman" w:hAnsi="Times New Roman"/>
          <w:sz w:val="28"/>
          <w:szCs w:val="28"/>
          <w:lang w:val="uk-UA"/>
        </w:rPr>
        <w:t>EBDIT</w:t>
      </w:r>
      <w:r w:rsidRPr="00877BF2">
        <w:rPr>
          <w:rFonts w:ascii="Times New Roman" w:hAnsi="Times New Roman"/>
          <w:sz w:val="28"/>
          <w:szCs w:val="28"/>
          <w:lang w:val="uk-UA"/>
        </w:rPr>
        <w:t>)</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[166]</w:t>
      </w:r>
      <w:r w:rsidR="009C19A3" w:rsidRPr="009C19A3">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Основним показником рентабельності активів є відношення чистого прибутку підприємства до середньорічної вартості його активів. </w:t>
      </w:r>
      <w:r w:rsidR="00AF22D2">
        <w:rPr>
          <w:rFonts w:ascii="Times New Roman" w:hAnsi="Times New Roman"/>
          <w:sz w:val="28"/>
          <w:szCs w:val="28"/>
          <w:lang w:val="uk-UA"/>
        </w:rPr>
        <w:t>Оскільки</w:t>
      </w:r>
      <w:r w:rsidRPr="00877BF2">
        <w:rPr>
          <w:rFonts w:ascii="Times New Roman" w:hAnsi="Times New Roman"/>
          <w:sz w:val="28"/>
          <w:szCs w:val="28"/>
          <w:lang w:val="uk-UA"/>
        </w:rPr>
        <w:t xml:space="preserve"> показники довгострокової фінансової стійкості підприємства характеризують структуру капіталу, то основним коефіцієнтом цього напряму фінансового аналізу в економічній літературі та практиці вважається питома вага власного капіталу у валюті балансу підприємства (</w:t>
      </w:r>
      <w:r w:rsidRPr="00510FF5">
        <w:rPr>
          <w:rFonts w:ascii="Times New Roman" w:hAnsi="Times New Roman"/>
          <w:sz w:val="28"/>
          <w:szCs w:val="28"/>
          <w:lang w:val="uk-UA"/>
        </w:rPr>
        <w:t>shareholders equity</w:t>
      </w:r>
      <w:r w:rsidR="00AF22D2">
        <w:rPr>
          <w:rFonts w:ascii="Times New Roman" w:hAnsi="Times New Roman"/>
          <w:sz w:val="28"/>
          <w:szCs w:val="28"/>
          <w:lang w:val="uk-UA"/>
        </w:rPr>
        <w:t> </w:t>
      </w:r>
      <w:r w:rsidRPr="00510FF5">
        <w:rPr>
          <w:rFonts w:ascii="Times New Roman" w:hAnsi="Times New Roman"/>
          <w:sz w:val="28"/>
          <w:szCs w:val="28"/>
          <w:lang w:val="uk-UA"/>
        </w:rPr>
        <w:t>/</w:t>
      </w:r>
      <w:r w:rsidR="00AF22D2">
        <w:rPr>
          <w:rFonts w:ascii="Times New Roman" w:hAnsi="Times New Roman"/>
          <w:sz w:val="28"/>
          <w:szCs w:val="28"/>
          <w:lang w:val="uk-UA"/>
        </w:rPr>
        <w:t xml:space="preserve"> </w:t>
      </w:r>
      <w:r w:rsidRPr="00510FF5">
        <w:rPr>
          <w:rFonts w:ascii="Times New Roman" w:hAnsi="Times New Roman"/>
          <w:sz w:val="28"/>
          <w:szCs w:val="28"/>
          <w:lang w:val="uk-UA"/>
        </w:rPr>
        <w:t>total assets</w:t>
      </w:r>
      <w:r w:rsidRPr="00877BF2">
        <w:rPr>
          <w:rFonts w:ascii="Times New Roman" w:hAnsi="Times New Roman"/>
          <w:sz w:val="28"/>
          <w:szCs w:val="28"/>
          <w:lang w:val="uk-UA"/>
        </w:rPr>
        <w:t>), або коефіцієнт фінансової незалежності</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[149, c. 261]</w:t>
      </w:r>
      <w:r w:rsidRPr="00877BF2">
        <w:rPr>
          <w:rFonts w:ascii="Times New Roman" w:hAnsi="Times New Roman"/>
          <w:sz w:val="28"/>
          <w:szCs w:val="28"/>
          <w:lang w:val="uk-UA"/>
        </w:rPr>
        <w:t>. Якихось жорстких нормативів співвідношення власного та залученого капіталу немає, як, втім, немає жорстких нормативів щодо фінансових коефіцієнтів загалом.</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Тим не менш, серед аналітиків поширена думка, що частка власного капіталу має бути досить великою – не менше 50</w:t>
      </w:r>
      <w:r w:rsidR="00336F0C">
        <w:rPr>
          <w:rFonts w:ascii="Times New Roman" w:hAnsi="Times New Roman"/>
          <w:sz w:val="28"/>
          <w:szCs w:val="28"/>
          <w:lang w:val="uk-UA"/>
        </w:rPr>
        <w:t xml:space="preserve"> </w:t>
      </w:r>
      <w:r w:rsidRPr="00877BF2">
        <w:rPr>
          <w:rFonts w:ascii="Times New Roman" w:hAnsi="Times New Roman"/>
          <w:sz w:val="28"/>
          <w:szCs w:val="28"/>
          <w:lang w:val="uk-UA"/>
        </w:rPr>
        <w:t xml:space="preserve">%. Вважається, що в підприємство з високою часткою власного капіталу інвестори, і особливо </w:t>
      </w:r>
      <w:r w:rsidRPr="00877BF2">
        <w:rPr>
          <w:rFonts w:ascii="Times New Roman" w:hAnsi="Times New Roman"/>
          <w:sz w:val="28"/>
          <w:szCs w:val="28"/>
          <w:lang w:val="uk-UA"/>
        </w:rPr>
        <w:lastRenderedPageBreak/>
        <w:t>кредитори, вкладають кошти охоче, оскільки воно з більшою ймовірністю може погасити борги за рахунок власних коштів.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Крім того, компанії з високою часткою залучених коштів, як правило, повинні проводити значні виплати за відсотками, і відповідно коштів, що залишаються для забезпечення виплат дивідендів та створення резервів, буде менше. Встановлення критичного рівня у розмірі 50% є підсумком наступних міркувань: якщо у певний момент кредитори висунуть усі борги до стягнення, то компанія зможе </w:t>
      </w:r>
      <w:r w:rsidR="004E2404" w:rsidRPr="004E2404">
        <w:rPr>
          <w:rFonts w:ascii="Times New Roman" w:hAnsi="Times New Roman"/>
          <w:sz w:val="28"/>
          <w:szCs w:val="28"/>
        </w:rPr>
        <w:t xml:space="preserve"> </w:t>
      </w:r>
      <w:r w:rsidRPr="00877BF2">
        <w:rPr>
          <w:rFonts w:ascii="Times New Roman" w:hAnsi="Times New Roman"/>
          <w:sz w:val="28"/>
          <w:szCs w:val="28"/>
          <w:lang w:val="uk-UA"/>
        </w:rPr>
        <w:t xml:space="preserve">продати половину свого майна, сформованого за рахунок власних джерел, навіть якщо друга половина майна виявиться з якихось причин неліквідною. Втім, умовність будь-якої абсолютної норми для коефіцієнта фінансової незалежності очевидна, оскільки високорентабельне підприємство чи підприємство, що має високу оборотність оборотних коштів, може дозволити собі </w:t>
      </w:r>
      <w:r w:rsidR="00AF22D2">
        <w:rPr>
          <w:rFonts w:ascii="Times New Roman" w:hAnsi="Times New Roman"/>
          <w:sz w:val="28"/>
          <w:szCs w:val="28"/>
          <w:lang w:val="uk-UA"/>
        </w:rPr>
        <w:t>досить</w:t>
      </w:r>
      <w:r w:rsidRPr="00877BF2">
        <w:rPr>
          <w:rFonts w:ascii="Times New Roman" w:hAnsi="Times New Roman"/>
          <w:sz w:val="28"/>
          <w:szCs w:val="28"/>
          <w:lang w:val="uk-UA"/>
        </w:rPr>
        <w:t xml:space="preserve"> високий рівень залученого капіталу. На наявність проблем із фінансовою стійкістю у підприємства може вказувати використання ним короткострокових позикових коштів як джерела фінансування довгострокових вкладень.</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Показники ліквідності підприємства характеризують його здатність відповідати за короткостроковими зобов'язаннями перед кредиторами. Для інвестора ці показники важливі як характеристика ризику можливого банкрутства підприємства, отже, і примусового продажу його активів внаслідок задоволення позовів кредиторів</w:t>
      </w:r>
      <w:r w:rsidR="004E2404" w:rsidRPr="004E2404">
        <w:rPr>
          <w:rFonts w:ascii="Times New Roman" w:hAnsi="Times New Roman"/>
          <w:sz w:val="28"/>
          <w:szCs w:val="28"/>
        </w:rPr>
        <w:t xml:space="preserve"> </w:t>
      </w:r>
      <w:r w:rsidR="004E2404" w:rsidRPr="004E2404">
        <w:rPr>
          <w:rFonts w:ascii="Times New Roman" w:eastAsia="Times New Roman" w:hAnsi="Times New Roman"/>
          <w:sz w:val="28"/>
          <w:szCs w:val="28"/>
        </w:rPr>
        <w:t>[5, c. 62]</w:t>
      </w:r>
      <w:r w:rsidRPr="00877BF2">
        <w:rPr>
          <w:rFonts w:ascii="Times New Roman" w:hAnsi="Times New Roman"/>
          <w:sz w:val="28"/>
          <w:szCs w:val="28"/>
          <w:lang w:val="uk-UA"/>
        </w:rPr>
        <w:t>. У разі банкрутства підприємства кредитори мають переважне право перед акціонерами отримання коштів.</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Підприємство може погасити свої короткострокові зобов'язання через платежі з банківських рахунків, і навіть термінову мобілізацію коштів у вигляді продажу оборотних активів на ринк</w:t>
      </w:r>
      <w:r w:rsidR="00AF22D2">
        <w:rPr>
          <w:rFonts w:ascii="Times New Roman" w:hAnsi="Times New Roman"/>
          <w:sz w:val="28"/>
          <w:szCs w:val="28"/>
          <w:lang w:val="uk-UA"/>
        </w:rPr>
        <w:t>у</w:t>
      </w:r>
      <w:r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Абсолютним показником ліквідності є величина</w:t>
      </w:r>
      <w:r>
        <w:rPr>
          <w:rFonts w:ascii="Times New Roman" w:hAnsi="Times New Roman"/>
          <w:sz w:val="28"/>
          <w:szCs w:val="28"/>
          <w:lang w:val="uk-UA"/>
        </w:rPr>
        <w:t xml:space="preserve"> власного оборотного капіталу (</w:t>
      </w:r>
      <w:r w:rsidRPr="00510FF5">
        <w:rPr>
          <w:rFonts w:ascii="Times New Roman" w:hAnsi="Times New Roman"/>
          <w:sz w:val="28"/>
          <w:szCs w:val="28"/>
          <w:lang w:val="uk-UA"/>
        </w:rPr>
        <w:t>working capital</w:t>
      </w:r>
      <w:r w:rsidRPr="00877BF2">
        <w:rPr>
          <w:rFonts w:ascii="Times New Roman" w:hAnsi="Times New Roman"/>
          <w:sz w:val="28"/>
          <w:szCs w:val="28"/>
          <w:lang w:val="uk-UA"/>
        </w:rPr>
        <w:t xml:space="preserve">), що розраховується як різниця між короткостроковими активами та короткостроковими зобов'язаннями </w:t>
      </w:r>
      <w:r w:rsidRPr="00877BF2">
        <w:rPr>
          <w:rFonts w:ascii="Times New Roman" w:hAnsi="Times New Roman"/>
          <w:sz w:val="28"/>
          <w:szCs w:val="28"/>
          <w:lang w:val="uk-UA"/>
        </w:rPr>
        <w:lastRenderedPageBreak/>
        <w:t>підприємства. Важливе аналітичне значення має розгляд темпів зростання власного оборотного капіталу підприємства на тлі темпів інфляції.</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У зарубіжній економічній літературі та практиці зазвичай використовуються три ключові коефіцієнти ліквідності: коефіцієнт поточної ліквідності</w:t>
      </w:r>
      <w:r w:rsidR="00DB1F48">
        <w:rPr>
          <w:rFonts w:ascii="Times New Roman" w:hAnsi="Times New Roman"/>
          <w:sz w:val="28"/>
          <w:szCs w:val="28"/>
          <w:lang w:val="uk-UA"/>
        </w:rPr>
        <w:t xml:space="preserve"> – </w:t>
      </w:r>
      <w:r w:rsidRPr="00877BF2">
        <w:rPr>
          <w:rFonts w:ascii="Times New Roman" w:hAnsi="Times New Roman"/>
          <w:sz w:val="28"/>
          <w:szCs w:val="28"/>
          <w:lang w:val="uk-UA"/>
        </w:rPr>
        <w:t>коефіцієнт покриття (</w:t>
      </w:r>
      <w:r w:rsidRPr="00510FF5">
        <w:rPr>
          <w:rFonts w:ascii="Times New Roman" w:hAnsi="Times New Roman"/>
          <w:sz w:val="28"/>
          <w:szCs w:val="28"/>
          <w:lang w:val="uk-UA"/>
        </w:rPr>
        <w:t>current ratio</w:t>
      </w:r>
      <w:r w:rsidRPr="00877BF2">
        <w:rPr>
          <w:rFonts w:ascii="Times New Roman" w:hAnsi="Times New Roman"/>
          <w:sz w:val="28"/>
          <w:szCs w:val="28"/>
          <w:lang w:val="uk-UA"/>
        </w:rPr>
        <w:t>), коефіцієнт швидкої ліквідності (</w:t>
      </w:r>
      <w:r w:rsidRPr="00510FF5">
        <w:rPr>
          <w:rFonts w:ascii="Times New Roman" w:hAnsi="Times New Roman"/>
          <w:sz w:val="28"/>
          <w:szCs w:val="28"/>
          <w:lang w:val="uk-UA"/>
        </w:rPr>
        <w:t>quick ratio</w:t>
      </w:r>
      <w:r w:rsidRPr="00877BF2">
        <w:rPr>
          <w:rFonts w:ascii="Times New Roman" w:hAnsi="Times New Roman"/>
          <w:sz w:val="28"/>
          <w:szCs w:val="28"/>
          <w:lang w:val="uk-UA"/>
        </w:rPr>
        <w:t>), коефіцієнт абсолютної ліквідності (</w:t>
      </w:r>
      <w:r w:rsidRPr="00510FF5">
        <w:rPr>
          <w:rFonts w:ascii="Times New Roman" w:hAnsi="Times New Roman"/>
          <w:sz w:val="28"/>
          <w:szCs w:val="28"/>
          <w:lang w:val="uk-UA"/>
        </w:rPr>
        <w:t>cash ratio</w:t>
      </w:r>
      <w:r w:rsidRPr="00877BF2">
        <w:rPr>
          <w:rFonts w:ascii="Times New Roman" w:hAnsi="Times New Roman"/>
          <w:sz w:val="28"/>
          <w:szCs w:val="28"/>
          <w:lang w:val="uk-UA"/>
        </w:rPr>
        <w:t>)</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w:t>
      </w:r>
      <w:r w:rsidRPr="005670E0">
        <w:rPr>
          <w:rFonts w:ascii="Times New Roman" w:eastAsia="Times New Roman" w:hAnsi="Times New Roman"/>
          <w:sz w:val="28"/>
          <w:szCs w:val="28"/>
          <w:lang w:val="uk-UA"/>
        </w:rPr>
        <w:t>7]</w:t>
      </w:r>
      <w:r w:rsidRPr="005670E0">
        <w:rPr>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Коефіцієнт поточної ліквідності</w:t>
      </w:r>
      <w:r w:rsidR="00DB1F48">
        <w:rPr>
          <w:rFonts w:ascii="Times New Roman" w:hAnsi="Times New Roman"/>
          <w:sz w:val="28"/>
          <w:szCs w:val="28"/>
          <w:lang w:val="uk-UA"/>
        </w:rPr>
        <w:t xml:space="preserve"> – </w:t>
      </w:r>
      <w:r w:rsidRPr="00877BF2">
        <w:rPr>
          <w:rFonts w:ascii="Times New Roman" w:hAnsi="Times New Roman"/>
          <w:sz w:val="28"/>
          <w:szCs w:val="28"/>
          <w:lang w:val="uk-UA"/>
        </w:rPr>
        <w:t>коефіцієнт покриття (</w:t>
      </w:r>
      <w:r w:rsidRPr="00510FF5">
        <w:rPr>
          <w:rFonts w:ascii="Times New Roman" w:hAnsi="Times New Roman"/>
          <w:sz w:val="28"/>
          <w:szCs w:val="28"/>
          <w:lang w:val="uk-UA"/>
        </w:rPr>
        <w:t>current ratio</w:t>
      </w:r>
      <w:r w:rsidRPr="00877BF2">
        <w:rPr>
          <w:rFonts w:ascii="Times New Roman" w:hAnsi="Times New Roman"/>
          <w:sz w:val="28"/>
          <w:szCs w:val="28"/>
          <w:lang w:val="uk-UA"/>
        </w:rPr>
        <w:t>), що розраховується як відношення всіх оборотних активів підприємства (</w:t>
      </w:r>
      <w:r w:rsidRPr="00510FF5">
        <w:rPr>
          <w:rFonts w:ascii="Times New Roman" w:hAnsi="Times New Roman"/>
          <w:sz w:val="28"/>
          <w:szCs w:val="28"/>
          <w:lang w:val="uk-UA"/>
        </w:rPr>
        <w:t>current assets</w:t>
      </w:r>
      <w:r w:rsidRPr="00877BF2">
        <w:rPr>
          <w:rFonts w:ascii="Times New Roman" w:hAnsi="Times New Roman"/>
          <w:sz w:val="28"/>
          <w:szCs w:val="28"/>
          <w:lang w:val="uk-UA"/>
        </w:rPr>
        <w:t>) до короткострокової кредиторської заборгованості (</w:t>
      </w:r>
      <w:r w:rsidRPr="00510FF5">
        <w:rPr>
          <w:rFonts w:ascii="Times New Roman" w:hAnsi="Times New Roman"/>
          <w:sz w:val="28"/>
          <w:szCs w:val="28"/>
          <w:lang w:val="uk-UA"/>
        </w:rPr>
        <w:t>current liabili ties</w:t>
      </w:r>
      <w:r w:rsidRPr="00877BF2">
        <w:rPr>
          <w:rFonts w:ascii="Times New Roman" w:hAnsi="Times New Roman"/>
          <w:sz w:val="28"/>
          <w:szCs w:val="28"/>
          <w:lang w:val="uk-UA"/>
        </w:rPr>
        <w:t>)</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[14, c. 11]</w:t>
      </w:r>
      <w:r w:rsidRPr="00877BF2">
        <w:rPr>
          <w:rFonts w:ascii="Times New Roman" w:hAnsi="Times New Roman"/>
          <w:sz w:val="28"/>
          <w:szCs w:val="28"/>
          <w:lang w:val="uk-UA"/>
        </w:rPr>
        <w:t>. До складу оборотних активів прийнято включати кошти (</w:t>
      </w:r>
      <w:r w:rsidRPr="00510FF5">
        <w:rPr>
          <w:rFonts w:ascii="Times New Roman" w:hAnsi="Times New Roman"/>
          <w:sz w:val="28"/>
          <w:szCs w:val="28"/>
          <w:lang w:val="uk-UA"/>
        </w:rPr>
        <w:t>cash</w:t>
      </w:r>
      <w:r w:rsidRPr="00877BF2">
        <w:rPr>
          <w:rFonts w:ascii="Times New Roman" w:hAnsi="Times New Roman"/>
          <w:sz w:val="28"/>
          <w:szCs w:val="28"/>
          <w:lang w:val="uk-UA"/>
        </w:rPr>
        <w:t>), короткострокові фінансові вкладення (</w:t>
      </w:r>
      <w:r w:rsidRPr="00510FF5">
        <w:rPr>
          <w:rFonts w:ascii="Times New Roman" w:hAnsi="Times New Roman"/>
          <w:sz w:val="28"/>
          <w:szCs w:val="28"/>
          <w:lang w:val="uk-UA"/>
        </w:rPr>
        <w:t>short term investments</w:t>
      </w:r>
      <w:r w:rsidRPr="00877BF2">
        <w:rPr>
          <w:rFonts w:ascii="Times New Roman" w:hAnsi="Times New Roman"/>
          <w:sz w:val="28"/>
          <w:szCs w:val="28"/>
          <w:lang w:val="uk-UA"/>
        </w:rPr>
        <w:t>), дебіторську заборгованість (</w:t>
      </w:r>
      <w:r w:rsidRPr="00510FF5">
        <w:rPr>
          <w:rFonts w:ascii="Times New Roman" w:hAnsi="Times New Roman"/>
          <w:sz w:val="28"/>
          <w:szCs w:val="28"/>
          <w:lang w:val="uk-UA"/>
        </w:rPr>
        <w:t>debtors</w:t>
      </w:r>
      <w:r w:rsidRPr="00877BF2">
        <w:rPr>
          <w:rFonts w:ascii="Times New Roman" w:hAnsi="Times New Roman"/>
          <w:sz w:val="28"/>
          <w:szCs w:val="28"/>
          <w:lang w:val="uk-UA"/>
        </w:rPr>
        <w:t>), запаси сировини, матеріалів, товарів та готової продукції (</w:t>
      </w:r>
      <w:r w:rsidRPr="00510FF5">
        <w:rPr>
          <w:rFonts w:ascii="Times New Roman" w:hAnsi="Times New Roman"/>
          <w:sz w:val="28"/>
          <w:szCs w:val="28"/>
          <w:lang w:val="uk-UA"/>
        </w:rPr>
        <w:t>inventory</w:t>
      </w:r>
      <w:r w:rsidRPr="00877BF2">
        <w:rPr>
          <w:rFonts w:ascii="Times New Roman" w:hAnsi="Times New Roman"/>
          <w:sz w:val="28"/>
          <w:szCs w:val="28"/>
          <w:lang w:val="uk-UA"/>
        </w:rPr>
        <w:t>)</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[175, 183]</w:t>
      </w:r>
      <w:r w:rsidR="009C19A3" w:rsidRPr="009C19A3">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Передбачається, що </w:t>
      </w:r>
      <w:r w:rsidR="00AF22D2">
        <w:rPr>
          <w:rFonts w:ascii="Times New Roman" w:hAnsi="Times New Roman"/>
          <w:sz w:val="28"/>
          <w:szCs w:val="28"/>
          <w:lang w:val="uk-UA"/>
        </w:rPr>
        <w:t xml:space="preserve">чим </w:t>
      </w:r>
      <w:r w:rsidRPr="00877BF2">
        <w:rPr>
          <w:rFonts w:ascii="Times New Roman" w:hAnsi="Times New Roman"/>
          <w:sz w:val="28"/>
          <w:szCs w:val="28"/>
          <w:lang w:val="uk-UA"/>
        </w:rPr>
        <w:t>більш</w:t>
      </w:r>
      <w:r w:rsidR="00AF22D2">
        <w:rPr>
          <w:rFonts w:ascii="Times New Roman" w:hAnsi="Times New Roman"/>
          <w:sz w:val="28"/>
          <w:szCs w:val="28"/>
          <w:lang w:val="uk-UA"/>
        </w:rPr>
        <w:t>ий</w:t>
      </w:r>
      <w:r w:rsidRPr="00877BF2">
        <w:rPr>
          <w:rFonts w:ascii="Times New Roman" w:hAnsi="Times New Roman"/>
          <w:sz w:val="28"/>
          <w:szCs w:val="28"/>
          <w:lang w:val="uk-UA"/>
        </w:rPr>
        <w:t xml:space="preserve"> коефіцієнт ліквідності, тим надійніше становище підприємства, оскільки істотне перевищення поточних активів над короткостроковою заборгованістю</w:t>
      </w:r>
      <w:r w:rsidR="00B303EC">
        <w:rPr>
          <w:rFonts w:ascii="Times New Roman" w:hAnsi="Times New Roman"/>
          <w:sz w:val="28"/>
          <w:szCs w:val="28"/>
          <w:lang w:val="uk-UA"/>
        </w:rPr>
        <w:t>,</w:t>
      </w:r>
      <w:r w:rsidRPr="00877BF2">
        <w:rPr>
          <w:rFonts w:ascii="Times New Roman" w:hAnsi="Times New Roman"/>
          <w:sz w:val="28"/>
          <w:szCs w:val="28"/>
          <w:lang w:val="uk-UA"/>
        </w:rPr>
        <w:t xml:space="preserve"> швидше за все</w:t>
      </w:r>
      <w:r w:rsidR="00B303EC">
        <w:rPr>
          <w:rFonts w:ascii="Times New Roman" w:hAnsi="Times New Roman"/>
          <w:sz w:val="28"/>
          <w:szCs w:val="28"/>
          <w:lang w:val="uk-UA"/>
        </w:rPr>
        <w:t>,</w:t>
      </w:r>
      <w:r w:rsidRPr="00877BF2">
        <w:rPr>
          <w:rFonts w:ascii="Times New Roman" w:hAnsi="Times New Roman"/>
          <w:sz w:val="28"/>
          <w:szCs w:val="28"/>
          <w:lang w:val="uk-UA"/>
        </w:rPr>
        <w:t xml:space="preserve"> допоможе задовольнити претензії кредиторів, якщо товарно-матеріальні запаси будуть реалізовані на примусово організованому розпродажі майна, а рахунки дебіторів затребувані терміново.</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З іншого боку, занадто високий коефіцієнт може бути ознакою неефективного управління підприємством і може свідчити про </w:t>
      </w:r>
      <w:r w:rsidR="00B303EC">
        <w:rPr>
          <w:rFonts w:ascii="Times New Roman" w:hAnsi="Times New Roman"/>
          <w:sz w:val="28"/>
          <w:szCs w:val="28"/>
          <w:lang w:val="uk-UA"/>
        </w:rPr>
        <w:t>«</w:t>
      </w:r>
      <w:r w:rsidRPr="00877BF2">
        <w:rPr>
          <w:rFonts w:ascii="Times New Roman" w:hAnsi="Times New Roman"/>
          <w:sz w:val="28"/>
          <w:szCs w:val="28"/>
          <w:lang w:val="uk-UA"/>
        </w:rPr>
        <w:t>непрацюючі</w:t>
      </w:r>
      <w:r w:rsidR="00B303EC">
        <w:rPr>
          <w:rFonts w:ascii="Times New Roman" w:hAnsi="Times New Roman"/>
          <w:sz w:val="28"/>
          <w:szCs w:val="28"/>
          <w:lang w:val="uk-UA"/>
        </w:rPr>
        <w:t>»</w:t>
      </w:r>
      <w:r w:rsidRPr="00877BF2">
        <w:rPr>
          <w:rFonts w:ascii="Times New Roman" w:hAnsi="Times New Roman"/>
          <w:sz w:val="28"/>
          <w:szCs w:val="28"/>
          <w:lang w:val="uk-UA"/>
        </w:rPr>
        <w:t xml:space="preserve"> кошти, надмірність товарно-матеріальних запасів у порівнянні з нормативними, надмірною дебіторською заборгованістю. Тому практично вважають, що коефіцієнт 2:1 близький до нормального більшість форм діяльності, оскільки його рівень забезпечує компанії надійне покриття короткостроков</w:t>
      </w:r>
      <w:r w:rsidR="00B303EC">
        <w:rPr>
          <w:rFonts w:ascii="Times New Roman" w:hAnsi="Times New Roman"/>
          <w:sz w:val="28"/>
          <w:szCs w:val="28"/>
          <w:lang w:val="uk-UA"/>
        </w:rPr>
        <w:t>ої</w:t>
      </w:r>
      <w:r w:rsidRPr="00877BF2">
        <w:rPr>
          <w:rFonts w:ascii="Times New Roman" w:hAnsi="Times New Roman"/>
          <w:sz w:val="28"/>
          <w:szCs w:val="28"/>
          <w:lang w:val="uk-UA"/>
        </w:rPr>
        <w:t xml:space="preserve"> заборгованості навіть у разі скорочення величини поточних активів на 50%</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[40, c. 213]</w:t>
      </w:r>
      <w:r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Коефіцієнт швидкої ліквідності (</w:t>
      </w:r>
      <w:r w:rsidRPr="00510FF5">
        <w:rPr>
          <w:rFonts w:ascii="Times New Roman" w:hAnsi="Times New Roman"/>
          <w:sz w:val="28"/>
          <w:szCs w:val="28"/>
          <w:lang w:val="uk-UA"/>
        </w:rPr>
        <w:t>quick ratio</w:t>
      </w:r>
      <w:r w:rsidRPr="00877BF2">
        <w:rPr>
          <w:rFonts w:ascii="Times New Roman" w:hAnsi="Times New Roman"/>
          <w:sz w:val="28"/>
          <w:szCs w:val="28"/>
          <w:lang w:val="uk-UA"/>
        </w:rPr>
        <w:t xml:space="preserve">) розраховується аналогічно попередньому з тією лише різницею, що у склад оборотних активів у </w:t>
      </w:r>
      <w:r w:rsidR="00B303EC">
        <w:rPr>
          <w:rFonts w:ascii="Times New Roman" w:hAnsi="Times New Roman"/>
          <w:sz w:val="28"/>
          <w:szCs w:val="28"/>
          <w:lang w:val="uk-UA"/>
        </w:rPr>
        <w:t xml:space="preserve">цьому </w:t>
      </w:r>
      <w:r w:rsidRPr="00877BF2">
        <w:rPr>
          <w:rFonts w:ascii="Times New Roman" w:hAnsi="Times New Roman"/>
          <w:sz w:val="28"/>
          <w:szCs w:val="28"/>
          <w:lang w:val="uk-UA"/>
        </w:rPr>
        <w:t xml:space="preserve">разі не входять запаси сировини, матеріалів, товарів </w:t>
      </w:r>
      <w:r w:rsidR="00B303EC">
        <w:rPr>
          <w:rFonts w:ascii="Times New Roman" w:hAnsi="Times New Roman"/>
          <w:sz w:val="28"/>
          <w:szCs w:val="28"/>
          <w:lang w:val="uk-UA"/>
        </w:rPr>
        <w:t>та готов</w:t>
      </w:r>
      <w:r w:rsidRPr="00877BF2">
        <w:rPr>
          <w:rFonts w:ascii="Times New Roman" w:hAnsi="Times New Roman"/>
          <w:sz w:val="28"/>
          <w:szCs w:val="28"/>
          <w:lang w:val="uk-UA"/>
        </w:rPr>
        <w:t xml:space="preserve">ої продукції. </w:t>
      </w:r>
      <w:r w:rsidRPr="00877BF2">
        <w:rPr>
          <w:rFonts w:ascii="Times New Roman" w:hAnsi="Times New Roman"/>
          <w:sz w:val="28"/>
          <w:szCs w:val="28"/>
          <w:lang w:val="uk-UA"/>
        </w:rPr>
        <w:lastRenderedPageBreak/>
        <w:t>Виняток із складу оборотних коштів запасів пов'язан</w:t>
      </w:r>
      <w:r w:rsidR="00B303EC">
        <w:rPr>
          <w:rFonts w:ascii="Times New Roman" w:hAnsi="Times New Roman"/>
          <w:sz w:val="28"/>
          <w:szCs w:val="28"/>
          <w:lang w:val="uk-UA"/>
        </w:rPr>
        <w:t>ий</w:t>
      </w:r>
      <w:r w:rsidRPr="00877BF2">
        <w:rPr>
          <w:rFonts w:ascii="Times New Roman" w:hAnsi="Times New Roman"/>
          <w:sz w:val="28"/>
          <w:szCs w:val="28"/>
          <w:lang w:val="uk-UA"/>
        </w:rPr>
        <w:t xml:space="preserve"> з тим, що вони можуть становити значну частину оборотних активів, але можуть бути перетворені на кошти за зниженою вартістю, якщо взагалі можуть бути оборотні. Задовільне значення коефіцієнта швидкої ліквідності зазвичай виражається </w:t>
      </w:r>
      <w:r w:rsidR="00B303EC">
        <w:rPr>
          <w:rFonts w:ascii="Times New Roman" w:hAnsi="Times New Roman"/>
          <w:sz w:val="28"/>
          <w:szCs w:val="28"/>
          <w:lang w:val="uk-UA"/>
        </w:rPr>
        <w:t>відношенням</w:t>
      </w:r>
      <w:r w:rsidRPr="00877BF2">
        <w:rPr>
          <w:rFonts w:ascii="Times New Roman" w:hAnsi="Times New Roman"/>
          <w:sz w:val="28"/>
          <w:szCs w:val="28"/>
          <w:lang w:val="uk-UA"/>
        </w:rPr>
        <w:t xml:space="preserve"> 1:1.</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Коефіцієнт абсолютної ліквідності (</w:t>
      </w:r>
      <w:r w:rsidRPr="00510FF5">
        <w:rPr>
          <w:rFonts w:ascii="Times New Roman" w:hAnsi="Times New Roman"/>
          <w:sz w:val="28"/>
          <w:szCs w:val="28"/>
          <w:lang w:val="uk-UA"/>
        </w:rPr>
        <w:t>cash ratio</w:t>
      </w:r>
      <w:r w:rsidRPr="00877BF2">
        <w:rPr>
          <w:rFonts w:ascii="Times New Roman" w:hAnsi="Times New Roman"/>
          <w:sz w:val="28"/>
          <w:szCs w:val="28"/>
          <w:lang w:val="uk-UA"/>
        </w:rPr>
        <w:t>) розраховується як відношення грошових коштів та короткострокових фінансових вкладень до короткострокової заборгованості. Саме цей показник дозволяє визначити, чи є у підприємства ресурси, здатні задовольнити вимоги кредиторів у критичній ситуації</w:t>
      </w:r>
      <w:r w:rsidR="004E2404" w:rsidRPr="004E2404">
        <w:rPr>
          <w:rFonts w:ascii="Times New Roman" w:hAnsi="Times New Roman"/>
          <w:sz w:val="28"/>
          <w:szCs w:val="28"/>
        </w:rPr>
        <w:t xml:space="preserve"> </w:t>
      </w:r>
      <w:r w:rsidR="004E2404" w:rsidRPr="004E2404">
        <w:rPr>
          <w:rFonts w:ascii="Times New Roman" w:eastAsia="Times New Roman" w:hAnsi="Times New Roman"/>
          <w:sz w:val="28"/>
          <w:szCs w:val="28"/>
        </w:rPr>
        <w:t>[54, c. 19]</w:t>
      </w:r>
      <w:r w:rsidRPr="00877BF2">
        <w:rPr>
          <w:rFonts w:ascii="Times New Roman" w:hAnsi="Times New Roman"/>
          <w:sz w:val="28"/>
          <w:szCs w:val="28"/>
          <w:lang w:val="uk-UA"/>
        </w:rPr>
        <w:t xml:space="preserve">. Рекомендаційна нижня межа показника, що наводиться </w:t>
      </w:r>
      <w:r>
        <w:rPr>
          <w:rFonts w:ascii="Times New Roman" w:hAnsi="Times New Roman"/>
          <w:sz w:val="28"/>
          <w:szCs w:val="28"/>
          <w:lang w:val="uk-UA"/>
        </w:rPr>
        <w:t>українськи</w:t>
      </w:r>
      <w:r w:rsidRPr="00877BF2">
        <w:rPr>
          <w:rFonts w:ascii="Times New Roman" w:hAnsi="Times New Roman"/>
          <w:sz w:val="28"/>
          <w:szCs w:val="28"/>
          <w:lang w:val="uk-UA"/>
        </w:rPr>
        <w:t>ми та зарубіжними аналітиками,</w:t>
      </w:r>
      <w:r w:rsidR="00DB1F48">
        <w:rPr>
          <w:rFonts w:ascii="Times New Roman" w:hAnsi="Times New Roman"/>
          <w:sz w:val="28"/>
          <w:szCs w:val="28"/>
          <w:lang w:val="uk-UA"/>
        </w:rPr>
        <w:t xml:space="preserve"> – </w:t>
      </w:r>
      <w:r w:rsidRPr="00877BF2">
        <w:rPr>
          <w:rFonts w:ascii="Times New Roman" w:hAnsi="Times New Roman"/>
          <w:sz w:val="28"/>
          <w:szCs w:val="28"/>
          <w:lang w:val="uk-UA"/>
        </w:rPr>
        <w:t>0,2.</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Показники оборотності активів (</w:t>
      </w:r>
      <w:r w:rsidRPr="00510FF5">
        <w:rPr>
          <w:rFonts w:ascii="Times New Roman" w:hAnsi="Times New Roman"/>
          <w:sz w:val="28"/>
          <w:szCs w:val="28"/>
          <w:lang w:val="uk-UA"/>
        </w:rPr>
        <w:t>assets turnover</w:t>
      </w:r>
      <w:r w:rsidRPr="00877BF2">
        <w:rPr>
          <w:rFonts w:ascii="Times New Roman" w:hAnsi="Times New Roman"/>
          <w:sz w:val="28"/>
          <w:szCs w:val="28"/>
          <w:lang w:val="uk-UA"/>
        </w:rPr>
        <w:t>) та оборотності власного капіталу (</w:t>
      </w:r>
      <w:r w:rsidRPr="00510FF5">
        <w:rPr>
          <w:rFonts w:ascii="Times New Roman" w:hAnsi="Times New Roman"/>
          <w:sz w:val="28"/>
          <w:szCs w:val="28"/>
          <w:lang w:val="uk-UA"/>
        </w:rPr>
        <w:t>equity turnover</w:t>
      </w:r>
      <w:r w:rsidRPr="00877BF2">
        <w:rPr>
          <w:rFonts w:ascii="Times New Roman" w:hAnsi="Times New Roman"/>
          <w:sz w:val="28"/>
          <w:szCs w:val="28"/>
          <w:lang w:val="uk-UA"/>
        </w:rPr>
        <w:t>) характеризують рівень ділової активності підприємства і розраховуються як відношення річного виторгу від реалізації продукції (робіт, послуг) до середньорічної вартості відповідно активів та власного капіталу. Показники ділової активності особливо важливо порівнювати із середньогалузевими, тому що їх величина може суттєво коливатися в залежності від галузі. Наприклад, оборотність активів може варіювати від одиниці для капіталомістких галузей, таких як металургійна, важке машинобудування, автомобільна промисловість</w:t>
      </w:r>
      <w:r w:rsidR="00B303EC">
        <w:rPr>
          <w:rFonts w:ascii="Times New Roman" w:hAnsi="Times New Roman"/>
          <w:sz w:val="28"/>
          <w:szCs w:val="28"/>
          <w:lang w:val="uk-UA"/>
        </w:rPr>
        <w:t>,</w:t>
      </w:r>
      <w:r w:rsidRPr="00877BF2">
        <w:rPr>
          <w:rFonts w:ascii="Times New Roman" w:hAnsi="Times New Roman"/>
          <w:sz w:val="28"/>
          <w:szCs w:val="28"/>
          <w:lang w:val="uk-UA"/>
        </w:rPr>
        <w:t xml:space="preserve"> до десяти для торгових підприємств. Практичне використання показника оборотності активів є значною мірою вразливим для аналітичних цілей через те, що на балансі підприємства містяться активи різних типів за рівнями цін, що часто дуже різняться, відносяться до різних періодів у минулому</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[63, c. 257]</w:t>
      </w:r>
      <w:r w:rsidRPr="00877BF2">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Аналіз витрат підприємства передбачає насамперед дослідження їх структури з економічних елементів, і навіть співвідношення умовно змінних і умовно постійних витрат. Підприємства з високою часткою постійних витрат зможуть зафіксувати суттєве погіршення фінансових результатів навіть за невеликого скорочення обсягів продажу, а також значний приріст прибутку навіть за помірного приросту обсягів реалізації.</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lastRenderedPageBreak/>
        <w:t>Збірність платежів (</w:t>
      </w:r>
      <w:r w:rsidRPr="009753DF">
        <w:rPr>
          <w:rFonts w:ascii="Times New Roman" w:hAnsi="Times New Roman"/>
          <w:sz w:val="28"/>
          <w:szCs w:val="28"/>
          <w:lang w:val="uk-UA"/>
        </w:rPr>
        <w:t>collection rate</w:t>
      </w:r>
      <w:r w:rsidRPr="00877BF2">
        <w:rPr>
          <w:rFonts w:ascii="Times New Roman" w:hAnsi="Times New Roman"/>
          <w:sz w:val="28"/>
          <w:szCs w:val="28"/>
          <w:lang w:val="uk-UA"/>
        </w:rPr>
        <w:t xml:space="preserve">), тобто </w:t>
      </w:r>
      <w:r w:rsidR="000840C2">
        <w:rPr>
          <w:rFonts w:ascii="Times New Roman" w:hAnsi="Times New Roman"/>
          <w:sz w:val="28"/>
          <w:szCs w:val="28"/>
          <w:lang w:val="uk-UA"/>
        </w:rPr>
        <w:t>відношення</w:t>
      </w:r>
      <w:r w:rsidRPr="00877BF2">
        <w:rPr>
          <w:rFonts w:ascii="Times New Roman" w:hAnsi="Times New Roman"/>
          <w:sz w:val="28"/>
          <w:szCs w:val="28"/>
          <w:lang w:val="uk-UA"/>
        </w:rPr>
        <w:t xml:space="preserve"> виручки від продукції, оплаченої і відвантаженої, і аналіз дебіторської і кредиторської заборгованості особливо важливі </w:t>
      </w:r>
      <w:r w:rsidR="000840C2">
        <w:rPr>
          <w:rFonts w:ascii="Times New Roman" w:hAnsi="Times New Roman"/>
          <w:sz w:val="28"/>
          <w:szCs w:val="28"/>
          <w:lang w:val="uk-UA"/>
        </w:rPr>
        <w:t xml:space="preserve">для </w:t>
      </w:r>
      <w:r w:rsidRPr="00877BF2">
        <w:rPr>
          <w:rFonts w:ascii="Times New Roman" w:hAnsi="Times New Roman"/>
          <w:sz w:val="28"/>
          <w:szCs w:val="28"/>
          <w:lang w:val="uk-UA"/>
        </w:rPr>
        <w:t xml:space="preserve">дослідження </w:t>
      </w:r>
      <w:r w:rsidR="00576347">
        <w:rPr>
          <w:rFonts w:ascii="Times New Roman" w:hAnsi="Times New Roman"/>
          <w:sz w:val="28"/>
          <w:szCs w:val="28"/>
          <w:lang w:val="uk-UA"/>
        </w:rPr>
        <w:t>українських</w:t>
      </w:r>
      <w:r w:rsidR="00576347" w:rsidRPr="00877BF2">
        <w:rPr>
          <w:rFonts w:ascii="Times New Roman" w:hAnsi="Times New Roman"/>
          <w:sz w:val="28"/>
          <w:szCs w:val="28"/>
          <w:lang w:val="uk-UA"/>
        </w:rPr>
        <w:t xml:space="preserve"> </w:t>
      </w:r>
      <w:r w:rsidRPr="00877BF2">
        <w:rPr>
          <w:rFonts w:ascii="Times New Roman" w:hAnsi="Times New Roman"/>
          <w:sz w:val="28"/>
          <w:szCs w:val="28"/>
          <w:lang w:val="uk-UA"/>
        </w:rPr>
        <w:t>підприємств, які особливо сильно вражені кризою неплатежів</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[77, c. 210, 184]</w:t>
      </w:r>
      <w:r w:rsidRPr="005670E0">
        <w:rPr>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Якісною характеристикою достовірності та обґрунтованості всіх показників фінансового стану підприємства для інвестора є наявність у підприємства бухгалтерської звітності за стандартами </w:t>
      </w:r>
      <w:r w:rsidRPr="009753DF">
        <w:rPr>
          <w:rFonts w:ascii="Times New Roman" w:hAnsi="Times New Roman"/>
          <w:sz w:val="28"/>
          <w:szCs w:val="28"/>
          <w:lang w:val="uk-UA"/>
        </w:rPr>
        <w:t>IAS</w:t>
      </w:r>
      <w:r w:rsidRPr="00877BF2">
        <w:rPr>
          <w:rFonts w:ascii="Times New Roman" w:hAnsi="Times New Roman"/>
          <w:sz w:val="28"/>
          <w:szCs w:val="28"/>
          <w:lang w:val="uk-UA"/>
        </w:rPr>
        <w:t xml:space="preserve"> або </w:t>
      </w:r>
      <w:r w:rsidRPr="009753DF">
        <w:rPr>
          <w:rFonts w:ascii="Times New Roman" w:hAnsi="Times New Roman"/>
          <w:sz w:val="28"/>
          <w:szCs w:val="28"/>
          <w:lang w:val="uk-UA"/>
        </w:rPr>
        <w:t xml:space="preserve">US GAAP </w:t>
      </w:r>
      <w:r w:rsidRPr="00877BF2">
        <w:rPr>
          <w:rFonts w:ascii="Times New Roman" w:hAnsi="Times New Roman"/>
          <w:sz w:val="28"/>
          <w:szCs w:val="28"/>
          <w:lang w:val="uk-UA"/>
        </w:rPr>
        <w:t>та наявність аудиторського висновку авторитетної аудиторської фірми</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[116]</w:t>
      </w:r>
      <w:r w:rsidR="009C19A3" w:rsidRPr="009C19A3">
        <w:rPr>
          <w:rFonts w:ascii="Times New Roman" w:hAnsi="Times New Roman"/>
          <w:sz w:val="28"/>
          <w:szCs w:val="28"/>
          <w:lang w:val="uk-UA"/>
        </w:rPr>
        <w:t>.</w:t>
      </w:r>
    </w:p>
    <w:p w:rsidR="009C19A3" w:rsidRPr="009C19A3" w:rsidRDefault="009C19A3" w:rsidP="009C19A3">
      <w:pPr>
        <w:spacing w:after="0" w:line="360" w:lineRule="auto"/>
        <w:ind w:firstLine="709"/>
        <w:jc w:val="both"/>
        <w:rPr>
          <w:rFonts w:ascii="Times New Roman" w:hAnsi="Times New Roman"/>
          <w:sz w:val="28"/>
          <w:szCs w:val="28"/>
          <w:lang w:val="uk-UA"/>
        </w:rPr>
      </w:pPr>
      <w:r w:rsidRPr="009C19A3">
        <w:rPr>
          <w:rFonts w:ascii="Times New Roman" w:hAnsi="Times New Roman"/>
          <w:sz w:val="28"/>
          <w:szCs w:val="28"/>
          <w:lang w:val="uk-UA"/>
        </w:rPr>
        <w:t xml:space="preserve">У цьому підрозділі шестиблокова система використовується для первинного збирання показників, а чотириблокова — для їх систематизації та побудови авторського економічного механізму. Такий поділ дає змогу уникнути подвійного врахування показників і поєднати фінансові результати, </w:t>
      </w:r>
      <w:r w:rsidRPr="009C19A3">
        <w:rPr>
          <w:rFonts w:ascii="Times New Roman" w:eastAsia="Times New Roman" w:hAnsi="Times New Roman"/>
          <w:sz w:val="28"/>
          <w:szCs w:val="28"/>
          <w:lang w:val="uk-UA"/>
        </w:rPr>
        <w:t>технічну спроможність, якість корпоративного управління та зовнішній ризик [32]</w:t>
      </w:r>
      <w:r>
        <w:rPr>
          <w:rFonts w:ascii="Times New Roman" w:hAnsi="Times New Roman"/>
          <w:sz w:val="28"/>
          <w:szCs w:val="28"/>
          <w:lang w:val="uk-UA"/>
        </w:rPr>
        <w:t>.</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 xml:space="preserve">Не зупиняючись докладно </w:t>
      </w:r>
      <w:r w:rsidR="000840C2">
        <w:rPr>
          <w:rFonts w:ascii="Times New Roman" w:hAnsi="Times New Roman"/>
          <w:sz w:val="28"/>
          <w:szCs w:val="28"/>
          <w:lang w:val="uk-UA"/>
        </w:rPr>
        <w:t xml:space="preserve">на </w:t>
      </w:r>
      <w:r w:rsidR="00336F0C">
        <w:rPr>
          <w:rFonts w:ascii="Times New Roman" w:hAnsi="Times New Roman"/>
          <w:sz w:val="28"/>
          <w:szCs w:val="28"/>
          <w:lang w:val="uk-UA"/>
        </w:rPr>
        <w:t>п’</w:t>
      </w:r>
      <w:r w:rsidRPr="00877BF2">
        <w:rPr>
          <w:rFonts w:ascii="Times New Roman" w:hAnsi="Times New Roman"/>
          <w:sz w:val="28"/>
          <w:szCs w:val="28"/>
          <w:lang w:val="uk-UA"/>
        </w:rPr>
        <w:t>яти інших блоках показників, відзначимо, що аналіз інвестиційної привабливості підприємства логічно розпочати з дослідження узагальнюючих кількісних показників, які характеризують найважливіші аспекти фінансово-господарськ</w:t>
      </w:r>
      <w:r w:rsidR="000840C2">
        <w:rPr>
          <w:rFonts w:ascii="Times New Roman" w:hAnsi="Times New Roman"/>
          <w:sz w:val="28"/>
          <w:szCs w:val="28"/>
          <w:lang w:val="uk-UA"/>
        </w:rPr>
        <w:t>ої</w:t>
      </w:r>
      <w:r w:rsidRPr="00877BF2">
        <w:rPr>
          <w:rFonts w:ascii="Times New Roman" w:hAnsi="Times New Roman"/>
          <w:sz w:val="28"/>
          <w:szCs w:val="28"/>
          <w:lang w:val="uk-UA"/>
        </w:rPr>
        <w:t xml:space="preserve"> діяльн</w:t>
      </w:r>
      <w:r w:rsidR="000840C2">
        <w:rPr>
          <w:rFonts w:ascii="Times New Roman" w:hAnsi="Times New Roman"/>
          <w:sz w:val="28"/>
          <w:szCs w:val="28"/>
          <w:lang w:val="uk-UA"/>
        </w:rPr>
        <w:t>о</w:t>
      </w:r>
      <w:r w:rsidRPr="00877BF2">
        <w:rPr>
          <w:rFonts w:ascii="Times New Roman" w:hAnsi="Times New Roman"/>
          <w:sz w:val="28"/>
          <w:szCs w:val="28"/>
          <w:lang w:val="uk-UA"/>
        </w:rPr>
        <w:t>ст</w:t>
      </w:r>
      <w:r w:rsidR="000840C2">
        <w:rPr>
          <w:rFonts w:ascii="Times New Roman" w:hAnsi="Times New Roman"/>
          <w:sz w:val="28"/>
          <w:szCs w:val="28"/>
          <w:lang w:val="uk-UA"/>
        </w:rPr>
        <w:t>і</w:t>
      </w:r>
      <w:r w:rsidRPr="00877BF2">
        <w:rPr>
          <w:rFonts w:ascii="Times New Roman" w:hAnsi="Times New Roman"/>
          <w:sz w:val="28"/>
          <w:szCs w:val="28"/>
          <w:lang w:val="uk-UA"/>
        </w:rPr>
        <w:t xml:space="preserve"> підприємства міста і які можна розрахувати з урахуванням фінансової звітності підприємства міста і даних галузевої статистики. Такими показниками є:</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рентабельність продажів з чистого прибутку;</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питома вага власного капіталу підприємства у валюті балансу;</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коефіцієнт швидкої ліквідності;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оборотність активів;</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оборотність дебіторської та кредиторської заборгованості підприємства;</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коефіцієнт зносу основних фондів;</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питомі витрати сировини (палива, енергії) виробництва одиниці виробленої продукції;</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коефіцієнт використання потужності;</w:t>
      </w:r>
    </w:p>
    <w:p w:rsidR="00363C28" w:rsidRPr="00877BF2"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0840C2">
        <w:rPr>
          <w:rFonts w:ascii="Times New Roman" w:hAnsi="Times New Roman"/>
          <w:sz w:val="28"/>
          <w:szCs w:val="28"/>
          <w:lang w:val="uk-UA"/>
        </w:rPr>
        <w:t xml:space="preserve"> </w:t>
      </w:r>
      <w:r w:rsidR="00363C28" w:rsidRPr="00877BF2">
        <w:rPr>
          <w:rFonts w:ascii="Times New Roman" w:hAnsi="Times New Roman"/>
          <w:sz w:val="28"/>
          <w:szCs w:val="28"/>
          <w:lang w:val="uk-UA"/>
        </w:rPr>
        <w:t>продуктивність праці.</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На першому етапі дослідження узагальнюючих показників підприємства, через їх порівняння з середньогалузевими, виявляються найкращі підприємства галузі за допомогою відсікання компаній, що мають найгірші показники. При цьому використовується метод угруповань, коли спочатку відсікаються підприємства, всі узагальнюючі показники яких гірші від середньогалузевих, а потім ті підприємства, у яких хоча б один з узагальнюючих показників істотно гірший від середньогалузевого</w:t>
      </w:r>
      <w:r w:rsidR="004E2404" w:rsidRPr="004E2404">
        <w:rPr>
          <w:rFonts w:ascii="Times New Roman" w:hAnsi="Times New Roman"/>
          <w:sz w:val="28"/>
          <w:szCs w:val="28"/>
          <w:lang w:val="uk-UA"/>
        </w:rPr>
        <w:t xml:space="preserve"> </w:t>
      </w:r>
      <w:r w:rsidR="004E2404" w:rsidRPr="004E2404">
        <w:rPr>
          <w:rFonts w:ascii="Times New Roman" w:eastAsia="Times New Roman" w:hAnsi="Times New Roman"/>
          <w:sz w:val="28"/>
          <w:szCs w:val="28"/>
          <w:lang w:val="uk-UA"/>
        </w:rPr>
        <w:t>[85, c. 11]</w:t>
      </w:r>
      <w:r w:rsidRPr="00877BF2">
        <w:rPr>
          <w:rFonts w:ascii="Times New Roman" w:hAnsi="Times New Roman"/>
          <w:sz w:val="28"/>
          <w:szCs w:val="28"/>
          <w:lang w:val="uk-UA"/>
        </w:rPr>
        <w:t>. Міра суттєвості залежить від ступеня відхилення показників від середньогалузевих та визначається методами математичної статистики.</w:t>
      </w:r>
    </w:p>
    <w:p w:rsidR="00363C28" w:rsidRPr="00877BF2"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На другому етапі дослідження узагальнюючих показників виявляються кращі підприємства галузі, а також робиться попередній висновок про інвестиційну привабливість підприємства, що цікавить, за допомогою ранжирування підприємств галузі за ступенем їх інвестиційної привабливості.</w:t>
      </w:r>
    </w:p>
    <w:p w:rsidR="00363C28" w:rsidRDefault="00363C28" w:rsidP="00363C28">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Висновок про інвестиційну привабливість підприємства</w:t>
      </w:r>
      <w:r w:rsidR="00280531">
        <w:rPr>
          <w:rFonts w:ascii="Times New Roman" w:hAnsi="Times New Roman"/>
          <w:sz w:val="28"/>
          <w:szCs w:val="28"/>
          <w:lang w:val="uk-UA"/>
        </w:rPr>
        <w:t>,</w:t>
      </w:r>
      <w:r w:rsidRPr="00877BF2">
        <w:rPr>
          <w:rFonts w:ascii="Times New Roman" w:hAnsi="Times New Roman"/>
          <w:sz w:val="28"/>
          <w:szCs w:val="28"/>
          <w:lang w:val="uk-UA"/>
        </w:rPr>
        <w:t xml:space="preserve"> виходячи з результатів порівняльного аналізу узагальнюючих кількісних показників</w:t>
      </w:r>
      <w:r w:rsidR="00280531">
        <w:rPr>
          <w:rFonts w:ascii="Times New Roman" w:hAnsi="Times New Roman"/>
          <w:sz w:val="28"/>
          <w:szCs w:val="28"/>
          <w:lang w:val="uk-UA"/>
        </w:rPr>
        <w:t>,</w:t>
      </w:r>
      <w:r w:rsidRPr="00877BF2">
        <w:rPr>
          <w:rFonts w:ascii="Times New Roman" w:hAnsi="Times New Roman"/>
          <w:sz w:val="28"/>
          <w:szCs w:val="28"/>
          <w:lang w:val="uk-UA"/>
        </w:rPr>
        <w:t xml:space="preserve"> має попередній характер. Для остаточного висновку про інвестиційну привабливість підприємства та визначення його сильних і слабких сторін необхідний глибший аналіз всіх блоків (розділів) показників, використовуючи методи порівняння та обробки рядів динаміки (для кількісних показників) та </w:t>
      </w:r>
      <w:r w:rsidRPr="00400BAB">
        <w:rPr>
          <w:rFonts w:ascii="Times New Roman" w:hAnsi="Times New Roman"/>
          <w:sz w:val="28"/>
          <w:szCs w:val="28"/>
          <w:lang w:val="uk-UA"/>
        </w:rPr>
        <w:t>експертних оцінок (для якісних показників) та ризику.</w:t>
      </w:r>
    </w:p>
    <w:p w:rsidR="0055571B" w:rsidRDefault="0055571B">
      <w:pPr>
        <w:spacing w:after="0" w:line="240" w:lineRule="auto"/>
        <w:rPr>
          <w:rStyle w:val="docdata"/>
          <w:rFonts w:ascii="Times New Roman" w:eastAsia="Aptos" w:hAnsi="Times New Roman"/>
          <w:b/>
          <w:color w:val="000000"/>
          <w:kern w:val="2"/>
          <w:sz w:val="28"/>
          <w:szCs w:val="28"/>
          <w:lang w:val="uk-UA"/>
        </w:rPr>
      </w:pPr>
      <w:r>
        <w:rPr>
          <w:rStyle w:val="docdata"/>
          <w:rFonts w:ascii="Times New Roman" w:eastAsia="Aptos" w:hAnsi="Times New Roman"/>
          <w:b/>
          <w:color w:val="000000"/>
          <w:kern w:val="2"/>
          <w:sz w:val="28"/>
          <w:szCs w:val="28"/>
          <w:lang w:val="uk-UA"/>
        </w:rPr>
        <w:br w:type="page"/>
      </w:r>
    </w:p>
    <w:p w:rsidR="00363C28" w:rsidRPr="004805E1" w:rsidRDefault="00363C28" w:rsidP="00165833">
      <w:pPr>
        <w:spacing w:after="0" w:line="360" w:lineRule="auto"/>
        <w:ind w:firstLine="709"/>
        <w:jc w:val="both"/>
        <w:rPr>
          <w:rStyle w:val="docdata"/>
          <w:rFonts w:ascii="Times New Roman" w:eastAsia="Aptos" w:hAnsi="Times New Roman"/>
          <w:b/>
          <w:color w:val="000000"/>
          <w:kern w:val="2"/>
          <w:sz w:val="28"/>
          <w:szCs w:val="28"/>
          <w:lang w:val="uk-UA"/>
        </w:rPr>
      </w:pPr>
      <w:r w:rsidRPr="00400BAB">
        <w:rPr>
          <w:rStyle w:val="docdata"/>
          <w:rFonts w:ascii="Times New Roman" w:eastAsia="Aptos" w:hAnsi="Times New Roman"/>
          <w:b/>
          <w:color w:val="000000"/>
          <w:kern w:val="2"/>
          <w:sz w:val="28"/>
          <w:szCs w:val="28"/>
          <w:lang w:val="uk-UA"/>
        </w:rPr>
        <w:lastRenderedPageBreak/>
        <w:t xml:space="preserve">1.3. </w:t>
      </w:r>
      <w:r w:rsidR="004805E1">
        <w:rPr>
          <w:rFonts w:ascii="Times New Roman" w:hAnsi="Times New Roman"/>
          <w:b/>
          <w:sz w:val="28"/>
          <w:szCs w:val="28"/>
          <w:lang w:val="uk-UA"/>
        </w:rPr>
        <w:t>К</w:t>
      </w:r>
      <w:r w:rsidR="004805E1" w:rsidRPr="004805E1">
        <w:rPr>
          <w:rFonts w:ascii="Times New Roman" w:hAnsi="Times New Roman"/>
          <w:b/>
          <w:sz w:val="28"/>
          <w:szCs w:val="28"/>
          <w:lang w:val="uk-UA"/>
        </w:rPr>
        <w:t>огнітивне моделювання розвитку інвестиційної привабливості сільськогосподарських підприємств</w:t>
      </w:r>
    </w:p>
    <w:p w:rsidR="00363C28" w:rsidRPr="00400BAB" w:rsidRDefault="00363C28" w:rsidP="00165833">
      <w:pPr>
        <w:spacing w:after="0" w:line="360" w:lineRule="auto"/>
        <w:ind w:firstLine="709"/>
        <w:jc w:val="both"/>
        <w:rPr>
          <w:rStyle w:val="docdata"/>
          <w:rFonts w:ascii="Times New Roman" w:eastAsia="Aptos" w:hAnsi="Times New Roman"/>
          <w:color w:val="000000"/>
          <w:kern w:val="2"/>
          <w:sz w:val="28"/>
          <w:szCs w:val="28"/>
          <w:lang w:val="uk-UA"/>
        </w:rPr>
      </w:pPr>
    </w:p>
    <w:p w:rsidR="00363C28" w:rsidRPr="00164184" w:rsidRDefault="00363C28" w:rsidP="00363C28">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Дослідження проблеми, пов'язаної з необхідністю інвестицій, називається більшістю дослідників у галузі прийняття інвестиційних рішень одним з основних та найскладніших. Саме цей етап є найменш дослідженим, а процес структуризації</w:t>
      </w:r>
      <w:r w:rsidRPr="00CB0434">
        <w:rPr>
          <w:rFonts w:ascii="Times New Roman" w:hAnsi="Times New Roman"/>
          <w:sz w:val="28"/>
          <w:szCs w:val="28"/>
          <w:lang w:val="uk-UA"/>
        </w:rPr>
        <w:t xml:space="preserve"> </w:t>
      </w:r>
      <w:r w:rsidRPr="00164184">
        <w:rPr>
          <w:rFonts w:ascii="Times New Roman" w:hAnsi="Times New Roman"/>
          <w:sz w:val="28"/>
          <w:szCs w:val="28"/>
          <w:lang w:val="uk-UA"/>
        </w:rPr>
        <w:t xml:space="preserve">проблеми, пов'язаної з необхідністю та доцільністю інвестиційного </w:t>
      </w:r>
      <w:r w:rsidR="00DB1F48" w:rsidRPr="00164184">
        <w:rPr>
          <w:rFonts w:ascii="Times New Roman" w:hAnsi="Times New Roman"/>
          <w:sz w:val="28"/>
          <w:szCs w:val="28"/>
          <w:lang w:val="uk-UA"/>
        </w:rPr>
        <w:t>проєк</w:t>
      </w:r>
      <w:r w:rsidRPr="00164184">
        <w:rPr>
          <w:rFonts w:ascii="Times New Roman" w:hAnsi="Times New Roman"/>
          <w:sz w:val="28"/>
          <w:szCs w:val="28"/>
          <w:lang w:val="uk-UA"/>
        </w:rPr>
        <w:t>ту</w:t>
      </w:r>
      <w:r w:rsidR="000D0803" w:rsidRPr="00164184">
        <w:rPr>
          <w:rFonts w:ascii="Times New Roman" w:hAnsi="Times New Roman"/>
          <w:sz w:val="28"/>
          <w:szCs w:val="28"/>
          <w:lang w:val="uk-UA"/>
        </w:rPr>
        <w:t xml:space="preserve"> з </w:t>
      </w:r>
      <w:r w:rsidR="000D0803" w:rsidRPr="004C5906">
        <w:rPr>
          <w:rFonts w:ascii="Times New Roman" w:hAnsi="Times New Roman"/>
          <w:sz w:val="28"/>
          <w:szCs w:val="28"/>
          <w:lang w:val="uk-UA"/>
        </w:rPr>
        <w:t>інвестиційної привабливості</w:t>
      </w:r>
      <w:r w:rsidR="00280531" w:rsidRPr="00164184">
        <w:rPr>
          <w:rFonts w:ascii="Times New Roman" w:hAnsi="Times New Roman"/>
          <w:sz w:val="28"/>
          <w:szCs w:val="28"/>
          <w:lang w:val="uk-UA"/>
        </w:rPr>
        <w:t>,</w:t>
      </w:r>
      <w:r w:rsidRPr="00164184">
        <w:rPr>
          <w:rFonts w:ascii="Times New Roman" w:hAnsi="Times New Roman"/>
          <w:sz w:val="28"/>
          <w:szCs w:val="28"/>
          <w:lang w:val="uk-UA"/>
        </w:rPr>
        <w:t xml:space="preserve"> продовжує залишатися мистецтвом, творчим процесом уявлення вихідної слабоструктурованої проблеми у вигляді безлічі добре виз</w:t>
      </w:r>
      <w:r w:rsidR="004E2404" w:rsidRPr="00164184">
        <w:rPr>
          <w:rFonts w:ascii="Times New Roman" w:hAnsi="Times New Roman"/>
          <w:sz w:val="28"/>
          <w:szCs w:val="28"/>
          <w:lang w:val="uk-UA"/>
        </w:rPr>
        <w:t xml:space="preserve">начених елементів та відносин </w:t>
      </w:r>
      <w:r w:rsidR="004E2404" w:rsidRPr="00164184">
        <w:rPr>
          <w:rFonts w:ascii="Times New Roman" w:eastAsia="Times New Roman" w:hAnsi="Times New Roman"/>
          <w:sz w:val="28"/>
          <w:szCs w:val="28"/>
          <w:lang w:val="uk-UA"/>
        </w:rPr>
        <w:t>[106, c. 7]</w:t>
      </w:r>
      <w:r w:rsidRPr="0016418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Найбільш поширеним підходом до здійснення процесу структуризації будь-</w:t>
      </w:r>
      <w:r w:rsidR="00336F0C">
        <w:rPr>
          <w:rFonts w:ascii="Times New Roman" w:hAnsi="Times New Roman"/>
          <w:sz w:val="28"/>
          <w:szCs w:val="28"/>
          <w:lang w:val="uk-UA"/>
        </w:rPr>
        <w:t>якої проблеми, у тому числі пов’</w:t>
      </w:r>
      <w:r w:rsidRPr="00CB0434">
        <w:rPr>
          <w:rFonts w:ascii="Times New Roman" w:hAnsi="Times New Roman"/>
          <w:sz w:val="28"/>
          <w:szCs w:val="28"/>
          <w:lang w:val="uk-UA"/>
        </w:rPr>
        <w:t xml:space="preserve">язаної з формуванням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є методологія системного аналізу </w:t>
      </w:r>
      <w:r w:rsidRPr="00CB0434">
        <w:rPr>
          <w:rFonts w:ascii="Times New Roman" w:eastAsia="Times New Roman" w:hAnsi="Times New Roman"/>
          <w:sz w:val="28"/>
          <w:szCs w:val="28"/>
          <w:lang w:val="uk-UA"/>
        </w:rPr>
        <w:t>[14, c. 11]</w:t>
      </w:r>
      <w:r w:rsidRPr="00CB0434">
        <w:rPr>
          <w:rFonts w:ascii="Times New Roman" w:hAnsi="Times New Roman"/>
          <w:sz w:val="28"/>
          <w:szCs w:val="28"/>
          <w:lang w:val="uk-UA"/>
        </w:rPr>
        <w:t>, з урахуванням якого декомпозиція проблеми здійснюється відповідно до загальносистемних характеристик об'єкта інвестування та його зовнішнього середовища.</w:t>
      </w:r>
    </w:p>
    <w:p w:rsidR="00336F0C" w:rsidRDefault="00363C28" w:rsidP="00336F0C">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Останнім часом набув поширення, зокрема під час аналізу бізнес-процесів, метод структурного системного аналізу. Для даного методу характерне використання певних способів подолання</w:t>
      </w:r>
      <w:r w:rsidR="00336F0C">
        <w:rPr>
          <w:rFonts w:ascii="Times New Roman" w:hAnsi="Times New Roman"/>
          <w:sz w:val="28"/>
          <w:szCs w:val="28"/>
          <w:lang w:val="uk-UA"/>
        </w:rPr>
        <w:t xml:space="preserve"> факторів складності, таких як:</w:t>
      </w:r>
    </w:p>
    <w:p w:rsidR="00336F0C" w:rsidRDefault="00336F0C" w:rsidP="00336F0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CB0434">
        <w:rPr>
          <w:rFonts w:ascii="Times New Roman" w:hAnsi="Times New Roman"/>
          <w:sz w:val="28"/>
          <w:szCs w:val="28"/>
          <w:lang w:val="uk-UA"/>
        </w:rPr>
        <w:t xml:space="preserve">ієрархічне подання інформації про проблему; </w:t>
      </w:r>
    </w:p>
    <w:p w:rsidR="00336F0C" w:rsidRDefault="00336F0C" w:rsidP="00336F0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CB0434">
        <w:rPr>
          <w:rFonts w:ascii="Times New Roman" w:hAnsi="Times New Roman"/>
          <w:sz w:val="28"/>
          <w:szCs w:val="28"/>
          <w:lang w:val="uk-UA"/>
        </w:rPr>
        <w:t xml:space="preserve">обмеження числа елементів </w:t>
      </w:r>
      <w:r w:rsidR="00280531">
        <w:rPr>
          <w:rFonts w:ascii="Times New Roman" w:hAnsi="Times New Roman"/>
          <w:sz w:val="28"/>
          <w:szCs w:val="28"/>
          <w:lang w:val="uk-UA"/>
        </w:rPr>
        <w:t xml:space="preserve">на </w:t>
      </w:r>
      <w:r w:rsidR="00363C28" w:rsidRPr="00CB0434">
        <w:rPr>
          <w:rFonts w:ascii="Times New Roman" w:hAnsi="Times New Roman"/>
          <w:sz w:val="28"/>
          <w:szCs w:val="28"/>
          <w:lang w:val="uk-UA"/>
        </w:rPr>
        <w:t xml:space="preserve">кожному з рівнів; обмеження контексту, що включає лише суттєві </w:t>
      </w:r>
      <w:r w:rsidR="00280531">
        <w:rPr>
          <w:rFonts w:ascii="Times New Roman" w:hAnsi="Times New Roman"/>
          <w:sz w:val="28"/>
          <w:szCs w:val="28"/>
          <w:lang w:val="uk-UA"/>
        </w:rPr>
        <w:t xml:space="preserve">на </w:t>
      </w:r>
      <w:r>
        <w:rPr>
          <w:rFonts w:ascii="Times New Roman" w:hAnsi="Times New Roman"/>
          <w:sz w:val="28"/>
          <w:szCs w:val="28"/>
          <w:lang w:val="uk-UA"/>
        </w:rPr>
        <w:t xml:space="preserve">кожному рівні чинники; </w:t>
      </w:r>
    </w:p>
    <w:p w:rsidR="00363C28" w:rsidRPr="00CB0434" w:rsidRDefault="00336F0C" w:rsidP="00336F0C">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w:t>
      </w:r>
      <w:r w:rsidR="00363C28" w:rsidRPr="00CB0434">
        <w:rPr>
          <w:rFonts w:ascii="Times New Roman" w:hAnsi="Times New Roman"/>
          <w:sz w:val="28"/>
          <w:szCs w:val="28"/>
          <w:lang w:val="uk-UA"/>
        </w:rPr>
        <w:t>використання строгих (стандартизованих) формальних правил запису.</w:t>
      </w:r>
    </w:p>
    <w:p w:rsidR="00363C28" w:rsidRPr="00752B0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Як правило, структуризація здійснюється шляхом ітераційної процедури, що включає в себе аналіз, деталізацію, узагальнення та узгодження, що </w:t>
      </w:r>
      <w:r w:rsidRPr="00752B04">
        <w:rPr>
          <w:rFonts w:ascii="Times New Roman" w:hAnsi="Times New Roman"/>
          <w:sz w:val="28"/>
          <w:szCs w:val="28"/>
          <w:lang w:val="uk-UA"/>
        </w:rPr>
        <w:t xml:space="preserve">послідовно наближають </w:t>
      </w:r>
      <w:r w:rsidR="00DB1F48" w:rsidRPr="00752B04">
        <w:rPr>
          <w:rFonts w:ascii="Times New Roman" w:hAnsi="Times New Roman"/>
          <w:sz w:val="28"/>
          <w:szCs w:val="28"/>
          <w:lang w:val="uk-UA"/>
        </w:rPr>
        <w:t>проєк</w:t>
      </w:r>
      <w:r w:rsidRPr="00752B04">
        <w:rPr>
          <w:rFonts w:ascii="Times New Roman" w:hAnsi="Times New Roman"/>
          <w:sz w:val="28"/>
          <w:szCs w:val="28"/>
          <w:lang w:val="uk-UA"/>
        </w:rPr>
        <w:t>тувальників та осіб, що приймають рішення (ОПР)</w:t>
      </w:r>
      <w:r w:rsidR="00280531" w:rsidRPr="00752B04">
        <w:rPr>
          <w:rFonts w:ascii="Times New Roman" w:hAnsi="Times New Roman"/>
          <w:b/>
          <w:sz w:val="28"/>
          <w:szCs w:val="28"/>
          <w:lang w:val="uk-UA"/>
        </w:rPr>
        <w:t>,</w:t>
      </w:r>
      <w:r w:rsidRPr="00752B04">
        <w:rPr>
          <w:rFonts w:ascii="Times New Roman" w:hAnsi="Times New Roman"/>
          <w:b/>
          <w:sz w:val="28"/>
          <w:szCs w:val="28"/>
          <w:lang w:val="uk-UA"/>
        </w:rPr>
        <w:t xml:space="preserve"> </w:t>
      </w:r>
      <w:r w:rsidRPr="00752B04">
        <w:rPr>
          <w:rFonts w:ascii="Times New Roman" w:hAnsi="Times New Roman"/>
          <w:sz w:val="28"/>
          <w:szCs w:val="28"/>
          <w:lang w:val="uk-UA"/>
        </w:rPr>
        <w:t>до деякого задовільного результату.</w:t>
      </w:r>
    </w:p>
    <w:p w:rsidR="00363C28" w:rsidRPr="00CB0434" w:rsidRDefault="000D0803" w:rsidP="00363C28">
      <w:pPr>
        <w:spacing w:after="0" w:line="360" w:lineRule="auto"/>
        <w:ind w:firstLine="709"/>
        <w:jc w:val="both"/>
        <w:rPr>
          <w:rFonts w:ascii="Times New Roman" w:hAnsi="Times New Roman"/>
          <w:sz w:val="28"/>
          <w:szCs w:val="28"/>
          <w:lang w:val="uk-UA"/>
        </w:rPr>
      </w:pPr>
      <w:r w:rsidRPr="00752B04">
        <w:rPr>
          <w:rFonts w:ascii="Times New Roman" w:hAnsi="Times New Roman"/>
          <w:sz w:val="28"/>
          <w:szCs w:val="28"/>
          <w:lang w:val="uk-UA"/>
        </w:rPr>
        <w:lastRenderedPageBreak/>
        <w:t xml:space="preserve">Незважаючи на особливості </w:t>
      </w:r>
      <w:r w:rsidR="00DB1F48" w:rsidRPr="00752B04">
        <w:rPr>
          <w:rFonts w:ascii="Times New Roman" w:hAnsi="Times New Roman"/>
          <w:sz w:val="28"/>
          <w:szCs w:val="28"/>
          <w:lang w:val="uk-UA"/>
        </w:rPr>
        <w:t>проєк</w:t>
      </w:r>
      <w:r w:rsidR="00363C28" w:rsidRPr="00752B04">
        <w:rPr>
          <w:rFonts w:ascii="Times New Roman" w:hAnsi="Times New Roman"/>
          <w:sz w:val="28"/>
          <w:szCs w:val="28"/>
          <w:lang w:val="uk-UA"/>
        </w:rPr>
        <w:t>тування</w:t>
      </w:r>
      <w:r w:rsidRPr="00752B04">
        <w:rPr>
          <w:rFonts w:ascii="Times New Roman" w:hAnsi="Times New Roman"/>
          <w:sz w:val="28"/>
          <w:szCs w:val="28"/>
          <w:lang w:val="uk-UA"/>
        </w:rPr>
        <w:t xml:space="preserve"> з </w:t>
      </w:r>
      <w:r w:rsidRPr="00752B04">
        <w:rPr>
          <w:rStyle w:val="docdata"/>
          <w:rFonts w:ascii="Times New Roman" w:eastAsia="Aptos" w:hAnsi="Times New Roman"/>
          <w:color w:val="000000"/>
          <w:kern w:val="2"/>
          <w:sz w:val="28"/>
          <w:szCs w:val="28"/>
          <w:lang w:val="uk-UA"/>
        </w:rPr>
        <w:t>інвестиційної привабливості</w:t>
      </w:r>
      <w:r w:rsidR="00363C28" w:rsidRPr="00752B04">
        <w:rPr>
          <w:rFonts w:ascii="Times New Roman" w:hAnsi="Times New Roman"/>
          <w:sz w:val="28"/>
          <w:szCs w:val="28"/>
          <w:lang w:val="uk-UA"/>
        </w:rPr>
        <w:t xml:space="preserve"> у кожному</w:t>
      </w:r>
      <w:r w:rsidR="00363C28" w:rsidRPr="00CB0434">
        <w:rPr>
          <w:rFonts w:ascii="Times New Roman" w:hAnsi="Times New Roman"/>
          <w:sz w:val="28"/>
          <w:szCs w:val="28"/>
          <w:lang w:val="uk-UA"/>
        </w:rPr>
        <w:t xml:space="preserve"> конкретному випадку, можна виділити деякі загальні моменти, які необхідно враховувати на етапі формування концепції та розробки інвестиційного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Причини, що зумовлюють необхідність інвестицій, можуть бути різні, проте в цілому їх можна поділити на три види: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оновлення наявної матеріально-технічної бази,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нарощування обсягів виробничої діяльності,</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освоєння нових видів діяльності</w:t>
      </w:r>
      <w:r w:rsidR="004E2404" w:rsidRPr="00AF7F70">
        <w:rPr>
          <w:rFonts w:ascii="Times New Roman" w:hAnsi="Times New Roman"/>
          <w:sz w:val="28"/>
          <w:szCs w:val="28"/>
          <w:lang w:val="uk-UA"/>
        </w:rPr>
        <w:t xml:space="preserve"> </w:t>
      </w:r>
      <w:r w:rsidR="004E2404" w:rsidRPr="00AF7F70">
        <w:rPr>
          <w:rFonts w:ascii="Times New Roman" w:eastAsia="Times New Roman" w:hAnsi="Times New Roman"/>
          <w:sz w:val="28"/>
          <w:szCs w:val="28"/>
          <w:lang w:val="uk-UA"/>
        </w:rPr>
        <w:t>[84, c. 115]</w:t>
      </w:r>
      <w:r w:rsidR="00363C28"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Слід зазначити, що </w:t>
      </w:r>
      <w:r w:rsidRPr="00400BAB">
        <w:rPr>
          <w:rFonts w:ascii="Times New Roman" w:hAnsi="Times New Roman"/>
          <w:sz w:val="28"/>
          <w:szCs w:val="28"/>
          <w:lang w:val="uk-UA"/>
        </w:rPr>
        <w:t xml:space="preserve">ступінь відповідальності ОПР за ухвалення </w:t>
      </w:r>
      <w:r w:rsidR="00DB1F48" w:rsidRPr="00400BAB">
        <w:rPr>
          <w:rFonts w:ascii="Times New Roman" w:hAnsi="Times New Roman"/>
          <w:sz w:val="28"/>
          <w:szCs w:val="28"/>
          <w:lang w:val="uk-UA"/>
        </w:rPr>
        <w:t>проєк</w:t>
      </w:r>
      <w:r w:rsidRPr="00400BAB">
        <w:rPr>
          <w:rFonts w:ascii="Times New Roman" w:hAnsi="Times New Roman"/>
          <w:sz w:val="28"/>
          <w:szCs w:val="28"/>
          <w:lang w:val="uk-UA"/>
        </w:rPr>
        <w:t>ту</w:t>
      </w:r>
      <w:r w:rsidR="00CC7847" w:rsidRPr="00400BAB">
        <w:rPr>
          <w:rFonts w:ascii="Times New Roman" w:hAnsi="Times New Roman"/>
          <w:sz w:val="28"/>
          <w:szCs w:val="28"/>
          <w:lang w:val="uk-UA"/>
        </w:rPr>
        <w:t xml:space="preserve"> з </w:t>
      </w:r>
      <w:r w:rsidR="00CC7847" w:rsidRPr="00400BAB">
        <w:rPr>
          <w:rStyle w:val="docdata"/>
          <w:rFonts w:ascii="Times New Roman" w:eastAsia="Aptos" w:hAnsi="Times New Roman"/>
          <w:color w:val="000000"/>
          <w:kern w:val="2"/>
          <w:sz w:val="28"/>
          <w:szCs w:val="28"/>
          <w:lang w:val="uk-UA"/>
        </w:rPr>
        <w:t>інвестиційної привабливості</w:t>
      </w:r>
      <w:r w:rsidRPr="00400BAB">
        <w:rPr>
          <w:rFonts w:ascii="Times New Roman" w:hAnsi="Times New Roman"/>
          <w:sz w:val="28"/>
          <w:szCs w:val="28"/>
          <w:lang w:val="uk-UA"/>
        </w:rPr>
        <w:t xml:space="preserve"> в рамках того чи іншого напряму різний. Так, якщо йдеться про заміщення наявних виробничих потужностей, рішення може бути прийняте досить безболісно, оскільки керівництво ясно уявляє собі, в якому обсязі та з якими характеристиками необхідні нові основні засоби. Завдання</w:t>
      </w:r>
      <w:r>
        <w:rPr>
          <w:rFonts w:ascii="Times New Roman" w:hAnsi="Times New Roman"/>
          <w:sz w:val="28"/>
          <w:szCs w:val="28"/>
          <w:lang w:val="uk-UA"/>
        </w:rPr>
        <w:t xml:space="preserve"> </w:t>
      </w:r>
      <w:r w:rsidRPr="00CB0434">
        <w:rPr>
          <w:rFonts w:ascii="Times New Roman" w:hAnsi="Times New Roman"/>
          <w:sz w:val="28"/>
          <w:szCs w:val="28"/>
          <w:lang w:val="uk-UA"/>
        </w:rPr>
        <w:t>ускладнюється, якщо йдеться про інвестиції, пов'язані з розширенням основної діяльності, оскільки в цьому випадку необхідно врахувати цілу низку нових факторів: можливість зміни становища фірми на ринку товарів та послуг, доступність додаткових обсягів матеріальних, трудових та фінансових ресурсів, можливість освоєння нових ринків збуту та ін.</w:t>
      </w:r>
    </w:p>
    <w:p w:rsidR="00363C28" w:rsidRPr="00752B0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Очевидно, що </w:t>
      </w:r>
      <w:r w:rsidRPr="00752B04">
        <w:rPr>
          <w:rFonts w:ascii="Times New Roman" w:hAnsi="Times New Roman"/>
          <w:sz w:val="28"/>
          <w:szCs w:val="28"/>
          <w:lang w:val="uk-UA"/>
        </w:rPr>
        <w:t xml:space="preserve">дуже важливим є питання розміру передбачуваних інвестицій. Тому має бути різна і глибина аналітичного опрацювання економічної сторони </w:t>
      </w:r>
      <w:r w:rsidR="00DB1F48" w:rsidRPr="00752B04">
        <w:rPr>
          <w:rFonts w:ascii="Times New Roman" w:hAnsi="Times New Roman"/>
          <w:sz w:val="28"/>
          <w:szCs w:val="28"/>
          <w:lang w:val="uk-UA"/>
        </w:rPr>
        <w:t>проєк</w:t>
      </w:r>
      <w:r w:rsidRPr="00752B04">
        <w:rPr>
          <w:rFonts w:ascii="Times New Roman" w:hAnsi="Times New Roman"/>
          <w:sz w:val="28"/>
          <w:szCs w:val="28"/>
          <w:lang w:val="uk-UA"/>
        </w:rPr>
        <w:t>ту</w:t>
      </w:r>
      <w:r w:rsidR="00CC7847" w:rsidRPr="00752B04">
        <w:rPr>
          <w:rFonts w:ascii="Times New Roman" w:hAnsi="Times New Roman"/>
          <w:sz w:val="28"/>
          <w:szCs w:val="28"/>
          <w:lang w:val="uk-UA"/>
        </w:rPr>
        <w:t xml:space="preserve"> з </w:t>
      </w:r>
      <w:r w:rsidR="00CC7847" w:rsidRPr="00752B04">
        <w:rPr>
          <w:rStyle w:val="docdata"/>
          <w:rFonts w:ascii="Times New Roman" w:eastAsia="Aptos" w:hAnsi="Times New Roman"/>
          <w:color w:val="000000"/>
          <w:kern w:val="2"/>
          <w:sz w:val="28"/>
          <w:szCs w:val="28"/>
          <w:lang w:val="uk-UA"/>
        </w:rPr>
        <w:t>інвестиційної привабливості</w:t>
      </w:r>
      <w:r w:rsidRPr="00752B04">
        <w:rPr>
          <w:rFonts w:ascii="Times New Roman" w:hAnsi="Times New Roman"/>
          <w:sz w:val="28"/>
          <w:szCs w:val="28"/>
          <w:lang w:val="uk-UA"/>
        </w:rPr>
        <w:t>, яка передує ухваленню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Привабливі </w:t>
      </w:r>
      <w:r w:rsidRPr="00752B04">
        <w:rPr>
          <w:rFonts w:ascii="Times New Roman" w:hAnsi="Times New Roman"/>
          <w:sz w:val="28"/>
          <w:szCs w:val="28"/>
          <w:lang w:val="uk-UA"/>
        </w:rPr>
        <w:t xml:space="preserve">інвестиційні рішення мають прийматися за умов, коли є низка альтернативних чи взаємно незалежних </w:t>
      </w:r>
      <w:r w:rsidR="00DB1F48" w:rsidRPr="00752B04">
        <w:rPr>
          <w:rFonts w:ascii="Times New Roman" w:hAnsi="Times New Roman"/>
          <w:sz w:val="28"/>
          <w:szCs w:val="28"/>
          <w:lang w:val="uk-UA"/>
        </w:rPr>
        <w:t>проєк</w:t>
      </w:r>
      <w:r w:rsidRPr="00752B04">
        <w:rPr>
          <w:rFonts w:ascii="Times New Roman" w:hAnsi="Times New Roman"/>
          <w:sz w:val="28"/>
          <w:szCs w:val="28"/>
          <w:lang w:val="uk-UA"/>
        </w:rPr>
        <w:t>тів</w:t>
      </w:r>
      <w:r w:rsidR="00CC7847" w:rsidRPr="00752B04">
        <w:rPr>
          <w:rFonts w:ascii="Times New Roman" w:hAnsi="Times New Roman"/>
          <w:sz w:val="28"/>
          <w:szCs w:val="28"/>
          <w:lang w:val="uk-UA"/>
        </w:rPr>
        <w:t xml:space="preserve"> з </w:t>
      </w:r>
      <w:r w:rsidR="00CC7847" w:rsidRPr="00752B04">
        <w:rPr>
          <w:rStyle w:val="docdata"/>
          <w:rFonts w:ascii="Times New Roman" w:eastAsia="Aptos" w:hAnsi="Times New Roman"/>
          <w:color w:val="000000"/>
          <w:kern w:val="2"/>
          <w:sz w:val="28"/>
          <w:szCs w:val="28"/>
          <w:lang w:val="uk-UA"/>
        </w:rPr>
        <w:t>інвестиційної привабливості</w:t>
      </w:r>
      <w:r w:rsidRPr="00752B04">
        <w:rPr>
          <w:rFonts w:ascii="Times New Roman" w:hAnsi="Times New Roman"/>
          <w:sz w:val="28"/>
          <w:szCs w:val="28"/>
          <w:lang w:val="uk-UA"/>
        </w:rPr>
        <w:t xml:space="preserve">, тобто виникає необхідність зробити вибір одного або кількох </w:t>
      </w:r>
      <w:r w:rsidR="00DB1F48" w:rsidRPr="00752B04">
        <w:rPr>
          <w:rFonts w:ascii="Times New Roman" w:hAnsi="Times New Roman"/>
          <w:sz w:val="28"/>
          <w:szCs w:val="28"/>
          <w:lang w:val="uk-UA"/>
        </w:rPr>
        <w:t>проєк</w:t>
      </w:r>
      <w:r w:rsidRPr="00752B04">
        <w:rPr>
          <w:rFonts w:ascii="Times New Roman" w:hAnsi="Times New Roman"/>
          <w:sz w:val="28"/>
          <w:szCs w:val="28"/>
          <w:lang w:val="uk-UA"/>
        </w:rPr>
        <w:t>тів</w:t>
      </w:r>
      <w:r w:rsidR="00CC7847" w:rsidRPr="00752B04">
        <w:rPr>
          <w:rFonts w:ascii="Times New Roman" w:hAnsi="Times New Roman"/>
          <w:sz w:val="28"/>
          <w:szCs w:val="28"/>
          <w:lang w:val="uk-UA"/>
        </w:rPr>
        <w:t xml:space="preserve"> з </w:t>
      </w:r>
      <w:r w:rsidR="00CC7847" w:rsidRPr="00752B04">
        <w:rPr>
          <w:rStyle w:val="docdata"/>
          <w:rFonts w:ascii="Times New Roman" w:eastAsia="Aptos" w:hAnsi="Times New Roman"/>
          <w:color w:val="000000"/>
          <w:kern w:val="2"/>
          <w:sz w:val="28"/>
          <w:szCs w:val="28"/>
          <w:lang w:val="uk-UA"/>
        </w:rPr>
        <w:t>інвестиційної привабливості</w:t>
      </w:r>
      <w:r w:rsidRPr="00752B04">
        <w:rPr>
          <w:rFonts w:ascii="Times New Roman" w:hAnsi="Times New Roman"/>
          <w:sz w:val="28"/>
          <w:szCs w:val="28"/>
          <w:lang w:val="uk-UA"/>
        </w:rPr>
        <w:t xml:space="preserve">, ґрунтуючись на якихось формалізованих критеріях. Очевидно, що таких критеріїв може бути </w:t>
      </w:r>
      <w:r w:rsidR="00280531" w:rsidRPr="00752B04">
        <w:rPr>
          <w:rFonts w:ascii="Times New Roman" w:hAnsi="Times New Roman"/>
          <w:sz w:val="28"/>
          <w:szCs w:val="28"/>
          <w:lang w:val="uk-UA"/>
        </w:rPr>
        <w:t>де</w:t>
      </w:r>
      <w:r w:rsidRPr="00752B04">
        <w:rPr>
          <w:rFonts w:ascii="Times New Roman" w:hAnsi="Times New Roman"/>
          <w:sz w:val="28"/>
          <w:szCs w:val="28"/>
          <w:lang w:val="uk-UA"/>
        </w:rPr>
        <w:t xml:space="preserve">кілька, а ймовірність того, що якийсь один </w:t>
      </w:r>
      <w:r w:rsidR="00DB1F48" w:rsidRPr="00752B04">
        <w:rPr>
          <w:rFonts w:ascii="Times New Roman" w:hAnsi="Times New Roman"/>
          <w:sz w:val="28"/>
          <w:szCs w:val="28"/>
          <w:lang w:val="uk-UA"/>
        </w:rPr>
        <w:t>проєк</w:t>
      </w:r>
      <w:r w:rsidRPr="00752B04">
        <w:rPr>
          <w:rFonts w:ascii="Times New Roman" w:hAnsi="Times New Roman"/>
          <w:sz w:val="28"/>
          <w:szCs w:val="28"/>
          <w:lang w:val="uk-UA"/>
        </w:rPr>
        <w:t xml:space="preserve">т буде кращим за інші за </w:t>
      </w:r>
      <w:r w:rsidRPr="00752B04">
        <w:rPr>
          <w:rFonts w:ascii="Times New Roman" w:hAnsi="Times New Roman"/>
          <w:sz w:val="28"/>
          <w:szCs w:val="28"/>
          <w:lang w:val="uk-UA"/>
        </w:rPr>
        <w:lastRenderedPageBreak/>
        <w:t>всіма критеріями, як правило, значно менше одиниці</w:t>
      </w:r>
      <w:r w:rsidR="003E3100" w:rsidRPr="00752B04">
        <w:rPr>
          <w:rFonts w:ascii="Times New Roman" w:hAnsi="Times New Roman"/>
          <w:sz w:val="28"/>
          <w:szCs w:val="28"/>
        </w:rPr>
        <w:t xml:space="preserve"> </w:t>
      </w:r>
      <w:r w:rsidR="003E3100" w:rsidRPr="00752B04">
        <w:rPr>
          <w:rFonts w:ascii="Times New Roman" w:eastAsia="Times New Roman" w:hAnsi="Times New Roman"/>
          <w:sz w:val="28"/>
          <w:szCs w:val="28"/>
        </w:rPr>
        <w:t>[106, c. 6]</w:t>
      </w:r>
      <w:r w:rsidRPr="00752B04">
        <w:rPr>
          <w:rFonts w:ascii="Times New Roman" w:hAnsi="Times New Roman"/>
          <w:sz w:val="28"/>
          <w:szCs w:val="28"/>
          <w:lang w:val="uk-UA"/>
        </w:rPr>
        <w:t>. У цьому випадку доводиться віддавати пріоритет якомусь одному критерію, встановлювати їхню ієрархію або використовувати додаткові неформалізовані методи оцінки</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Дуже суттєвий фактор ризику. Інвестиційна діяльність, по-перше, завжди пов'язана з іммобілізацією фінансових ресурсів компанії і, по-друге, зазвичай здійснюється в умовах невизначеності, ступінь якої можна значно варіювати. Так, у момент придбання нових основних засобів ніколи не можна точно передбачити економічний ефект цієї операції. Тому нерідко рішення ухвалюються на інтуїтивній основі. Помилковий прогноз щодо доцільності придбання того чи іншого обсягу активів може спричинити неприємні наслідки двох типів: помилка в інвестуванні у бік заниження призведе до неотримання можливого у принципі доходу; зайве інвестування загрожує неповним завантаженням потужностей.</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Прийняття рішень інвестиційного характеру, як і будь-який інший вид управлінської діяльності, ґрунтується на використанні різних формалізованих та неформалізованих методів та критеріїв. Ступінь їх поєднання визначається різними обставинами, зокрема й тим із них, наскільки менеджер знайомий із наявним апаратом, </w:t>
      </w:r>
      <w:r w:rsidR="00280531">
        <w:rPr>
          <w:rFonts w:ascii="Times New Roman" w:hAnsi="Times New Roman"/>
          <w:sz w:val="28"/>
          <w:szCs w:val="28"/>
          <w:lang w:val="uk-UA"/>
        </w:rPr>
        <w:t xml:space="preserve">що </w:t>
      </w:r>
      <w:r w:rsidRPr="00CB0434">
        <w:rPr>
          <w:rFonts w:ascii="Times New Roman" w:hAnsi="Times New Roman"/>
          <w:sz w:val="28"/>
          <w:szCs w:val="28"/>
          <w:lang w:val="uk-UA"/>
        </w:rPr>
        <w:t>застосов</w:t>
      </w:r>
      <w:r w:rsidR="00280531">
        <w:rPr>
          <w:rFonts w:ascii="Times New Roman" w:hAnsi="Times New Roman"/>
          <w:sz w:val="28"/>
          <w:szCs w:val="28"/>
          <w:lang w:val="uk-UA"/>
        </w:rPr>
        <w:t xml:space="preserve">ується </w:t>
      </w:r>
      <w:r w:rsidRPr="00CB0434">
        <w:rPr>
          <w:rFonts w:ascii="Times New Roman" w:hAnsi="Times New Roman"/>
          <w:sz w:val="28"/>
          <w:szCs w:val="28"/>
          <w:lang w:val="uk-UA"/>
        </w:rPr>
        <w:t xml:space="preserve">у тому чи іншому конкретному випадку. У вітчизняній та зарубіжній практиці відомий ряд формалізованих методів, розрахунки за допомогою яких можуть бути основою для прийняття рішень у галузі інвестиційної політики. Якогось універсального методу, придатного </w:t>
      </w:r>
      <w:r w:rsidR="00280531">
        <w:rPr>
          <w:rFonts w:ascii="Times New Roman" w:hAnsi="Times New Roman"/>
          <w:sz w:val="28"/>
          <w:szCs w:val="28"/>
          <w:lang w:val="uk-UA"/>
        </w:rPr>
        <w:t xml:space="preserve">для </w:t>
      </w:r>
      <w:r w:rsidRPr="00CB0434">
        <w:rPr>
          <w:rFonts w:ascii="Times New Roman" w:hAnsi="Times New Roman"/>
          <w:sz w:val="28"/>
          <w:szCs w:val="28"/>
          <w:lang w:val="uk-UA"/>
        </w:rPr>
        <w:t>всі</w:t>
      </w:r>
      <w:r w:rsidR="00280531">
        <w:rPr>
          <w:rFonts w:ascii="Times New Roman" w:hAnsi="Times New Roman"/>
          <w:sz w:val="28"/>
          <w:szCs w:val="28"/>
          <w:lang w:val="uk-UA"/>
        </w:rPr>
        <w:t>х</w:t>
      </w:r>
      <w:r w:rsidRPr="00CB0434">
        <w:rPr>
          <w:rFonts w:ascii="Times New Roman" w:hAnsi="Times New Roman"/>
          <w:sz w:val="28"/>
          <w:szCs w:val="28"/>
          <w:lang w:val="uk-UA"/>
        </w:rPr>
        <w:t xml:space="preserve"> випадків життя, немає.</w:t>
      </w:r>
    </w:p>
    <w:p w:rsidR="00363C28" w:rsidRPr="00AF7F70"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Відповідно до методики </w:t>
      </w:r>
      <w:r w:rsidRPr="001339D2">
        <w:rPr>
          <w:rFonts w:ascii="Times New Roman" w:hAnsi="Times New Roman"/>
          <w:sz w:val="28"/>
          <w:szCs w:val="28"/>
          <w:lang w:val="uk-UA"/>
        </w:rPr>
        <w:t>UNIDO</w:t>
      </w:r>
      <w:r w:rsidRPr="00CB0434">
        <w:rPr>
          <w:rFonts w:ascii="Times New Roman" w:hAnsi="Times New Roman"/>
          <w:sz w:val="28"/>
          <w:szCs w:val="28"/>
          <w:lang w:val="uk-UA"/>
        </w:rPr>
        <w:t xml:space="preserve">, будь-який інвестиційний </w:t>
      </w:r>
      <w:r w:rsidR="00DB1F48">
        <w:rPr>
          <w:rFonts w:ascii="Times New Roman" w:hAnsi="Times New Roman"/>
          <w:sz w:val="28"/>
          <w:szCs w:val="28"/>
          <w:lang w:val="uk-UA"/>
        </w:rPr>
        <w:t>проєк</w:t>
      </w:r>
      <w:r w:rsidRPr="00CB0434">
        <w:rPr>
          <w:rFonts w:ascii="Times New Roman" w:hAnsi="Times New Roman"/>
          <w:sz w:val="28"/>
          <w:szCs w:val="28"/>
          <w:lang w:val="uk-UA"/>
        </w:rPr>
        <w:t>т має містити інформацію, струк</w:t>
      </w:r>
      <w:r w:rsidR="003E3100">
        <w:rPr>
          <w:rFonts w:ascii="Times New Roman" w:hAnsi="Times New Roman"/>
          <w:sz w:val="28"/>
          <w:szCs w:val="28"/>
          <w:lang w:val="uk-UA"/>
        </w:rPr>
        <w:t xml:space="preserve">туровану за такими розділами </w:t>
      </w:r>
      <w:r w:rsidR="003E3100">
        <w:rPr>
          <w:rFonts w:ascii="Times New Roman" w:eastAsia="Times New Roman" w:hAnsi="Times New Roman"/>
          <w:sz w:val="28"/>
          <w:szCs w:val="28"/>
          <w:lang w:val="uk-UA"/>
        </w:rPr>
        <w:t>[148, c. 98]</w:t>
      </w:r>
      <w:r w:rsidR="00280531">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бізнес-ідея та мета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ту з урахуванням економічного оточення та організаційно-правових форм його реалізації (юридичне забезпечення податкова політика, економічна активність, державна підтримка тощо);</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маркетинговий аналіз (ринок збуту, прогнозовані обсяги реалізації, конкурентна та цінова політика тощо);</w:t>
      </w:r>
    </w:p>
    <w:p w:rsidR="00363C28" w:rsidRPr="00B6394D"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w:t>
      </w:r>
      <w:r w:rsidR="00363C28" w:rsidRPr="00CB0434">
        <w:rPr>
          <w:rFonts w:ascii="Times New Roman" w:hAnsi="Times New Roman"/>
          <w:sz w:val="28"/>
          <w:szCs w:val="28"/>
          <w:lang w:val="uk-UA"/>
        </w:rPr>
        <w:t xml:space="preserve"> ефект від </w:t>
      </w:r>
      <w:r w:rsidR="00363C28" w:rsidRPr="00B6394D">
        <w:rPr>
          <w:rFonts w:ascii="Times New Roman" w:hAnsi="Times New Roman"/>
          <w:sz w:val="28"/>
          <w:szCs w:val="28"/>
          <w:lang w:val="uk-UA"/>
        </w:rPr>
        <w:t xml:space="preserve">реалізації </w:t>
      </w:r>
      <w:r w:rsidR="00DB1F48" w:rsidRPr="00B6394D">
        <w:rPr>
          <w:rFonts w:ascii="Times New Roman" w:hAnsi="Times New Roman"/>
          <w:sz w:val="28"/>
          <w:szCs w:val="28"/>
          <w:lang w:val="uk-UA"/>
        </w:rPr>
        <w:t>проєк</w:t>
      </w:r>
      <w:r w:rsidR="00363C28" w:rsidRPr="00B6394D">
        <w:rPr>
          <w:rFonts w:ascii="Times New Roman" w:hAnsi="Times New Roman"/>
          <w:sz w:val="28"/>
          <w:szCs w:val="28"/>
          <w:lang w:val="uk-UA"/>
        </w:rPr>
        <w:t>ту (фінансово-економічний, науково-технічний, соціально-екологічний тощо)</w:t>
      </w:r>
      <w:r w:rsidR="00280531" w:rsidRPr="00B6394D">
        <w:rPr>
          <w:rFonts w:ascii="Times New Roman" w:hAnsi="Times New Roman"/>
          <w:sz w:val="28"/>
          <w:szCs w:val="28"/>
          <w:lang w:val="uk-UA"/>
        </w:rPr>
        <w:t>;</w:t>
      </w:r>
    </w:p>
    <w:p w:rsidR="00363C28" w:rsidRPr="00B6394D"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B6394D">
        <w:rPr>
          <w:rFonts w:ascii="Times New Roman" w:hAnsi="Times New Roman"/>
          <w:sz w:val="28"/>
          <w:szCs w:val="28"/>
          <w:lang w:val="uk-UA"/>
        </w:rPr>
        <w:t xml:space="preserve"> характеристика ініціатора </w:t>
      </w:r>
      <w:r w:rsidR="00DB1F48" w:rsidRPr="00B6394D">
        <w:rPr>
          <w:rFonts w:ascii="Times New Roman" w:hAnsi="Times New Roman"/>
          <w:sz w:val="28"/>
          <w:szCs w:val="28"/>
          <w:lang w:val="uk-UA"/>
        </w:rPr>
        <w:t>проєк</w:t>
      </w:r>
      <w:r w:rsidR="00363C28" w:rsidRPr="00B6394D">
        <w:rPr>
          <w:rFonts w:ascii="Times New Roman" w:hAnsi="Times New Roman"/>
          <w:sz w:val="28"/>
          <w:szCs w:val="28"/>
          <w:lang w:val="uk-UA"/>
        </w:rPr>
        <w:t xml:space="preserve">ту </w:t>
      </w:r>
      <w:r w:rsidR="00CC7847" w:rsidRPr="00B6394D">
        <w:rPr>
          <w:rFonts w:ascii="Times New Roman" w:hAnsi="Times New Roman"/>
          <w:sz w:val="28"/>
          <w:szCs w:val="28"/>
          <w:lang w:val="uk-UA"/>
        </w:rPr>
        <w:t xml:space="preserve">з </w:t>
      </w:r>
      <w:r w:rsidR="00CC7847" w:rsidRPr="00B6394D">
        <w:rPr>
          <w:rStyle w:val="docdata"/>
          <w:rFonts w:ascii="Times New Roman" w:eastAsia="Aptos" w:hAnsi="Times New Roman"/>
          <w:color w:val="000000"/>
          <w:kern w:val="2"/>
          <w:sz w:val="28"/>
          <w:szCs w:val="28"/>
          <w:lang w:val="uk-UA"/>
        </w:rPr>
        <w:t>інвестиційної привабливості</w:t>
      </w:r>
      <w:r w:rsidR="00CC7847" w:rsidRPr="00B6394D">
        <w:rPr>
          <w:rFonts w:ascii="Times New Roman" w:hAnsi="Times New Roman"/>
          <w:sz w:val="28"/>
          <w:szCs w:val="28"/>
          <w:lang w:val="uk-UA"/>
        </w:rPr>
        <w:t xml:space="preserve"> </w:t>
      </w:r>
      <w:r w:rsidR="00363C28" w:rsidRPr="00B6394D">
        <w:rPr>
          <w:rFonts w:ascii="Times New Roman" w:hAnsi="Times New Roman"/>
          <w:sz w:val="28"/>
          <w:szCs w:val="28"/>
          <w:lang w:val="uk-UA"/>
        </w:rPr>
        <w:t>(місце розміщення, доробок, кадровий потенціал, виробничі потужності, кооперовані зв'язки, фінансове становище тощо);</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B6394D">
        <w:rPr>
          <w:rFonts w:ascii="Times New Roman" w:hAnsi="Times New Roman"/>
          <w:sz w:val="28"/>
          <w:szCs w:val="28"/>
          <w:lang w:val="uk-UA"/>
        </w:rPr>
        <w:t xml:space="preserve"> виробнича програма</w:t>
      </w:r>
      <w:r w:rsidR="00363C28" w:rsidRPr="00CB0434">
        <w:rPr>
          <w:rFonts w:ascii="Times New Roman" w:hAnsi="Times New Roman"/>
          <w:sz w:val="28"/>
          <w:szCs w:val="28"/>
          <w:lang w:val="uk-UA"/>
        </w:rPr>
        <w:t xml:space="preserve"> та розвиток потужностей (технологія виробництва та програма розвитку потужностей, необхідне обладнання та площі, обсяги будівельно-монтажних робіт тощо);</w:t>
      </w:r>
      <w:r w:rsidR="00363C28">
        <w:t xml:space="preserve"> </w:t>
      </w:r>
      <w:r w:rsidR="00363C28">
        <w:rPr>
          <w:rFonts w:ascii="Times New Roman" w:eastAsia="Times New Roman" w:hAnsi="Times New Roman"/>
          <w:sz w:val="28"/>
          <w:szCs w:val="28"/>
        </w:rPr>
        <w:t>[66]</w:t>
      </w:r>
      <w:r w:rsidR="00363C28">
        <w:t>.</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матеріальні витрати (потреби, ціни та умови постачання сировини, матеріалів, енергоносіїв, поточні ціни тощо);</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обґрунтування потреби в інвестиціях в основний та оборотний капітал, розрахунок повних інвестиційних витрат тощо</w:t>
      </w:r>
      <w:r w:rsidR="00280531">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джерела та умови фінансування;</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оцінки ризику та факторів невизначеності при реалізації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ту</w:t>
      </w:r>
      <w:r w:rsidR="003E3100" w:rsidRPr="003E3100">
        <w:rPr>
          <w:rFonts w:ascii="Times New Roman" w:hAnsi="Times New Roman"/>
          <w:sz w:val="28"/>
          <w:szCs w:val="28"/>
        </w:rPr>
        <w:t xml:space="preserve"> </w:t>
      </w:r>
      <w:r>
        <w:rPr>
          <w:rFonts w:ascii="Times New Roman" w:hAnsi="Times New Roman"/>
          <w:sz w:val="28"/>
          <w:szCs w:val="28"/>
        </w:rPr>
        <w:br/>
      </w:r>
      <w:r w:rsidR="003E3100" w:rsidRPr="003E3100">
        <w:rPr>
          <w:rFonts w:ascii="Times New Roman" w:eastAsia="Times New Roman" w:hAnsi="Times New Roman"/>
          <w:sz w:val="28"/>
          <w:szCs w:val="28"/>
        </w:rPr>
        <w:t>[118, c. 9]</w:t>
      </w:r>
      <w:r w:rsidR="00363C28" w:rsidRPr="00CB0434">
        <w:rPr>
          <w:rFonts w:ascii="Times New Roman" w:hAnsi="Times New Roman"/>
          <w:sz w:val="28"/>
          <w:szCs w:val="28"/>
          <w:lang w:val="uk-UA"/>
        </w:rPr>
        <w:t>.</w:t>
      </w:r>
    </w:p>
    <w:p w:rsidR="00363C28" w:rsidRPr="00CB0434" w:rsidRDefault="00280531"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Додатково</w:t>
      </w:r>
      <w:r w:rsidR="00363C28" w:rsidRPr="00CB0434">
        <w:rPr>
          <w:rFonts w:ascii="Times New Roman" w:hAnsi="Times New Roman"/>
          <w:sz w:val="28"/>
          <w:szCs w:val="28"/>
          <w:lang w:val="uk-UA"/>
        </w:rPr>
        <w:t xml:space="preserve">, метод когнітивного моделювання дозволяє вирішувати </w:t>
      </w:r>
      <w:r>
        <w:rPr>
          <w:rFonts w:ascii="Times New Roman" w:hAnsi="Times New Roman"/>
          <w:sz w:val="28"/>
          <w:szCs w:val="28"/>
          <w:lang w:val="uk-UA"/>
        </w:rPr>
        <w:t>«</w:t>
      </w:r>
      <w:r w:rsidR="00363C28" w:rsidRPr="00CB0434">
        <w:rPr>
          <w:rFonts w:ascii="Times New Roman" w:hAnsi="Times New Roman"/>
          <w:sz w:val="28"/>
          <w:szCs w:val="28"/>
          <w:lang w:val="uk-UA"/>
        </w:rPr>
        <w:t>зворотне завдання</w:t>
      </w:r>
      <w:r>
        <w:rPr>
          <w:rFonts w:ascii="Times New Roman" w:hAnsi="Times New Roman"/>
          <w:sz w:val="28"/>
          <w:szCs w:val="28"/>
          <w:lang w:val="uk-UA"/>
        </w:rPr>
        <w:t>»</w:t>
      </w:r>
      <w:r w:rsidR="00363C28" w:rsidRPr="00CB0434">
        <w:rPr>
          <w:rFonts w:ascii="Times New Roman" w:hAnsi="Times New Roman"/>
          <w:sz w:val="28"/>
          <w:szCs w:val="28"/>
          <w:lang w:val="uk-UA"/>
        </w:rPr>
        <w:t>, тобто знаходити значення вхідних факторів, що забезпечують досягнення заданих значень цільових критеріїв.</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Основою проведення когнітивного моделювання є когнітивна карта. Когнітивна карта є умоглядним, когнітивним уявленням проблеми або предметної області в термінах елемента</w:t>
      </w:r>
      <w:r w:rsidR="00336F0C">
        <w:rPr>
          <w:rFonts w:ascii="Times New Roman" w:hAnsi="Times New Roman"/>
          <w:sz w:val="28"/>
          <w:szCs w:val="28"/>
          <w:lang w:val="uk-UA"/>
        </w:rPr>
        <w:t>рних семантичних категорій, пов’</w:t>
      </w:r>
      <w:r w:rsidRPr="00CB0434">
        <w:rPr>
          <w:rFonts w:ascii="Times New Roman" w:hAnsi="Times New Roman"/>
          <w:sz w:val="28"/>
          <w:szCs w:val="28"/>
          <w:lang w:val="uk-UA"/>
        </w:rPr>
        <w:t>язаних відносинами. Під семантичними категоріями розуміються ознаки, факти, події, поняття тощо, а відносини з-поміж ни</w:t>
      </w:r>
      <w:r w:rsidR="00280531">
        <w:rPr>
          <w:rFonts w:ascii="Times New Roman" w:hAnsi="Times New Roman"/>
          <w:sz w:val="28"/>
          <w:szCs w:val="28"/>
          <w:lang w:val="uk-UA"/>
        </w:rPr>
        <w:t>ми</w:t>
      </w:r>
      <w:r w:rsidR="00DB1F48">
        <w:rPr>
          <w:rFonts w:ascii="Times New Roman" w:hAnsi="Times New Roman"/>
          <w:sz w:val="28"/>
          <w:szCs w:val="28"/>
          <w:lang w:val="uk-UA"/>
        </w:rPr>
        <w:t xml:space="preserve"> – </w:t>
      </w:r>
      <w:r w:rsidRPr="00CB0434">
        <w:rPr>
          <w:rFonts w:ascii="Times New Roman" w:hAnsi="Times New Roman"/>
          <w:sz w:val="28"/>
          <w:szCs w:val="28"/>
          <w:lang w:val="uk-UA"/>
        </w:rPr>
        <w:t>це, зазвичай, каузальні відносини (причинно-наслідкові зв'язк</w:t>
      </w:r>
      <w:r w:rsidR="00280531">
        <w:rPr>
          <w:rFonts w:ascii="Times New Roman" w:hAnsi="Times New Roman"/>
          <w:sz w:val="28"/>
          <w:szCs w:val="28"/>
          <w:lang w:val="uk-UA"/>
        </w:rPr>
        <w:t>и</w:t>
      </w:r>
      <w:r w:rsidRPr="00CB0434">
        <w:rPr>
          <w:rFonts w:ascii="Times New Roman" w:hAnsi="Times New Roman"/>
          <w:sz w:val="28"/>
          <w:szCs w:val="28"/>
          <w:lang w:val="uk-UA"/>
        </w:rPr>
        <w:t xml:space="preserve">) семантичних категорій </w:t>
      </w:r>
      <w:r w:rsidRPr="00CB0434">
        <w:rPr>
          <w:rFonts w:ascii="Times New Roman" w:eastAsia="Times New Roman" w:hAnsi="Times New Roman"/>
          <w:sz w:val="28"/>
          <w:szCs w:val="28"/>
          <w:lang w:val="uk-UA"/>
        </w:rPr>
        <w:t>[86]</w:t>
      </w:r>
      <w:r w:rsidRPr="00CB0434">
        <w:rPr>
          <w:rFonts w:ascii="Times New Roman" w:hAnsi="Times New Roman"/>
          <w:sz w:val="28"/>
          <w:szCs w:val="28"/>
          <w:lang w:val="uk-UA"/>
        </w:rPr>
        <w:t>.</w:t>
      </w:r>
    </w:p>
    <w:p w:rsidR="00363C28" w:rsidRPr="00400BAB"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Побудова когнітивної карти полягає у формуванні та уточненні гіпотези про фун</w:t>
      </w:r>
      <w:r w:rsidR="00336F0C">
        <w:rPr>
          <w:rFonts w:ascii="Times New Roman" w:hAnsi="Times New Roman"/>
          <w:sz w:val="28"/>
          <w:szCs w:val="28"/>
          <w:lang w:val="uk-UA"/>
        </w:rPr>
        <w:t>кціонування об'єкта, з яким пов’</w:t>
      </w:r>
      <w:r w:rsidRPr="00CB0434">
        <w:rPr>
          <w:rFonts w:ascii="Times New Roman" w:hAnsi="Times New Roman"/>
          <w:sz w:val="28"/>
          <w:szCs w:val="28"/>
          <w:lang w:val="uk-UA"/>
        </w:rPr>
        <w:t xml:space="preserve">язане здійснення інвестицій, рушійні сили проблеми, що характеризуються комплексом елементів, підсистем, факторів, змінних тощо. Для того, щоб зрозуміти та </w:t>
      </w:r>
      <w:r w:rsidRPr="00CB0434">
        <w:rPr>
          <w:rFonts w:ascii="Times New Roman" w:hAnsi="Times New Roman"/>
          <w:sz w:val="28"/>
          <w:szCs w:val="28"/>
          <w:lang w:val="uk-UA"/>
        </w:rPr>
        <w:lastRenderedPageBreak/>
        <w:t>проаналізувати поведінку складної системи, будують схему причинно-наслідкових зв'язків у</w:t>
      </w:r>
      <w:r w:rsidR="003E3100">
        <w:rPr>
          <w:rFonts w:ascii="Times New Roman" w:hAnsi="Times New Roman"/>
          <w:sz w:val="28"/>
          <w:szCs w:val="28"/>
          <w:lang w:val="uk-UA"/>
        </w:rPr>
        <w:t xml:space="preserve"> </w:t>
      </w:r>
      <w:r w:rsidR="003E3100" w:rsidRPr="00400BAB">
        <w:rPr>
          <w:rFonts w:ascii="Times New Roman" w:hAnsi="Times New Roman"/>
          <w:sz w:val="28"/>
          <w:szCs w:val="28"/>
          <w:lang w:val="uk-UA"/>
        </w:rPr>
        <w:t xml:space="preserve">вигляді орієнтованого графа </w:t>
      </w:r>
      <w:r w:rsidR="003E3100" w:rsidRPr="00400BAB">
        <w:rPr>
          <w:rFonts w:ascii="Times New Roman" w:eastAsia="Times New Roman" w:hAnsi="Times New Roman"/>
          <w:sz w:val="28"/>
          <w:szCs w:val="28"/>
          <w:lang w:val="uk-UA"/>
        </w:rPr>
        <w:t>[84, c. 116]</w:t>
      </w:r>
      <w:r w:rsidRPr="00400BAB">
        <w:rPr>
          <w:rFonts w:ascii="Times New Roman" w:hAnsi="Times New Roman"/>
          <w:sz w:val="28"/>
          <w:szCs w:val="28"/>
          <w:lang w:val="uk-UA"/>
        </w:rPr>
        <w:t>.</w:t>
      </w:r>
    </w:p>
    <w:p w:rsidR="00363C28" w:rsidRPr="00400BAB" w:rsidRDefault="00363C28" w:rsidP="00363C28">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Використання методології когнітивного моделювання як інструменту </w:t>
      </w:r>
      <w:r w:rsidR="00DB1F48" w:rsidRPr="00400BAB">
        <w:rPr>
          <w:rFonts w:ascii="Times New Roman" w:hAnsi="Times New Roman"/>
          <w:sz w:val="28"/>
          <w:szCs w:val="28"/>
          <w:lang w:val="uk-UA"/>
        </w:rPr>
        <w:t>проєк</w:t>
      </w:r>
      <w:r w:rsidRPr="00400BAB">
        <w:rPr>
          <w:rFonts w:ascii="Times New Roman" w:hAnsi="Times New Roman"/>
          <w:sz w:val="28"/>
          <w:szCs w:val="28"/>
          <w:lang w:val="uk-UA"/>
        </w:rPr>
        <w:t xml:space="preserve">тування </w:t>
      </w:r>
      <w:r w:rsidR="00CC7847" w:rsidRPr="00400BAB">
        <w:rPr>
          <w:rFonts w:ascii="Times New Roman" w:hAnsi="Times New Roman"/>
          <w:sz w:val="28"/>
          <w:szCs w:val="28"/>
          <w:lang w:val="uk-UA"/>
        </w:rPr>
        <w:t xml:space="preserve">з </w:t>
      </w:r>
      <w:r w:rsidR="00CC7847" w:rsidRPr="00400BAB">
        <w:rPr>
          <w:rStyle w:val="docdata"/>
          <w:rFonts w:ascii="Times New Roman" w:eastAsia="Aptos" w:hAnsi="Times New Roman"/>
          <w:color w:val="000000"/>
          <w:kern w:val="2"/>
          <w:sz w:val="28"/>
          <w:szCs w:val="28"/>
          <w:lang w:val="uk-UA"/>
        </w:rPr>
        <w:t>інвестиційної привабливості</w:t>
      </w:r>
      <w:r w:rsidR="00CC7847" w:rsidRPr="00400BAB">
        <w:rPr>
          <w:rFonts w:ascii="Times New Roman" w:hAnsi="Times New Roman"/>
          <w:sz w:val="28"/>
          <w:szCs w:val="28"/>
          <w:lang w:val="uk-UA"/>
        </w:rPr>
        <w:t xml:space="preserve"> </w:t>
      </w:r>
      <w:r w:rsidRPr="00400BAB">
        <w:rPr>
          <w:rFonts w:ascii="Times New Roman" w:hAnsi="Times New Roman"/>
          <w:sz w:val="28"/>
          <w:szCs w:val="28"/>
          <w:lang w:val="uk-UA"/>
        </w:rPr>
        <w:t xml:space="preserve">обґрунтовується так само тим, що даний підхід дозволяє наочно уявити сутність </w:t>
      </w:r>
      <w:r w:rsidR="00DB1F48" w:rsidRPr="00400BAB">
        <w:rPr>
          <w:rFonts w:ascii="Times New Roman" w:hAnsi="Times New Roman"/>
          <w:sz w:val="28"/>
          <w:szCs w:val="28"/>
          <w:lang w:val="uk-UA"/>
        </w:rPr>
        <w:t>проєк</w:t>
      </w:r>
      <w:r w:rsidRPr="00400BAB">
        <w:rPr>
          <w:rFonts w:ascii="Times New Roman" w:hAnsi="Times New Roman"/>
          <w:sz w:val="28"/>
          <w:szCs w:val="28"/>
          <w:lang w:val="uk-UA"/>
        </w:rPr>
        <w:t>ту</w:t>
      </w:r>
      <w:r w:rsidR="009E2A1F" w:rsidRPr="00400BAB">
        <w:rPr>
          <w:rFonts w:ascii="Times New Roman" w:hAnsi="Times New Roman"/>
          <w:sz w:val="28"/>
          <w:szCs w:val="28"/>
          <w:lang w:val="uk-UA"/>
        </w:rPr>
        <w:t xml:space="preserve"> з </w:t>
      </w:r>
      <w:r w:rsidR="009E2A1F" w:rsidRPr="00400BAB">
        <w:rPr>
          <w:rStyle w:val="docdata"/>
          <w:rFonts w:ascii="Times New Roman" w:eastAsia="Aptos" w:hAnsi="Times New Roman"/>
          <w:color w:val="000000"/>
          <w:kern w:val="2"/>
          <w:sz w:val="28"/>
          <w:szCs w:val="28"/>
          <w:lang w:val="uk-UA"/>
        </w:rPr>
        <w:t>інвестиційної привабливості</w:t>
      </w:r>
      <w:r w:rsidRPr="00400BAB">
        <w:rPr>
          <w:rFonts w:ascii="Times New Roman" w:hAnsi="Times New Roman"/>
          <w:sz w:val="28"/>
          <w:szCs w:val="28"/>
          <w:lang w:val="uk-UA"/>
        </w:rPr>
        <w:t xml:space="preserve"> та проаналізувати </w:t>
      </w:r>
      <w:r w:rsidR="00280531" w:rsidRPr="00400BAB">
        <w:rPr>
          <w:rFonts w:ascii="Times New Roman" w:hAnsi="Times New Roman"/>
          <w:sz w:val="28"/>
          <w:szCs w:val="28"/>
          <w:lang w:val="uk-UA"/>
        </w:rPr>
        <w:t>«</w:t>
      </w:r>
      <w:r w:rsidRPr="00400BAB">
        <w:rPr>
          <w:rFonts w:ascii="Times New Roman" w:hAnsi="Times New Roman"/>
          <w:sz w:val="28"/>
          <w:szCs w:val="28"/>
          <w:lang w:val="uk-UA"/>
        </w:rPr>
        <w:t>синергію</w:t>
      </w:r>
      <w:r w:rsidR="00280531" w:rsidRPr="00400BAB">
        <w:rPr>
          <w:rFonts w:ascii="Times New Roman" w:hAnsi="Times New Roman"/>
          <w:sz w:val="28"/>
          <w:szCs w:val="28"/>
          <w:lang w:val="uk-UA"/>
        </w:rPr>
        <w:t>»</w:t>
      </w:r>
      <w:r w:rsidRPr="00400BAB">
        <w:rPr>
          <w:rFonts w:ascii="Times New Roman" w:hAnsi="Times New Roman"/>
          <w:sz w:val="28"/>
          <w:szCs w:val="28"/>
          <w:lang w:val="uk-UA"/>
        </w:rPr>
        <w:t xml:space="preserve"> інвестиційної ідеї.</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У зв’</w:t>
      </w:r>
      <w:r w:rsidR="00363C28" w:rsidRPr="00CB0434">
        <w:rPr>
          <w:rFonts w:ascii="Times New Roman" w:hAnsi="Times New Roman"/>
          <w:sz w:val="28"/>
          <w:szCs w:val="28"/>
          <w:lang w:val="uk-UA"/>
        </w:rPr>
        <w:t xml:space="preserve">язку з цим можна згадати тезу, згідно з якою наявність циклічних позитивних взаємозв'язків між елементами когнітивної карти, деякі з яких є </w:t>
      </w:r>
      <w:r w:rsidR="00363C28" w:rsidRPr="00B6394D">
        <w:rPr>
          <w:rFonts w:ascii="Times New Roman" w:hAnsi="Times New Roman"/>
          <w:sz w:val="28"/>
          <w:szCs w:val="28"/>
          <w:lang w:val="uk-UA"/>
        </w:rPr>
        <w:t xml:space="preserve">критеріями оцінки </w:t>
      </w:r>
      <w:r w:rsidR="00DB1F48" w:rsidRPr="00B6394D">
        <w:rPr>
          <w:rFonts w:ascii="Times New Roman" w:hAnsi="Times New Roman"/>
          <w:sz w:val="28"/>
          <w:szCs w:val="28"/>
          <w:lang w:val="uk-UA"/>
        </w:rPr>
        <w:t>проєк</w:t>
      </w:r>
      <w:r w:rsidR="00363C28" w:rsidRPr="00B6394D">
        <w:rPr>
          <w:rFonts w:ascii="Times New Roman" w:hAnsi="Times New Roman"/>
          <w:sz w:val="28"/>
          <w:szCs w:val="28"/>
          <w:lang w:val="uk-UA"/>
        </w:rPr>
        <w:t>ту</w:t>
      </w:r>
      <w:r w:rsidR="009E2A1F" w:rsidRPr="00B6394D">
        <w:rPr>
          <w:rFonts w:ascii="Times New Roman" w:hAnsi="Times New Roman"/>
          <w:sz w:val="28"/>
          <w:szCs w:val="28"/>
          <w:lang w:val="uk-UA"/>
        </w:rPr>
        <w:t xml:space="preserve"> з </w:t>
      </w:r>
      <w:r w:rsidR="009E2A1F" w:rsidRPr="00B6394D">
        <w:rPr>
          <w:rStyle w:val="docdata"/>
          <w:rFonts w:ascii="Times New Roman" w:eastAsia="Aptos" w:hAnsi="Times New Roman"/>
          <w:color w:val="000000"/>
          <w:kern w:val="2"/>
          <w:sz w:val="28"/>
          <w:szCs w:val="28"/>
          <w:lang w:val="uk-UA"/>
        </w:rPr>
        <w:t>інвестиційної привабливості</w:t>
      </w:r>
      <w:r w:rsidR="00D2288F" w:rsidRPr="00B6394D">
        <w:rPr>
          <w:rFonts w:ascii="Times New Roman" w:hAnsi="Times New Roman"/>
          <w:sz w:val="28"/>
          <w:szCs w:val="28"/>
          <w:lang w:val="uk-UA"/>
        </w:rPr>
        <w:t>,</w:t>
      </w:r>
      <w:r w:rsidR="00363C28" w:rsidRPr="00B6394D">
        <w:rPr>
          <w:rFonts w:ascii="Times New Roman" w:hAnsi="Times New Roman"/>
          <w:sz w:val="28"/>
          <w:szCs w:val="28"/>
          <w:lang w:val="uk-UA"/>
        </w:rPr>
        <w:t xml:space="preserve"> може розглядатися як безумовно позитивний момент, що свідчить про значний позитивний потенціал </w:t>
      </w:r>
      <w:r w:rsidR="00DB1F48" w:rsidRPr="00B6394D">
        <w:rPr>
          <w:rFonts w:ascii="Times New Roman" w:hAnsi="Times New Roman"/>
          <w:sz w:val="28"/>
          <w:szCs w:val="28"/>
          <w:lang w:val="uk-UA"/>
        </w:rPr>
        <w:t>проєк</w:t>
      </w:r>
      <w:r w:rsidR="00363C28" w:rsidRPr="00B6394D">
        <w:rPr>
          <w:rFonts w:ascii="Times New Roman" w:hAnsi="Times New Roman"/>
          <w:sz w:val="28"/>
          <w:szCs w:val="28"/>
          <w:lang w:val="uk-UA"/>
        </w:rPr>
        <w:t>ту. Мається на увазі, що циклічний взаємовплив окремих факторів інвестиційної ідеї</w:t>
      </w:r>
      <w:r w:rsidR="00D2288F" w:rsidRPr="00B6394D">
        <w:rPr>
          <w:rFonts w:ascii="Times New Roman" w:hAnsi="Times New Roman"/>
          <w:sz w:val="28"/>
          <w:szCs w:val="28"/>
          <w:lang w:val="uk-UA"/>
        </w:rPr>
        <w:t>,</w:t>
      </w:r>
      <w:r w:rsidR="00363C28" w:rsidRPr="00B6394D">
        <w:rPr>
          <w:rFonts w:ascii="Times New Roman" w:hAnsi="Times New Roman"/>
          <w:sz w:val="28"/>
          <w:szCs w:val="28"/>
          <w:lang w:val="uk-UA"/>
        </w:rPr>
        <w:t xml:space="preserve"> багаторазово посилюючись</w:t>
      </w:r>
      <w:r w:rsidR="00D2288F" w:rsidRPr="00B6394D">
        <w:rPr>
          <w:rFonts w:ascii="Times New Roman" w:hAnsi="Times New Roman"/>
          <w:sz w:val="28"/>
          <w:szCs w:val="28"/>
          <w:lang w:val="uk-UA"/>
        </w:rPr>
        <w:t>,</w:t>
      </w:r>
      <w:r w:rsidR="00363C28" w:rsidRPr="00B6394D">
        <w:rPr>
          <w:rFonts w:ascii="Times New Roman" w:hAnsi="Times New Roman"/>
          <w:sz w:val="28"/>
          <w:szCs w:val="28"/>
          <w:lang w:val="uk-UA"/>
        </w:rPr>
        <w:t xml:space="preserve"> створює певний</w:t>
      </w:r>
      <w:r w:rsidR="00363C28" w:rsidRPr="00CB0434">
        <w:rPr>
          <w:rFonts w:ascii="Times New Roman" w:hAnsi="Times New Roman"/>
          <w:sz w:val="28"/>
          <w:szCs w:val="28"/>
          <w:lang w:val="uk-UA"/>
        </w:rPr>
        <w:t xml:space="preserve"> </w:t>
      </w:r>
      <w:r w:rsidR="00D2288F">
        <w:rPr>
          <w:rFonts w:ascii="Times New Roman" w:hAnsi="Times New Roman"/>
          <w:sz w:val="28"/>
          <w:szCs w:val="28"/>
          <w:lang w:val="uk-UA"/>
        </w:rPr>
        <w:t>«</w:t>
      </w:r>
      <w:r w:rsidR="00363C28" w:rsidRPr="00CB0434">
        <w:rPr>
          <w:rFonts w:ascii="Times New Roman" w:hAnsi="Times New Roman"/>
          <w:sz w:val="28"/>
          <w:szCs w:val="28"/>
          <w:lang w:val="uk-UA"/>
        </w:rPr>
        <w:t>синергізм</w:t>
      </w:r>
      <w:r w:rsidR="00D2288F">
        <w:rPr>
          <w:rFonts w:ascii="Times New Roman" w:hAnsi="Times New Roman"/>
          <w:sz w:val="28"/>
          <w:szCs w:val="28"/>
          <w:lang w:val="uk-UA"/>
        </w:rPr>
        <w:t>»</w:t>
      </w:r>
      <w:r w:rsidR="00363C28" w:rsidRPr="00CB0434">
        <w:rPr>
          <w:rFonts w:ascii="Times New Roman" w:hAnsi="Times New Roman"/>
          <w:sz w:val="28"/>
          <w:szCs w:val="28"/>
          <w:lang w:val="uk-UA"/>
        </w:rPr>
        <w:t xml:space="preserve">, що є ознакою ефективності та доцільності ідеї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Існує кілька методів побудови когнітивних карток:</w:t>
      </w:r>
    </w:p>
    <w:p w:rsidR="00363C28" w:rsidRPr="00B6394D"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1. Когнітивну карту будує сам </w:t>
      </w:r>
      <w:r>
        <w:rPr>
          <w:rFonts w:ascii="Times New Roman" w:hAnsi="Times New Roman"/>
          <w:sz w:val="28"/>
          <w:szCs w:val="28"/>
          <w:lang w:val="uk-UA"/>
        </w:rPr>
        <w:t>ОПР</w:t>
      </w:r>
      <w:r w:rsidRPr="00CB0434">
        <w:rPr>
          <w:rFonts w:ascii="Times New Roman" w:hAnsi="Times New Roman"/>
          <w:sz w:val="28"/>
          <w:szCs w:val="28"/>
          <w:lang w:val="uk-UA"/>
        </w:rPr>
        <w:t xml:space="preserve"> на основі своїх знань та уявлень без залучень експертів та довідкових матеріалів. Ефективність цього методу визначається кваліфікацією </w:t>
      </w:r>
      <w:r>
        <w:rPr>
          <w:rFonts w:ascii="Times New Roman" w:hAnsi="Times New Roman"/>
          <w:sz w:val="28"/>
          <w:szCs w:val="28"/>
          <w:lang w:val="uk-UA"/>
        </w:rPr>
        <w:t>ОПР</w:t>
      </w:r>
      <w:r w:rsidRPr="00CB0434">
        <w:rPr>
          <w:rFonts w:ascii="Times New Roman" w:hAnsi="Times New Roman"/>
          <w:sz w:val="28"/>
          <w:szCs w:val="28"/>
          <w:lang w:val="uk-UA"/>
        </w:rPr>
        <w:t xml:space="preserve">: його знаннями та вмінням визначати характер відносин між </w:t>
      </w:r>
      <w:r w:rsidRPr="00B6394D">
        <w:rPr>
          <w:rFonts w:ascii="Times New Roman" w:hAnsi="Times New Roman"/>
          <w:sz w:val="28"/>
          <w:szCs w:val="28"/>
          <w:lang w:val="uk-UA"/>
        </w:rPr>
        <w:t xml:space="preserve">елементами моделі </w:t>
      </w:r>
      <w:r w:rsidR="00DB1F48" w:rsidRPr="00B6394D">
        <w:rPr>
          <w:rFonts w:ascii="Times New Roman" w:hAnsi="Times New Roman"/>
          <w:sz w:val="28"/>
          <w:szCs w:val="28"/>
          <w:lang w:val="uk-UA"/>
        </w:rPr>
        <w:t>проєк</w:t>
      </w:r>
      <w:r w:rsidRPr="00B6394D">
        <w:rPr>
          <w:rFonts w:ascii="Times New Roman" w:hAnsi="Times New Roman"/>
          <w:sz w:val="28"/>
          <w:szCs w:val="28"/>
          <w:lang w:val="uk-UA"/>
        </w:rPr>
        <w:t>ту</w:t>
      </w:r>
      <w:r w:rsidR="009E2A1F" w:rsidRPr="00B6394D">
        <w:rPr>
          <w:rFonts w:ascii="Times New Roman" w:hAnsi="Times New Roman"/>
          <w:sz w:val="28"/>
          <w:szCs w:val="28"/>
          <w:lang w:val="uk-UA"/>
        </w:rPr>
        <w:t xml:space="preserve"> з </w:t>
      </w:r>
      <w:r w:rsidR="009E2A1F" w:rsidRPr="00B6394D">
        <w:rPr>
          <w:rStyle w:val="docdata"/>
          <w:rFonts w:ascii="Times New Roman" w:eastAsia="Aptos" w:hAnsi="Times New Roman"/>
          <w:color w:val="000000"/>
          <w:kern w:val="2"/>
          <w:sz w:val="28"/>
          <w:szCs w:val="28"/>
          <w:lang w:val="uk-UA"/>
        </w:rPr>
        <w:t>інвестиційної привабливості</w:t>
      </w:r>
      <w:r w:rsidRPr="00B6394D">
        <w:rPr>
          <w:rFonts w:ascii="Times New Roman" w:hAnsi="Times New Roman"/>
          <w:sz w:val="28"/>
          <w:szCs w:val="28"/>
          <w:lang w:val="uk-UA"/>
        </w:rPr>
        <w:t>. При цьому сам процес побудови когнітивної карти допомагає ОПР ясніше уявити собі проблему, краще зрозуміти роль окремих елементів і характер відносин між ними.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w:t>
      </w:r>
      <w:r w:rsidR="00363C28" w:rsidRPr="00B6394D">
        <w:rPr>
          <w:rFonts w:ascii="Times New Roman" w:hAnsi="Times New Roman"/>
          <w:sz w:val="28"/>
          <w:szCs w:val="28"/>
          <w:lang w:val="uk-UA"/>
        </w:rPr>
        <w:t>Побудова когнітивних карток залученими фахівцями на основі вивчення теоретичних джерел</w:t>
      </w:r>
      <w:r w:rsidR="00363C28" w:rsidRPr="00CB0434">
        <w:rPr>
          <w:rFonts w:ascii="Times New Roman" w:hAnsi="Times New Roman"/>
          <w:sz w:val="28"/>
          <w:szCs w:val="28"/>
          <w:lang w:val="uk-UA"/>
        </w:rPr>
        <w:t>, нормативної документації.</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3. </w:t>
      </w:r>
      <w:r w:rsidR="00363C28" w:rsidRPr="00CB0434">
        <w:rPr>
          <w:rFonts w:ascii="Times New Roman" w:hAnsi="Times New Roman"/>
          <w:sz w:val="28"/>
          <w:szCs w:val="28"/>
          <w:lang w:val="uk-UA"/>
        </w:rPr>
        <w:t>Побудова когнітивних карток на основі опитувань групи експертів, які мають м</w:t>
      </w:r>
      <w:r>
        <w:rPr>
          <w:rFonts w:ascii="Times New Roman" w:hAnsi="Times New Roman"/>
          <w:sz w:val="28"/>
          <w:szCs w:val="28"/>
          <w:lang w:val="uk-UA"/>
        </w:rPr>
        <w:t>ожливість оцінювати причинні зв’</w:t>
      </w:r>
      <w:r w:rsidR="00363C28" w:rsidRPr="00CB0434">
        <w:rPr>
          <w:rFonts w:ascii="Times New Roman" w:hAnsi="Times New Roman"/>
          <w:sz w:val="28"/>
          <w:szCs w:val="28"/>
          <w:lang w:val="uk-UA"/>
        </w:rPr>
        <w:t>язки. Перевага цього у можливості агрегувати індивідуальні думки.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4. Побудова когн</w:t>
      </w:r>
      <w:r w:rsidR="00336F0C">
        <w:rPr>
          <w:rFonts w:ascii="Times New Roman" w:hAnsi="Times New Roman"/>
          <w:sz w:val="28"/>
          <w:szCs w:val="28"/>
          <w:lang w:val="uk-UA"/>
        </w:rPr>
        <w:t>ітивних карток на основі інтерв’</w:t>
      </w:r>
      <w:r w:rsidRPr="00CB0434">
        <w:rPr>
          <w:rFonts w:ascii="Times New Roman" w:hAnsi="Times New Roman"/>
          <w:sz w:val="28"/>
          <w:szCs w:val="28"/>
          <w:lang w:val="uk-UA"/>
        </w:rPr>
        <w:t>ювання експертів або відкритих вибіркових опитувань. Перевага цього методу полягає у наданні досліднику можливості вести активний діалог з джерелами інформації та експертами.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Формальний процес побудови когнітивної карти полягає в наступному. Два елементи проблемної області А і В, що зображуються на сх</w:t>
      </w:r>
      <w:r w:rsidR="00336F0C">
        <w:rPr>
          <w:rFonts w:ascii="Times New Roman" w:hAnsi="Times New Roman"/>
          <w:sz w:val="28"/>
          <w:szCs w:val="28"/>
          <w:lang w:val="uk-UA"/>
        </w:rPr>
        <w:t>емі у вигляді окремих вершин, з’</w:t>
      </w:r>
      <w:r w:rsidRPr="00CB0434">
        <w:rPr>
          <w:rFonts w:ascii="Times New Roman" w:hAnsi="Times New Roman"/>
          <w:sz w:val="28"/>
          <w:szCs w:val="28"/>
          <w:lang w:val="uk-UA"/>
        </w:rPr>
        <w:t>єднують орієнто</w:t>
      </w:r>
      <w:r w:rsidR="00336F0C">
        <w:rPr>
          <w:rFonts w:ascii="Times New Roman" w:hAnsi="Times New Roman"/>
          <w:sz w:val="28"/>
          <w:szCs w:val="28"/>
          <w:lang w:val="uk-UA"/>
        </w:rPr>
        <w:t>ваною дугою, якщо елемент А пов’</w:t>
      </w:r>
      <w:r w:rsidRPr="00CB0434">
        <w:rPr>
          <w:rFonts w:ascii="Times New Roman" w:hAnsi="Times New Roman"/>
          <w:sz w:val="28"/>
          <w:szCs w:val="28"/>
          <w:lang w:val="uk-UA"/>
        </w:rPr>
        <w:t xml:space="preserve">язаний з елементом </w:t>
      </w:r>
      <w:r w:rsidR="00D2288F">
        <w:rPr>
          <w:rFonts w:ascii="Times New Roman" w:hAnsi="Times New Roman"/>
          <w:sz w:val="28"/>
          <w:szCs w:val="28"/>
          <w:lang w:val="uk-UA"/>
        </w:rPr>
        <w:t xml:space="preserve">В </w:t>
      </w:r>
      <w:r w:rsidRPr="00CB0434">
        <w:rPr>
          <w:rFonts w:ascii="Times New Roman" w:hAnsi="Times New Roman"/>
          <w:sz w:val="28"/>
          <w:szCs w:val="28"/>
          <w:lang w:val="uk-UA"/>
        </w:rPr>
        <w:t>причинно-наслідков</w:t>
      </w:r>
      <w:r w:rsidR="00D2288F">
        <w:rPr>
          <w:rFonts w:ascii="Times New Roman" w:hAnsi="Times New Roman"/>
          <w:sz w:val="28"/>
          <w:szCs w:val="28"/>
          <w:lang w:val="uk-UA"/>
        </w:rPr>
        <w:t>им</w:t>
      </w:r>
      <w:r w:rsidRPr="00CB0434">
        <w:rPr>
          <w:rFonts w:ascii="Times New Roman" w:hAnsi="Times New Roman"/>
          <w:sz w:val="28"/>
          <w:szCs w:val="28"/>
          <w:lang w:val="uk-UA"/>
        </w:rPr>
        <w:t xml:space="preserve"> зв'язком</w:t>
      </w:r>
      <w:r w:rsidR="00D2288F">
        <w:rPr>
          <w:rFonts w:ascii="Times New Roman" w:hAnsi="Times New Roman"/>
          <w:sz w:val="28"/>
          <w:szCs w:val="28"/>
          <w:lang w:val="uk-UA"/>
        </w:rPr>
        <w:t>,</w:t>
      </w:r>
      <w:r w:rsidRPr="00CB0434">
        <w:rPr>
          <w:rFonts w:ascii="Times New Roman" w:hAnsi="Times New Roman"/>
          <w:sz w:val="28"/>
          <w:szCs w:val="28"/>
          <w:lang w:val="uk-UA"/>
        </w:rPr>
        <w:t xml:space="preserve"> де А</w:t>
      </w:r>
      <w:r w:rsidR="00DB1F48">
        <w:rPr>
          <w:rFonts w:ascii="Times New Roman" w:hAnsi="Times New Roman"/>
          <w:sz w:val="28"/>
          <w:szCs w:val="28"/>
          <w:lang w:val="uk-UA"/>
        </w:rPr>
        <w:t xml:space="preserve"> – </w:t>
      </w:r>
      <w:r w:rsidRPr="00CB0434">
        <w:rPr>
          <w:rFonts w:ascii="Times New Roman" w:hAnsi="Times New Roman"/>
          <w:sz w:val="28"/>
          <w:szCs w:val="28"/>
          <w:lang w:val="uk-UA"/>
        </w:rPr>
        <w:t>причина, В</w:t>
      </w:r>
      <w:r w:rsidR="00DB1F48">
        <w:rPr>
          <w:rFonts w:ascii="Times New Roman" w:hAnsi="Times New Roman"/>
          <w:sz w:val="28"/>
          <w:szCs w:val="28"/>
          <w:lang w:val="uk-UA"/>
        </w:rPr>
        <w:t xml:space="preserve"> – </w:t>
      </w:r>
      <w:r w:rsidR="00D2288F">
        <w:rPr>
          <w:rFonts w:ascii="Times New Roman" w:hAnsi="Times New Roman"/>
          <w:sz w:val="28"/>
          <w:szCs w:val="28"/>
          <w:lang w:val="uk-UA"/>
        </w:rPr>
        <w:t>наслідок</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Математичною мовою схема причинно-наслідкових зв'язків (когнітивна карта) описується знаковим (зваженим) орієнтованим графом </w:t>
      </w:r>
      <w:r w:rsidRPr="00CB0434">
        <w:rPr>
          <w:rFonts w:ascii="Times New Roman" w:eastAsia="Times New Roman" w:hAnsi="Times New Roman"/>
          <w:sz w:val="28"/>
          <w:szCs w:val="28"/>
          <w:lang w:val="uk-UA"/>
        </w:rPr>
        <w:t>[86]</w:t>
      </w:r>
      <w:r w:rsidRPr="00CB0434">
        <w:rPr>
          <w:rFonts w:ascii="Times New Roman" w:hAnsi="Times New Roman"/>
          <w:sz w:val="28"/>
          <w:szCs w:val="28"/>
          <w:lang w:val="uk-UA"/>
        </w:rPr>
        <w:t>. Найбільш суттєві для аналізованої проблеми фактори (базисні фактори) вважаються вершинами орієнтованого графа. Від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1339D2">
        <w:rPr>
          <w:rFonts w:ascii="Times New Roman" w:hAnsi="Times New Roman"/>
          <w:sz w:val="28"/>
          <w:szCs w:val="28"/>
          <w:lang w:val="uk-UA"/>
        </w:rPr>
        <w:t xml:space="preserve"> </w:t>
      </w:r>
      <w:r w:rsidRPr="00CB0434">
        <w:rPr>
          <w:rFonts w:ascii="Times New Roman" w:hAnsi="Times New Roman"/>
          <w:sz w:val="28"/>
          <w:szCs w:val="28"/>
          <w:lang w:val="uk-UA"/>
        </w:rPr>
        <w:t xml:space="preserve"> до фактору </w:t>
      </w:r>
      <w:r w:rsidRPr="00AF7F70">
        <w:rPr>
          <w:rFonts w:ascii="Times New Roman" w:hAnsi="Times New Roman"/>
          <w:i/>
          <w:sz w:val="28"/>
          <w:szCs w:val="28"/>
          <w:lang w:val="uk-UA"/>
        </w:rPr>
        <w:t>j</w:t>
      </w:r>
      <w:r w:rsidRPr="001339D2">
        <w:rPr>
          <w:rFonts w:ascii="Times New Roman" w:hAnsi="Times New Roman"/>
          <w:sz w:val="28"/>
          <w:szCs w:val="28"/>
          <w:lang w:val="uk-UA"/>
        </w:rPr>
        <w:t xml:space="preserve"> </w:t>
      </w:r>
      <w:r w:rsidRPr="00CB0434">
        <w:rPr>
          <w:rFonts w:ascii="Times New Roman" w:hAnsi="Times New Roman"/>
          <w:sz w:val="28"/>
          <w:szCs w:val="28"/>
          <w:lang w:val="uk-UA"/>
        </w:rPr>
        <w:t>проводиться дуга, якщо зміна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1339D2">
        <w:rPr>
          <w:rFonts w:ascii="Times New Roman" w:hAnsi="Times New Roman"/>
          <w:sz w:val="28"/>
          <w:szCs w:val="28"/>
          <w:lang w:val="uk-UA"/>
        </w:rPr>
        <w:t xml:space="preserve"> </w:t>
      </w:r>
      <w:r w:rsidRPr="00CB0434">
        <w:rPr>
          <w:rFonts w:ascii="Times New Roman" w:hAnsi="Times New Roman"/>
          <w:sz w:val="28"/>
          <w:szCs w:val="28"/>
          <w:lang w:val="uk-UA"/>
        </w:rPr>
        <w:t xml:space="preserve"> безпосередньо впливає на фактор </w:t>
      </w:r>
      <w:r w:rsidRPr="00AF7F70">
        <w:rPr>
          <w:rFonts w:ascii="Times New Roman" w:hAnsi="Times New Roman"/>
          <w:i/>
          <w:sz w:val="28"/>
          <w:szCs w:val="28"/>
          <w:lang w:val="uk-UA"/>
        </w:rPr>
        <w:t>j</w:t>
      </w:r>
      <w:r w:rsidRPr="001339D2">
        <w:rPr>
          <w:rFonts w:ascii="Times New Roman" w:hAnsi="Times New Roman"/>
          <w:sz w:val="28"/>
          <w:szCs w:val="28"/>
          <w:lang w:val="uk-UA"/>
        </w:rPr>
        <w:t>.</w:t>
      </w:r>
      <w:r w:rsidRPr="00CB0434">
        <w:rPr>
          <w:rFonts w:ascii="Times New Roman" w:hAnsi="Times New Roman"/>
          <w:sz w:val="28"/>
          <w:szCs w:val="28"/>
          <w:lang w:val="uk-UA"/>
        </w:rPr>
        <w:t xml:space="preserve"> Ця дуга</w:t>
      </w:r>
      <w:r>
        <w:rPr>
          <w:rFonts w:ascii="Times New Roman" w:hAnsi="Times New Roman"/>
          <w:sz w:val="28"/>
          <w:szCs w:val="28"/>
          <w:lang w:val="uk-UA"/>
        </w:rPr>
        <w:t xml:space="preserve"> </w:t>
      </w:r>
      <w:r w:rsidRPr="00CB0434">
        <w:rPr>
          <w:rFonts w:ascii="Times New Roman" w:hAnsi="Times New Roman"/>
          <w:sz w:val="28"/>
          <w:szCs w:val="28"/>
          <w:lang w:val="uk-UA"/>
        </w:rPr>
        <w:t xml:space="preserve">має знак плюс, якщо вплив є </w:t>
      </w:r>
      <w:r w:rsidR="00D2288F">
        <w:rPr>
          <w:rFonts w:ascii="Times New Roman" w:hAnsi="Times New Roman"/>
          <w:sz w:val="28"/>
          <w:szCs w:val="28"/>
          <w:lang w:val="uk-UA"/>
        </w:rPr>
        <w:t>«</w:t>
      </w:r>
      <w:r w:rsidRPr="00CB0434">
        <w:rPr>
          <w:rFonts w:ascii="Times New Roman" w:hAnsi="Times New Roman"/>
          <w:sz w:val="28"/>
          <w:szCs w:val="28"/>
          <w:lang w:val="uk-UA"/>
        </w:rPr>
        <w:t>посиленням</w:t>
      </w:r>
      <w:r w:rsidR="00D2288F">
        <w:rPr>
          <w:rFonts w:ascii="Times New Roman" w:hAnsi="Times New Roman"/>
          <w:sz w:val="28"/>
          <w:szCs w:val="28"/>
          <w:lang w:val="uk-UA"/>
        </w:rPr>
        <w:t>»</w:t>
      </w:r>
      <w:r w:rsidRPr="00CB0434">
        <w:rPr>
          <w:rFonts w:ascii="Times New Roman" w:hAnsi="Times New Roman"/>
          <w:sz w:val="28"/>
          <w:szCs w:val="28"/>
          <w:lang w:val="uk-UA"/>
        </w:rPr>
        <w:t xml:space="preserve"> (за інших рівних умов збільшення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CB0434">
        <w:rPr>
          <w:rFonts w:ascii="Times New Roman" w:hAnsi="Times New Roman"/>
          <w:sz w:val="28"/>
          <w:szCs w:val="28"/>
          <w:lang w:val="uk-UA"/>
        </w:rPr>
        <w:t xml:space="preserve"> призводить до збільшення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j</w:t>
      </w:r>
      <w:r w:rsidRPr="001339D2">
        <w:rPr>
          <w:rFonts w:ascii="Times New Roman" w:hAnsi="Times New Roman"/>
          <w:sz w:val="28"/>
          <w:szCs w:val="28"/>
          <w:lang w:val="uk-UA"/>
        </w:rPr>
        <w:t xml:space="preserve"> </w:t>
      </w:r>
      <w:r w:rsidRPr="00CB0434">
        <w:rPr>
          <w:rFonts w:ascii="Times New Roman" w:hAnsi="Times New Roman"/>
          <w:sz w:val="28"/>
          <w:szCs w:val="28"/>
          <w:lang w:val="uk-UA"/>
        </w:rPr>
        <w:t>і зменшення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CB0434">
        <w:rPr>
          <w:rFonts w:ascii="Times New Roman" w:hAnsi="Times New Roman"/>
          <w:sz w:val="28"/>
          <w:szCs w:val="28"/>
          <w:lang w:val="uk-UA"/>
        </w:rPr>
        <w:t xml:space="preserve"> призводить до зменшення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j</w:t>
      </w:r>
      <w:r w:rsidRPr="00CB0434">
        <w:rPr>
          <w:rFonts w:ascii="Times New Roman" w:hAnsi="Times New Roman"/>
          <w:sz w:val="28"/>
          <w:szCs w:val="28"/>
          <w:lang w:val="uk-UA"/>
        </w:rPr>
        <w:t>), і знак мінус,</w:t>
      </w:r>
      <w:r>
        <w:rPr>
          <w:rFonts w:ascii="Times New Roman" w:hAnsi="Times New Roman"/>
          <w:sz w:val="28"/>
          <w:szCs w:val="28"/>
          <w:lang w:val="uk-UA"/>
        </w:rPr>
        <w:t xml:space="preserve"> </w:t>
      </w:r>
      <w:r w:rsidRPr="00CB0434">
        <w:rPr>
          <w:rFonts w:ascii="Times New Roman" w:hAnsi="Times New Roman"/>
          <w:sz w:val="28"/>
          <w:szCs w:val="28"/>
          <w:lang w:val="uk-UA"/>
        </w:rPr>
        <w:t xml:space="preserve">якщо вплив викликає </w:t>
      </w:r>
      <w:r w:rsidR="00D2288F">
        <w:rPr>
          <w:rFonts w:ascii="Times New Roman" w:hAnsi="Times New Roman"/>
          <w:sz w:val="28"/>
          <w:szCs w:val="28"/>
          <w:lang w:val="uk-UA"/>
        </w:rPr>
        <w:t>«</w:t>
      </w:r>
      <w:r w:rsidRPr="00CB0434">
        <w:rPr>
          <w:rFonts w:ascii="Times New Roman" w:hAnsi="Times New Roman"/>
          <w:sz w:val="28"/>
          <w:szCs w:val="28"/>
          <w:lang w:val="uk-UA"/>
        </w:rPr>
        <w:t>гальмування</w:t>
      </w:r>
      <w:r w:rsidR="00D2288F">
        <w:rPr>
          <w:rFonts w:ascii="Times New Roman" w:hAnsi="Times New Roman"/>
          <w:sz w:val="28"/>
          <w:szCs w:val="28"/>
          <w:lang w:val="uk-UA"/>
        </w:rPr>
        <w:t>»</w:t>
      </w:r>
      <w:r w:rsidRPr="00CB0434">
        <w:rPr>
          <w:rFonts w:ascii="Times New Roman" w:hAnsi="Times New Roman"/>
          <w:sz w:val="28"/>
          <w:szCs w:val="28"/>
          <w:lang w:val="uk-UA"/>
        </w:rPr>
        <w:t xml:space="preserve"> (за інших рівних умов збільшення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CB0434">
        <w:rPr>
          <w:rFonts w:ascii="Times New Roman" w:hAnsi="Times New Roman"/>
          <w:sz w:val="28"/>
          <w:szCs w:val="28"/>
          <w:lang w:val="uk-UA"/>
        </w:rPr>
        <w:t xml:space="preserve"> призводить до зменшення фактор</w:t>
      </w:r>
      <w:r w:rsidR="00D2288F">
        <w:rPr>
          <w:rFonts w:ascii="Times New Roman" w:hAnsi="Times New Roman"/>
          <w:sz w:val="28"/>
          <w:szCs w:val="28"/>
          <w:lang w:val="uk-UA"/>
        </w:rPr>
        <w:t>у</w:t>
      </w:r>
      <w:r w:rsidRPr="001339D2">
        <w:rPr>
          <w:rFonts w:ascii="Times New Roman" w:hAnsi="Times New Roman"/>
          <w:sz w:val="28"/>
          <w:szCs w:val="28"/>
          <w:lang w:val="uk-UA"/>
        </w:rPr>
        <w:t xml:space="preserve"> </w:t>
      </w:r>
      <w:r w:rsidRPr="00AF7F70">
        <w:rPr>
          <w:rFonts w:ascii="Times New Roman" w:hAnsi="Times New Roman"/>
          <w:i/>
          <w:sz w:val="28"/>
          <w:szCs w:val="28"/>
          <w:lang w:val="uk-UA"/>
        </w:rPr>
        <w:t>j</w:t>
      </w:r>
      <w:r w:rsidRPr="00CB0434">
        <w:rPr>
          <w:rFonts w:ascii="Times New Roman" w:hAnsi="Times New Roman"/>
          <w:sz w:val="28"/>
          <w:szCs w:val="28"/>
          <w:lang w:val="uk-UA"/>
        </w:rPr>
        <w:t>) і зменшення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i</w:t>
      </w:r>
      <w:r w:rsidRPr="00CB0434">
        <w:rPr>
          <w:rFonts w:ascii="Times New Roman" w:hAnsi="Times New Roman"/>
          <w:sz w:val="28"/>
          <w:szCs w:val="28"/>
          <w:lang w:val="uk-UA"/>
        </w:rPr>
        <w:t xml:space="preserve"> призводить до зменшення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j</w:t>
      </w:r>
      <w:r w:rsidRPr="00CB0434">
        <w:rPr>
          <w:rFonts w:ascii="Times New Roman" w:hAnsi="Times New Roman"/>
          <w:sz w:val="28"/>
          <w:szCs w:val="28"/>
          <w:lang w:val="uk-UA"/>
        </w:rPr>
        <w:t>)</w:t>
      </w:r>
      <w:r w:rsidR="003E3100" w:rsidRPr="003E3100">
        <w:rPr>
          <w:rFonts w:ascii="Times New Roman" w:hAnsi="Times New Roman"/>
          <w:sz w:val="28"/>
          <w:szCs w:val="28"/>
          <w:lang w:val="uk-UA"/>
        </w:rPr>
        <w:t xml:space="preserve"> </w:t>
      </w:r>
      <w:r w:rsidR="003E3100" w:rsidRPr="003E3100">
        <w:rPr>
          <w:rFonts w:ascii="Times New Roman" w:eastAsia="Times New Roman" w:hAnsi="Times New Roman"/>
          <w:sz w:val="28"/>
          <w:szCs w:val="28"/>
          <w:lang w:val="uk-UA"/>
        </w:rPr>
        <w:t>[68, c. 257]</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Модель знакового орієнтованого графа передбачає всі вплив</w:t>
      </w:r>
      <w:r w:rsidR="00D2288F">
        <w:rPr>
          <w:rFonts w:ascii="Times New Roman" w:hAnsi="Times New Roman"/>
          <w:sz w:val="28"/>
          <w:szCs w:val="28"/>
          <w:lang w:val="uk-UA"/>
        </w:rPr>
        <w:t>и</w:t>
      </w:r>
      <w:r w:rsidRPr="00CB0434">
        <w:rPr>
          <w:rFonts w:ascii="Times New Roman" w:hAnsi="Times New Roman"/>
          <w:sz w:val="28"/>
          <w:szCs w:val="28"/>
          <w:lang w:val="uk-UA"/>
        </w:rPr>
        <w:t xml:space="preserve"> однаковими за силою, оскільки ваг</w:t>
      </w:r>
      <w:r w:rsidR="00D2288F">
        <w:rPr>
          <w:rFonts w:ascii="Times New Roman" w:hAnsi="Times New Roman"/>
          <w:sz w:val="28"/>
          <w:szCs w:val="28"/>
          <w:lang w:val="uk-UA"/>
        </w:rPr>
        <w:t>а</w:t>
      </w:r>
      <w:r w:rsidRPr="00CB0434">
        <w:rPr>
          <w:rFonts w:ascii="Times New Roman" w:hAnsi="Times New Roman"/>
          <w:sz w:val="28"/>
          <w:szCs w:val="28"/>
          <w:lang w:val="uk-UA"/>
        </w:rPr>
        <w:t xml:space="preserve"> кожної дуги </w:t>
      </w:r>
      <w:r w:rsidR="00D2288F">
        <w:rPr>
          <w:rFonts w:ascii="Times New Roman" w:hAnsi="Times New Roman"/>
          <w:sz w:val="28"/>
          <w:szCs w:val="28"/>
          <w:lang w:val="uk-UA"/>
        </w:rPr>
        <w:t xml:space="preserve">дорівнює </w:t>
      </w:r>
      <w:r w:rsidRPr="00CB0434">
        <w:rPr>
          <w:rFonts w:ascii="Times New Roman" w:hAnsi="Times New Roman"/>
          <w:sz w:val="28"/>
          <w:szCs w:val="28"/>
          <w:lang w:val="uk-UA"/>
        </w:rPr>
        <w:t>одиниці. Для уточнення когнітивної моделі можна приписувати дугам різні ваги, що призводить до появи виваженого орієнтованого графа. Така вага інтерпретується як відносна сила впливу одного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на інший і може бути позитивною (для </w:t>
      </w:r>
      <w:r w:rsidR="00D2288F">
        <w:rPr>
          <w:rFonts w:ascii="Times New Roman" w:hAnsi="Times New Roman"/>
          <w:sz w:val="28"/>
          <w:szCs w:val="28"/>
          <w:lang w:val="uk-UA"/>
        </w:rPr>
        <w:t>«</w:t>
      </w:r>
      <w:r w:rsidRPr="00CB0434">
        <w:rPr>
          <w:rFonts w:ascii="Times New Roman" w:hAnsi="Times New Roman"/>
          <w:sz w:val="28"/>
          <w:szCs w:val="28"/>
          <w:lang w:val="uk-UA"/>
        </w:rPr>
        <w:t>підсилюючих</w:t>
      </w:r>
      <w:r w:rsidR="00D2288F">
        <w:rPr>
          <w:rFonts w:ascii="Times New Roman" w:hAnsi="Times New Roman"/>
          <w:sz w:val="28"/>
          <w:szCs w:val="28"/>
          <w:lang w:val="uk-UA"/>
        </w:rPr>
        <w:t>»</w:t>
      </w:r>
      <w:r w:rsidRPr="00CB0434">
        <w:rPr>
          <w:rFonts w:ascii="Times New Roman" w:hAnsi="Times New Roman"/>
          <w:sz w:val="28"/>
          <w:szCs w:val="28"/>
          <w:lang w:val="uk-UA"/>
        </w:rPr>
        <w:t xml:space="preserve"> впливів) або негативною (для </w:t>
      </w:r>
      <w:r w:rsidR="00D2288F">
        <w:rPr>
          <w:rFonts w:ascii="Times New Roman" w:hAnsi="Times New Roman"/>
          <w:sz w:val="28"/>
          <w:szCs w:val="28"/>
          <w:lang w:val="uk-UA"/>
        </w:rPr>
        <w:t>«</w:t>
      </w:r>
      <w:r w:rsidRPr="00CB0434">
        <w:rPr>
          <w:rFonts w:ascii="Times New Roman" w:hAnsi="Times New Roman"/>
          <w:sz w:val="28"/>
          <w:szCs w:val="28"/>
          <w:lang w:val="uk-UA"/>
        </w:rPr>
        <w:t>гальмівних</w:t>
      </w:r>
      <w:r w:rsidR="00D2288F">
        <w:rPr>
          <w:rFonts w:ascii="Times New Roman" w:hAnsi="Times New Roman"/>
          <w:sz w:val="28"/>
          <w:szCs w:val="28"/>
          <w:lang w:val="uk-UA"/>
        </w:rPr>
        <w:t>»</w:t>
      </w:r>
      <w:r w:rsidRPr="00CB0434">
        <w:rPr>
          <w:rFonts w:ascii="Times New Roman" w:hAnsi="Times New Roman"/>
          <w:sz w:val="28"/>
          <w:szCs w:val="28"/>
          <w:lang w:val="uk-UA"/>
        </w:rPr>
        <w:t xml:space="preserve"> впливів). Значення ваги можуть визначатися на основі процедури експертного опитування.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Таким чином, когнітивна карта представляється у вигляді орієнтованого графа </w:t>
      </w:r>
      <w:r w:rsidRPr="00AF7F70">
        <w:rPr>
          <w:rFonts w:ascii="Times New Roman" w:hAnsi="Times New Roman"/>
          <w:i/>
          <w:sz w:val="28"/>
          <w:szCs w:val="28"/>
          <w:lang w:val="uk-UA"/>
        </w:rPr>
        <w:t>G</w:t>
      </w:r>
      <w:r w:rsidRPr="005D6D80">
        <w:rPr>
          <w:rFonts w:ascii="Times New Roman" w:hAnsi="Times New Roman"/>
          <w:sz w:val="28"/>
          <w:szCs w:val="28"/>
          <w:lang w:val="uk-UA"/>
        </w:rPr>
        <w:t>(</w:t>
      </w:r>
      <w:r w:rsidRPr="00AF7F70">
        <w:rPr>
          <w:rFonts w:ascii="Times New Roman" w:hAnsi="Times New Roman"/>
          <w:i/>
          <w:sz w:val="28"/>
          <w:szCs w:val="28"/>
          <w:lang w:val="uk-UA"/>
        </w:rPr>
        <w:t>X</w:t>
      </w:r>
      <w:r w:rsidRPr="005D6D80">
        <w:rPr>
          <w:rFonts w:ascii="Times New Roman" w:hAnsi="Times New Roman"/>
          <w:sz w:val="28"/>
          <w:szCs w:val="28"/>
          <w:lang w:val="uk-UA"/>
        </w:rPr>
        <w:t>,</w:t>
      </w:r>
      <w:r w:rsidRPr="00AF7F70">
        <w:rPr>
          <w:rFonts w:ascii="Times New Roman" w:hAnsi="Times New Roman"/>
          <w:i/>
          <w:sz w:val="28"/>
          <w:szCs w:val="28"/>
          <w:lang w:val="uk-UA"/>
        </w:rPr>
        <w:t>W</w:t>
      </w:r>
      <w:r w:rsidRPr="005D6D80">
        <w:rPr>
          <w:rFonts w:ascii="Times New Roman" w:hAnsi="Times New Roman"/>
          <w:sz w:val="28"/>
          <w:szCs w:val="28"/>
          <w:lang w:val="uk-UA"/>
        </w:rPr>
        <w:t xml:space="preserve">), де </w:t>
      </w:r>
      <w:r w:rsidRPr="00AF7F70">
        <w:rPr>
          <w:rFonts w:ascii="Times New Roman" w:hAnsi="Times New Roman"/>
          <w:i/>
          <w:sz w:val="28"/>
          <w:szCs w:val="28"/>
          <w:lang w:val="uk-UA"/>
        </w:rPr>
        <w:t>X</w:t>
      </w:r>
      <w:r w:rsidR="00D2288F">
        <w:rPr>
          <w:rFonts w:ascii="Times New Roman" w:hAnsi="Times New Roman"/>
          <w:sz w:val="28"/>
          <w:szCs w:val="28"/>
          <w:lang w:val="uk-UA"/>
        </w:rPr>
        <w:t> </w:t>
      </w:r>
      <w:r w:rsidRPr="005D6D80">
        <w:rPr>
          <w:rFonts w:ascii="Times New Roman" w:hAnsi="Times New Roman"/>
          <w:sz w:val="28"/>
          <w:szCs w:val="28"/>
          <w:lang w:val="uk-UA"/>
        </w:rPr>
        <w:t>=</w:t>
      </w:r>
      <w:r w:rsidR="00D2288F">
        <w:rPr>
          <w:rFonts w:ascii="Times New Roman" w:hAnsi="Times New Roman"/>
          <w:sz w:val="28"/>
          <w:szCs w:val="28"/>
          <w:lang w:val="uk-UA"/>
        </w:rPr>
        <w:t> </w:t>
      </w:r>
      <w:r w:rsidRPr="005D6D80">
        <w:rPr>
          <w:rFonts w:ascii="Times New Roman" w:hAnsi="Times New Roman"/>
          <w:sz w:val="28"/>
          <w:szCs w:val="28"/>
          <w:lang w:val="uk-UA"/>
        </w:rPr>
        <w:t>{</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i</w:t>
      </w:r>
      <w:r w:rsidRPr="005D6D80">
        <w:rPr>
          <w:rFonts w:ascii="Times New Roman" w:hAnsi="Times New Roman"/>
          <w:sz w:val="28"/>
          <w:szCs w:val="28"/>
          <w:lang w:val="uk-UA"/>
        </w:rPr>
        <w:t>}</w:t>
      </w:r>
      <w:r w:rsidR="00DB1F48">
        <w:rPr>
          <w:rFonts w:ascii="Times New Roman" w:hAnsi="Times New Roman"/>
          <w:sz w:val="28"/>
          <w:szCs w:val="28"/>
          <w:lang w:val="uk-UA"/>
        </w:rPr>
        <w:t xml:space="preserve"> – </w:t>
      </w:r>
      <w:r w:rsidR="00D2288F">
        <w:rPr>
          <w:rFonts w:ascii="Times New Roman" w:hAnsi="Times New Roman"/>
          <w:sz w:val="28"/>
          <w:szCs w:val="28"/>
          <w:lang w:val="uk-UA"/>
        </w:rPr>
        <w:t>с</w:t>
      </w:r>
      <w:r w:rsidRPr="00CB0434">
        <w:rPr>
          <w:rFonts w:ascii="Times New Roman" w:hAnsi="Times New Roman"/>
          <w:sz w:val="28"/>
          <w:szCs w:val="28"/>
          <w:lang w:val="uk-UA"/>
        </w:rPr>
        <w:t>емантичні категорії (факти події, процеси</w:t>
      </w:r>
      <w:r w:rsidR="00D2288F">
        <w:rPr>
          <w:rFonts w:ascii="Times New Roman" w:hAnsi="Times New Roman"/>
          <w:sz w:val="28"/>
          <w:szCs w:val="28"/>
          <w:lang w:val="uk-UA"/>
        </w:rPr>
        <w:t xml:space="preserve"> тощо</w:t>
      </w:r>
      <w:r w:rsidRPr="00CB0434">
        <w:rPr>
          <w:rFonts w:ascii="Times New Roman" w:hAnsi="Times New Roman"/>
          <w:sz w:val="28"/>
          <w:szCs w:val="28"/>
          <w:lang w:val="uk-UA"/>
        </w:rPr>
        <w:t>)</w:t>
      </w:r>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вершини графа; </w:t>
      </w:r>
      <w:r w:rsidRPr="00AF7F70">
        <w:rPr>
          <w:rFonts w:ascii="Times New Roman" w:hAnsi="Times New Roman"/>
          <w:i/>
          <w:sz w:val="28"/>
          <w:szCs w:val="28"/>
          <w:lang w:val="uk-UA"/>
        </w:rPr>
        <w:t>W</w:t>
      </w:r>
      <w:r w:rsidR="00D2288F">
        <w:rPr>
          <w:rFonts w:ascii="Times New Roman" w:hAnsi="Times New Roman"/>
          <w:sz w:val="28"/>
          <w:szCs w:val="28"/>
          <w:lang w:val="uk-UA"/>
        </w:rPr>
        <w:t> </w:t>
      </w:r>
      <w:r w:rsidRPr="005D6D80">
        <w:rPr>
          <w:rFonts w:ascii="Times New Roman" w:hAnsi="Times New Roman"/>
          <w:sz w:val="28"/>
          <w:szCs w:val="28"/>
          <w:lang w:val="uk-UA"/>
        </w:rPr>
        <w:t>=</w:t>
      </w:r>
      <w:r w:rsidR="00D2288F">
        <w:rPr>
          <w:rFonts w:ascii="Times New Roman" w:hAnsi="Times New Roman"/>
          <w:sz w:val="28"/>
          <w:szCs w:val="28"/>
          <w:lang w:val="uk-UA"/>
        </w:rPr>
        <w:t> </w:t>
      </w:r>
      <w:r w:rsidRPr="005D6D80">
        <w:rPr>
          <w:rFonts w:ascii="Times New Roman" w:hAnsi="Times New Roman"/>
          <w:sz w:val="28"/>
          <w:szCs w:val="28"/>
          <w:lang w:val="uk-UA"/>
        </w:rPr>
        <w:t>{</w:t>
      </w:r>
      <w:r w:rsidRPr="00AF7F70">
        <w:rPr>
          <w:rFonts w:ascii="Times New Roman" w:hAnsi="Times New Roman"/>
          <w:i/>
          <w:sz w:val="28"/>
          <w:szCs w:val="28"/>
          <w:lang w:val="uk-UA"/>
        </w:rPr>
        <w:t>W</w:t>
      </w:r>
      <w:r w:rsidRPr="00AF7F70">
        <w:rPr>
          <w:rFonts w:ascii="Times New Roman" w:hAnsi="Times New Roman"/>
          <w:i/>
          <w:sz w:val="28"/>
          <w:szCs w:val="28"/>
          <w:vertAlign w:val="subscript"/>
          <w:lang w:val="uk-UA"/>
        </w:rPr>
        <w:t>ij</w:t>
      </w:r>
      <w:r w:rsidRPr="005D6D80">
        <w:rPr>
          <w:rFonts w:ascii="Times New Roman" w:hAnsi="Times New Roman"/>
          <w:sz w:val="28"/>
          <w:szCs w:val="28"/>
          <w:lang w:val="uk-UA"/>
        </w:rPr>
        <w:t>}</w:t>
      </w:r>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безліч відносин факторів </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j</w:t>
      </w:r>
      <w:r w:rsidRPr="005D6D80">
        <w:rPr>
          <w:rFonts w:ascii="Times New Roman" w:hAnsi="Times New Roman"/>
          <w:sz w:val="28"/>
          <w:szCs w:val="28"/>
          <w:lang w:val="uk-UA"/>
        </w:rPr>
        <w:t xml:space="preserve"> та </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j</w:t>
      </w:r>
      <w:r>
        <w:rPr>
          <w:rFonts w:ascii="Times New Roman" w:hAnsi="Times New Roman"/>
          <w:sz w:val="28"/>
          <w:szCs w:val="28"/>
          <w:lang w:val="uk-UA"/>
        </w:rPr>
        <w:t xml:space="preserve">, </w:t>
      </w:r>
      <w:r w:rsidRPr="00AF7F70">
        <w:rPr>
          <w:rFonts w:ascii="Times New Roman" w:hAnsi="Times New Roman"/>
          <w:i/>
          <w:sz w:val="28"/>
          <w:szCs w:val="28"/>
          <w:lang w:val="uk-UA"/>
        </w:rPr>
        <w:t>i</w:t>
      </w:r>
      <w:r w:rsidRPr="00AF7F70">
        <w:rPr>
          <w:rFonts w:ascii="Times New Roman" w:hAnsi="Times New Roman"/>
          <w:i/>
          <w:sz w:val="28"/>
          <w:szCs w:val="28"/>
          <w:lang w:val="en-US"/>
        </w:rPr>
        <w:t>j</w:t>
      </w:r>
      <w:r w:rsidR="002D6DE0">
        <w:rPr>
          <w:rFonts w:ascii="Times New Roman" w:hAnsi="Times New Roman"/>
          <w:i/>
          <w:sz w:val="28"/>
          <w:szCs w:val="28"/>
        </w:rPr>
        <w:t> </w:t>
      </w:r>
      <w:r>
        <w:rPr>
          <w:rFonts w:ascii="Times New Roman" w:hAnsi="Times New Roman"/>
          <w:sz w:val="28"/>
          <w:szCs w:val="28"/>
          <w:lang w:val="uk-UA"/>
        </w:rPr>
        <w:t>=</w:t>
      </w:r>
      <w:r w:rsidR="002D6DE0">
        <w:rPr>
          <w:rFonts w:ascii="Times New Roman" w:hAnsi="Times New Roman"/>
          <w:sz w:val="28"/>
          <w:szCs w:val="28"/>
          <w:lang w:val="uk-UA"/>
        </w:rPr>
        <w:t> </w:t>
      </w:r>
      <w:r>
        <w:rPr>
          <w:rFonts w:ascii="Times New Roman" w:hAnsi="Times New Roman"/>
          <w:sz w:val="28"/>
          <w:szCs w:val="28"/>
          <w:lang w:val="uk-UA"/>
        </w:rPr>
        <w:t>1</w:t>
      </w:r>
      <w:r w:rsidR="00D2288F">
        <w:rPr>
          <w:rFonts w:ascii="Times New Roman" w:hAnsi="Times New Roman"/>
          <w:sz w:val="28"/>
          <w:szCs w:val="28"/>
          <w:lang w:val="uk-UA"/>
        </w:rPr>
        <w:t>,</w:t>
      </w:r>
      <w:r w:rsidR="002D6DE0">
        <w:rPr>
          <w:rFonts w:ascii="Times New Roman" w:hAnsi="Times New Roman"/>
          <w:sz w:val="28"/>
          <w:szCs w:val="28"/>
          <w:lang w:val="uk-UA"/>
        </w:rPr>
        <w:t>…,</w:t>
      </w:r>
      <w:r w:rsidRPr="00AF7F70">
        <w:rPr>
          <w:rFonts w:ascii="Times New Roman" w:hAnsi="Times New Roman"/>
          <w:i/>
          <w:sz w:val="28"/>
          <w:szCs w:val="28"/>
          <w:lang w:val="uk-UA"/>
        </w:rPr>
        <w:t>n</w:t>
      </w:r>
      <w:r w:rsidRPr="005D6D80">
        <w:rPr>
          <w:rFonts w:ascii="Times New Roman" w:hAnsi="Times New Roman"/>
          <w:sz w:val="28"/>
          <w:szCs w:val="28"/>
          <w:lang w:val="uk-UA"/>
        </w:rPr>
        <w:t xml:space="preserve">, </w:t>
      </w:r>
      <w:r w:rsidR="002D6DE0">
        <w:rPr>
          <w:rFonts w:ascii="Times New Roman" w:hAnsi="Times New Roman"/>
          <w:sz w:val="28"/>
          <w:szCs w:val="28"/>
          <w:lang w:val="uk-UA"/>
        </w:rPr>
        <w:t xml:space="preserve">де </w:t>
      </w:r>
      <w:r w:rsidRPr="00AF7F70">
        <w:rPr>
          <w:rFonts w:ascii="Times New Roman" w:hAnsi="Times New Roman"/>
          <w:i/>
          <w:sz w:val="28"/>
          <w:szCs w:val="28"/>
          <w:lang w:val="uk-UA"/>
        </w:rPr>
        <w:t>n</w:t>
      </w:r>
      <w:r w:rsidR="00DB1F48">
        <w:rPr>
          <w:rFonts w:ascii="Times New Roman" w:hAnsi="Times New Roman"/>
          <w:sz w:val="28"/>
          <w:szCs w:val="28"/>
          <w:lang w:val="uk-UA"/>
        </w:rPr>
        <w:t xml:space="preserve"> – </w:t>
      </w:r>
      <w:r w:rsidRPr="00CB0434">
        <w:rPr>
          <w:rFonts w:ascii="Times New Roman" w:hAnsi="Times New Roman"/>
          <w:sz w:val="28"/>
          <w:szCs w:val="28"/>
          <w:lang w:val="uk-UA"/>
        </w:rPr>
        <w:t>число факторів, що мають відношення до ситуації або проблеми, що розглядається.</w:t>
      </w:r>
    </w:p>
    <w:p w:rsidR="00363C28" w:rsidRPr="00C42CDD"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 xml:space="preserve">Відносини </w:t>
      </w:r>
      <w:r w:rsidRPr="00AF7F70">
        <w:rPr>
          <w:rFonts w:ascii="Times New Roman" w:hAnsi="Times New Roman"/>
          <w:i/>
          <w:sz w:val="28"/>
          <w:szCs w:val="28"/>
          <w:lang w:val="uk-UA"/>
        </w:rPr>
        <w:t>W</w:t>
      </w:r>
      <w:r w:rsidRPr="00AF7F70">
        <w:rPr>
          <w:rFonts w:ascii="Times New Roman" w:hAnsi="Times New Roman"/>
          <w:i/>
          <w:sz w:val="28"/>
          <w:szCs w:val="28"/>
          <w:vertAlign w:val="subscript"/>
          <w:lang w:val="uk-UA"/>
        </w:rPr>
        <w:t>ij</w:t>
      </w:r>
      <w:r w:rsidRPr="00C42CDD">
        <w:rPr>
          <w:rFonts w:ascii="Times New Roman" w:hAnsi="Times New Roman"/>
          <w:sz w:val="28"/>
          <w:szCs w:val="28"/>
          <w:lang w:val="uk-UA"/>
        </w:rPr>
        <w:t xml:space="preserve"> </w:t>
      </w:r>
      <w:r>
        <w:rPr>
          <w:rFonts w:ascii="Times New Roman" w:hAnsi="Times New Roman"/>
          <w:sz w:val="28"/>
          <w:szCs w:val="28"/>
          <w:lang w:val="uk-UA"/>
        </w:rPr>
        <w:t>ϵ</w:t>
      </w:r>
      <w:r w:rsidRPr="00C42CDD">
        <w:rPr>
          <w:rFonts w:ascii="Times New Roman" w:hAnsi="Times New Roman"/>
          <w:sz w:val="28"/>
          <w:szCs w:val="28"/>
          <w:lang w:val="uk-UA"/>
        </w:rPr>
        <w:t xml:space="preserve"> </w:t>
      </w:r>
      <w:r w:rsidRPr="00AF7F70">
        <w:rPr>
          <w:rFonts w:ascii="Times New Roman" w:hAnsi="Times New Roman"/>
          <w:i/>
          <w:sz w:val="28"/>
          <w:szCs w:val="28"/>
          <w:lang w:val="uk-UA"/>
        </w:rPr>
        <w:t>W</w:t>
      </w:r>
      <w:r w:rsidR="00DB1F48">
        <w:rPr>
          <w:rFonts w:ascii="Times New Roman" w:hAnsi="Times New Roman"/>
          <w:sz w:val="28"/>
          <w:szCs w:val="28"/>
          <w:lang w:val="uk-UA"/>
        </w:rPr>
        <w:t xml:space="preserve"> – </w:t>
      </w:r>
      <w:r w:rsidRPr="00CB0434">
        <w:rPr>
          <w:rFonts w:ascii="Times New Roman" w:hAnsi="Times New Roman"/>
          <w:sz w:val="28"/>
          <w:szCs w:val="28"/>
          <w:lang w:val="uk-UA"/>
        </w:rPr>
        <w:t>це семантичні відносини впливу фактор</w:t>
      </w:r>
      <w:r w:rsidR="00D2288F">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i</w:t>
      </w:r>
      <w:r w:rsidRPr="00CB0434">
        <w:rPr>
          <w:rFonts w:ascii="Times New Roman" w:hAnsi="Times New Roman"/>
          <w:sz w:val="28"/>
          <w:szCs w:val="28"/>
          <w:lang w:val="uk-UA"/>
        </w:rPr>
        <w:t xml:space="preserve">, на фактор </w:t>
      </w:r>
      <w:r w:rsidRPr="00AF7F70">
        <w:rPr>
          <w:rFonts w:ascii="Times New Roman" w:hAnsi="Times New Roman"/>
          <w:i/>
          <w:sz w:val="28"/>
          <w:szCs w:val="28"/>
          <w:lang w:val="uk-UA"/>
        </w:rPr>
        <w:t>X</w:t>
      </w:r>
      <w:r w:rsidRPr="00AF7F70">
        <w:rPr>
          <w:rFonts w:ascii="Times New Roman" w:hAnsi="Times New Roman"/>
          <w:i/>
          <w:sz w:val="28"/>
          <w:szCs w:val="28"/>
          <w:vertAlign w:val="subscript"/>
          <w:lang w:val="en-US"/>
        </w:rPr>
        <w:t>j</w:t>
      </w:r>
      <w:r w:rsidRPr="00CB0434">
        <w:rPr>
          <w:rFonts w:ascii="Times New Roman" w:hAnsi="Times New Roman"/>
          <w:sz w:val="28"/>
          <w:szCs w:val="28"/>
          <w:lang w:val="uk-UA"/>
        </w:rPr>
        <w:t xml:space="preserve">. Значення </w:t>
      </w:r>
      <w:r w:rsidRPr="00AF7F70">
        <w:rPr>
          <w:rFonts w:ascii="Times New Roman" w:hAnsi="Times New Roman"/>
          <w:i/>
          <w:sz w:val="28"/>
          <w:szCs w:val="28"/>
          <w:lang w:val="uk-UA"/>
        </w:rPr>
        <w:t>W</w:t>
      </w:r>
      <w:r w:rsidRPr="00AF7F70">
        <w:rPr>
          <w:rFonts w:ascii="Times New Roman" w:hAnsi="Times New Roman"/>
          <w:i/>
          <w:sz w:val="28"/>
          <w:szCs w:val="28"/>
          <w:vertAlign w:val="subscript"/>
          <w:lang w:val="uk-UA"/>
        </w:rPr>
        <w:t>ij</w:t>
      </w:r>
      <w:r w:rsidRPr="00CB0434">
        <w:rPr>
          <w:rFonts w:ascii="Times New Roman" w:hAnsi="Times New Roman"/>
          <w:sz w:val="28"/>
          <w:szCs w:val="28"/>
          <w:lang w:val="uk-UA"/>
        </w:rPr>
        <w:t xml:space="preserve"> інтерпретується як думка (судження) експерта про силу впливу фактор</w:t>
      </w:r>
      <w:r w:rsidR="002D6DE0">
        <w:rPr>
          <w:rFonts w:ascii="Times New Roman" w:hAnsi="Times New Roman"/>
          <w:sz w:val="28"/>
          <w:szCs w:val="28"/>
          <w:lang w:val="uk-UA"/>
        </w:rPr>
        <w:t>у</w:t>
      </w:r>
      <w:r w:rsidRPr="00CB0434">
        <w:rPr>
          <w:rFonts w:ascii="Times New Roman" w:hAnsi="Times New Roman"/>
          <w:sz w:val="28"/>
          <w:szCs w:val="28"/>
          <w:lang w:val="uk-UA"/>
        </w:rPr>
        <w:t xml:space="preserve"> </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i</w:t>
      </w:r>
      <w:r w:rsidRPr="00CB0434">
        <w:rPr>
          <w:rFonts w:ascii="Times New Roman" w:hAnsi="Times New Roman"/>
          <w:sz w:val="28"/>
          <w:szCs w:val="28"/>
          <w:lang w:val="uk-UA"/>
        </w:rPr>
        <w:t xml:space="preserve"> на фактор </w:t>
      </w:r>
      <w:r w:rsidRPr="00AF7F70">
        <w:rPr>
          <w:rFonts w:ascii="Times New Roman" w:hAnsi="Times New Roman"/>
          <w:i/>
          <w:sz w:val="28"/>
          <w:szCs w:val="28"/>
          <w:lang w:val="uk-UA"/>
        </w:rPr>
        <w:t>X</w:t>
      </w:r>
      <w:r w:rsidRPr="00AF7F70">
        <w:rPr>
          <w:rFonts w:ascii="Times New Roman" w:hAnsi="Times New Roman"/>
          <w:i/>
          <w:sz w:val="28"/>
          <w:szCs w:val="28"/>
          <w:vertAlign w:val="subscript"/>
          <w:lang w:val="uk-UA"/>
        </w:rPr>
        <w:t>j</w:t>
      </w:r>
      <w:r w:rsidRPr="00C42CDD">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Сила впливу факторів представляється як лінгвістична змінна </w:t>
      </w:r>
      <w:r w:rsidRPr="00AF7F70">
        <w:rPr>
          <w:rFonts w:ascii="Times New Roman" w:hAnsi="Times New Roman"/>
          <w:i/>
          <w:sz w:val="28"/>
          <w:szCs w:val="28"/>
          <w:lang w:val="uk-UA"/>
        </w:rPr>
        <w:t>Е</w:t>
      </w:r>
      <w:r w:rsidRPr="00CB0434">
        <w:rPr>
          <w:rFonts w:ascii="Times New Roman" w:hAnsi="Times New Roman"/>
          <w:sz w:val="28"/>
          <w:szCs w:val="28"/>
          <w:lang w:val="uk-UA"/>
        </w:rPr>
        <w:t xml:space="preserve">, з терм-множиною </w:t>
      </w:r>
      <w:r w:rsidRPr="00AF7F70">
        <w:rPr>
          <w:rFonts w:ascii="Times New Roman" w:hAnsi="Times New Roman"/>
          <w:i/>
          <w:sz w:val="28"/>
          <w:szCs w:val="28"/>
          <w:lang w:val="uk-UA"/>
        </w:rPr>
        <w:t>е</w:t>
      </w:r>
      <w:r w:rsidRPr="00AF7F70">
        <w:rPr>
          <w:rFonts w:ascii="Times New Roman" w:hAnsi="Times New Roman"/>
          <w:i/>
          <w:sz w:val="28"/>
          <w:szCs w:val="28"/>
          <w:vertAlign w:val="subscript"/>
          <w:lang w:val="uk-UA"/>
        </w:rPr>
        <w:t>i</w:t>
      </w:r>
      <w:r w:rsidRPr="00CB0434">
        <w:rPr>
          <w:rFonts w:ascii="Times New Roman" w:hAnsi="Times New Roman"/>
          <w:sz w:val="28"/>
          <w:szCs w:val="28"/>
          <w:lang w:val="uk-UA"/>
        </w:rPr>
        <w:t xml:space="preserve">, </w:t>
      </w:r>
      <w:r w:rsidRPr="00AF7F70">
        <w:rPr>
          <w:rFonts w:ascii="Times New Roman" w:hAnsi="Times New Roman"/>
          <w:i/>
          <w:sz w:val="28"/>
          <w:szCs w:val="28"/>
          <w:lang w:val="uk-UA"/>
        </w:rPr>
        <w:t>E</w:t>
      </w:r>
      <w:r w:rsidR="002D6DE0">
        <w:rPr>
          <w:rFonts w:ascii="Times New Roman" w:hAnsi="Times New Roman"/>
          <w:sz w:val="28"/>
          <w:szCs w:val="28"/>
          <w:lang w:val="uk-UA"/>
        </w:rPr>
        <w:t> </w:t>
      </w:r>
      <w:r w:rsidRPr="00FD054C">
        <w:rPr>
          <w:rFonts w:ascii="Times New Roman" w:hAnsi="Times New Roman"/>
          <w:sz w:val="28"/>
          <w:szCs w:val="28"/>
          <w:lang w:val="uk-UA"/>
        </w:rPr>
        <w:t>=</w:t>
      </w:r>
      <w:r w:rsidR="002D6DE0">
        <w:rPr>
          <w:rFonts w:ascii="Times New Roman" w:hAnsi="Times New Roman"/>
          <w:sz w:val="28"/>
          <w:szCs w:val="28"/>
          <w:lang w:val="uk-UA"/>
        </w:rPr>
        <w:t> </w:t>
      </w:r>
      <w:r w:rsidRPr="00FD054C">
        <w:rPr>
          <w:rFonts w:ascii="Times New Roman" w:hAnsi="Times New Roman"/>
          <w:sz w:val="28"/>
          <w:szCs w:val="28"/>
          <w:lang w:val="uk-UA"/>
        </w:rPr>
        <w:t>{</w:t>
      </w:r>
      <w:r w:rsidRPr="00AF7F70">
        <w:rPr>
          <w:rFonts w:ascii="Times New Roman" w:hAnsi="Times New Roman"/>
          <w:i/>
          <w:sz w:val="28"/>
          <w:szCs w:val="28"/>
          <w:lang w:val="uk-UA"/>
        </w:rPr>
        <w:t>e</w:t>
      </w:r>
      <w:r w:rsidRPr="00AF7F70">
        <w:rPr>
          <w:rFonts w:ascii="Times New Roman" w:hAnsi="Times New Roman"/>
          <w:i/>
          <w:sz w:val="28"/>
          <w:szCs w:val="28"/>
          <w:vertAlign w:val="subscript"/>
          <w:lang w:val="uk-UA"/>
        </w:rPr>
        <w:t>i</w:t>
      </w:r>
      <w:r w:rsidRPr="00FD054C">
        <w:rPr>
          <w:rFonts w:ascii="Times New Roman" w:hAnsi="Times New Roman"/>
          <w:sz w:val="28"/>
          <w:szCs w:val="28"/>
          <w:lang w:val="uk-UA"/>
        </w:rPr>
        <w:t>}</w:t>
      </w:r>
      <w:r w:rsidR="002D6DE0">
        <w:rPr>
          <w:rFonts w:ascii="Times New Roman" w:hAnsi="Times New Roman"/>
          <w:sz w:val="28"/>
          <w:szCs w:val="28"/>
          <w:lang w:val="uk-UA"/>
        </w:rPr>
        <w:t>,</w:t>
      </w:r>
      <w:r w:rsidRPr="00FD054C">
        <w:rPr>
          <w:rFonts w:ascii="Times New Roman" w:hAnsi="Times New Roman"/>
          <w:sz w:val="28"/>
          <w:szCs w:val="28"/>
          <w:lang w:val="uk-UA"/>
        </w:rPr>
        <w:t xml:space="preserve"> </w:t>
      </w:r>
      <w:r w:rsidRPr="00AF7F70">
        <w:rPr>
          <w:rFonts w:ascii="Times New Roman" w:hAnsi="Times New Roman"/>
          <w:i/>
          <w:sz w:val="28"/>
          <w:szCs w:val="28"/>
          <w:lang w:val="uk-UA"/>
        </w:rPr>
        <w:t>i</w:t>
      </w:r>
      <w:r w:rsidR="002D6DE0">
        <w:rPr>
          <w:rFonts w:ascii="Times New Roman" w:hAnsi="Times New Roman"/>
          <w:sz w:val="28"/>
          <w:szCs w:val="28"/>
          <w:lang w:val="uk-UA"/>
        </w:rPr>
        <w:t> </w:t>
      </w:r>
      <w:r w:rsidRPr="00CB0434">
        <w:rPr>
          <w:rFonts w:ascii="Times New Roman" w:hAnsi="Times New Roman"/>
          <w:sz w:val="28"/>
          <w:szCs w:val="28"/>
          <w:lang w:val="uk-UA"/>
        </w:rPr>
        <w:t>=</w:t>
      </w:r>
      <w:r w:rsidR="002D6DE0">
        <w:rPr>
          <w:rFonts w:ascii="Times New Roman" w:hAnsi="Times New Roman"/>
          <w:sz w:val="28"/>
          <w:szCs w:val="28"/>
          <w:lang w:val="uk-UA"/>
        </w:rPr>
        <w:t> </w:t>
      </w:r>
      <w:r w:rsidRPr="00CB0434">
        <w:rPr>
          <w:rFonts w:ascii="Times New Roman" w:hAnsi="Times New Roman"/>
          <w:sz w:val="28"/>
          <w:szCs w:val="28"/>
          <w:lang w:val="uk-UA"/>
        </w:rPr>
        <w:t xml:space="preserve">1,..., </w:t>
      </w:r>
      <w:r w:rsidRPr="00AF7F70">
        <w:rPr>
          <w:rFonts w:ascii="Times New Roman" w:hAnsi="Times New Roman"/>
          <w:i/>
          <w:sz w:val="28"/>
          <w:szCs w:val="28"/>
          <w:lang w:val="uk-UA"/>
        </w:rPr>
        <w:t>m</w:t>
      </w:r>
      <w:r w:rsidR="002D6DE0">
        <w:rPr>
          <w:rFonts w:ascii="Times New Roman" w:hAnsi="Times New Roman"/>
          <w:sz w:val="28"/>
          <w:szCs w:val="28"/>
          <w:lang w:val="uk-UA"/>
        </w:rPr>
        <w:t>, де</w:t>
      </w:r>
      <w:r>
        <w:rPr>
          <w:rFonts w:ascii="Times New Roman" w:hAnsi="Times New Roman"/>
          <w:sz w:val="28"/>
          <w:szCs w:val="28"/>
          <w:lang w:val="uk-UA"/>
        </w:rPr>
        <w:t xml:space="preserve"> </w:t>
      </w:r>
      <w:r w:rsidRPr="00AF7F70">
        <w:rPr>
          <w:rFonts w:ascii="Times New Roman" w:hAnsi="Times New Roman"/>
          <w:i/>
          <w:sz w:val="28"/>
          <w:szCs w:val="28"/>
          <w:lang w:val="uk-UA"/>
        </w:rPr>
        <w:t>m</w:t>
      </w:r>
      <w:r w:rsidR="00DB1F48">
        <w:rPr>
          <w:rFonts w:ascii="Times New Roman" w:hAnsi="Times New Roman"/>
          <w:sz w:val="28"/>
          <w:szCs w:val="28"/>
          <w:lang w:val="uk-UA"/>
        </w:rPr>
        <w:t xml:space="preserve"> – </w:t>
      </w:r>
      <w:r w:rsidRPr="00CB0434">
        <w:rPr>
          <w:rFonts w:ascii="Times New Roman" w:hAnsi="Times New Roman"/>
          <w:sz w:val="28"/>
          <w:szCs w:val="28"/>
          <w:lang w:val="uk-UA"/>
        </w:rPr>
        <w:t>кількість елементів терм-множини. Значення сили впливу факторів визначається в термінах «Збільшує», «Зменшує»</w:t>
      </w:r>
      <w:r w:rsidR="009332D9" w:rsidRPr="009332D9">
        <w:rPr>
          <w:rFonts w:ascii="Times New Roman" w:hAnsi="Times New Roman"/>
          <w:sz w:val="28"/>
          <w:szCs w:val="28"/>
        </w:rPr>
        <w:t xml:space="preserve"> </w:t>
      </w:r>
      <w:r w:rsidR="009332D9" w:rsidRPr="009332D9">
        <w:rPr>
          <w:rFonts w:ascii="Times New Roman" w:eastAsia="Times New Roman" w:hAnsi="Times New Roman"/>
          <w:sz w:val="28"/>
          <w:szCs w:val="28"/>
        </w:rPr>
        <w:t>[8, c. 57]</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Значення факторів ситуації </w:t>
      </w:r>
      <w:r w:rsidRPr="00AF7F70">
        <w:rPr>
          <w:rFonts w:ascii="Times New Roman" w:hAnsi="Times New Roman"/>
          <w:i/>
          <w:sz w:val="28"/>
          <w:szCs w:val="28"/>
          <w:lang w:val="uk-UA"/>
        </w:rPr>
        <w:t>X</w:t>
      </w:r>
      <w:r w:rsidRPr="00CB0434">
        <w:rPr>
          <w:rFonts w:ascii="Times New Roman" w:hAnsi="Times New Roman"/>
          <w:sz w:val="28"/>
          <w:szCs w:val="28"/>
          <w:lang w:val="uk-UA"/>
        </w:rPr>
        <w:t xml:space="preserve"> також задаються лінгвістичною змінною </w:t>
      </w:r>
      <w:r w:rsidRPr="00AF7F70">
        <w:rPr>
          <w:rFonts w:ascii="Times New Roman" w:hAnsi="Times New Roman"/>
          <w:i/>
          <w:sz w:val="28"/>
          <w:szCs w:val="28"/>
          <w:lang w:val="uk-UA"/>
        </w:rPr>
        <w:t>Н</w:t>
      </w:r>
      <w:r w:rsidRPr="00CB0434">
        <w:rPr>
          <w:rFonts w:ascii="Times New Roman" w:hAnsi="Times New Roman"/>
          <w:sz w:val="28"/>
          <w:szCs w:val="28"/>
          <w:lang w:val="uk-UA"/>
        </w:rPr>
        <w:t xml:space="preserve"> – «Значення фактор</w:t>
      </w:r>
      <w:r w:rsidR="00AB4E9D">
        <w:rPr>
          <w:rFonts w:ascii="Times New Roman" w:hAnsi="Times New Roman"/>
          <w:sz w:val="28"/>
          <w:szCs w:val="28"/>
          <w:lang w:val="uk-UA"/>
        </w:rPr>
        <w:t>у</w:t>
      </w:r>
      <w:r w:rsidRPr="00CB0434">
        <w:rPr>
          <w:rFonts w:ascii="Times New Roman" w:hAnsi="Times New Roman"/>
          <w:sz w:val="28"/>
          <w:szCs w:val="28"/>
          <w:lang w:val="uk-UA"/>
        </w:rPr>
        <w:t>» з терм</w:t>
      </w:r>
      <w:r w:rsidR="00AB4E9D">
        <w:rPr>
          <w:rFonts w:ascii="Times New Roman" w:hAnsi="Times New Roman"/>
          <w:sz w:val="28"/>
          <w:szCs w:val="28"/>
          <w:lang w:val="uk-UA"/>
        </w:rPr>
        <w:t>-множиною</w:t>
      </w:r>
      <w:r w:rsidRPr="00CB0434">
        <w:rPr>
          <w:rFonts w:ascii="Times New Roman" w:hAnsi="Times New Roman"/>
          <w:sz w:val="28"/>
          <w:szCs w:val="28"/>
          <w:lang w:val="uk-UA"/>
        </w:rPr>
        <w:t xml:space="preserve"> </w:t>
      </w:r>
      <w:r w:rsidRPr="00AF7F70">
        <w:rPr>
          <w:rFonts w:ascii="Times New Roman" w:hAnsi="Times New Roman"/>
          <w:i/>
          <w:sz w:val="28"/>
          <w:szCs w:val="28"/>
          <w:lang w:val="uk-UA"/>
        </w:rPr>
        <w:t>h</w:t>
      </w:r>
      <w:r w:rsidRPr="00AF7F70">
        <w:rPr>
          <w:rFonts w:ascii="Times New Roman" w:hAnsi="Times New Roman"/>
          <w:i/>
          <w:sz w:val="28"/>
          <w:szCs w:val="28"/>
          <w:vertAlign w:val="subscript"/>
          <w:lang w:val="uk-UA"/>
        </w:rPr>
        <w:t>i</w:t>
      </w:r>
      <w:r w:rsidRPr="00387FE6">
        <w:rPr>
          <w:rFonts w:ascii="Times New Roman" w:hAnsi="Times New Roman"/>
          <w:sz w:val="28"/>
          <w:szCs w:val="28"/>
          <w:lang w:val="uk-UA"/>
        </w:rPr>
        <w:t xml:space="preserve">, </w:t>
      </w:r>
      <w:r w:rsidRPr="00AF7F70">
        <w:rPr>
          <w:rFonts w:ascii="Times New Roman" w:hAnsi="Times New Roman"/>
          <w:i/>
          <w:sz w:val="28"/>
          <w:szCs w:val="28"/>
          <w:lang w:val="uk-UA"/>
        </w:rPr>
        <w:t>H</w:t>
      </w:r>
      <w:r w:rsidR="00AB4E9D">
        <w:rPr>
          <w:rFonts w:ascii="Times New Roman" w:hAnsi="Times New Roman"/>
          <w:sz w:val="28"/>
          <w:szCs w:val="28"/>
          <w:lang w:val="uk-UA"/>
        </w:rPr>
        <w:t> </w:t>
      </w:r>
      <w:r w:rsidRPr="00387FE6">
        <w:rPr>
          <w:rFonts w:ascii="Times New Roman" w:hAnsi="Times New Roman"/>
          <w:sz w:val="28"/>
          <w:szCs w:val="28"/>
          <w:lang w:val="uk-UA"/>
        </w:rPr>
        <w:t>=</w:t>
      </w:r>
      <w:r w:rsidR="00AB4E9D">
        <w:rPr>
          <w:rFonts w:ascii="Times New Roman" w:hAnsi="Times New Roman"/>
          <w:sz w:val="28"/>
          <w:szCs w:val="28"/>
          <w:lang w:val="uk-UA"/>
        </w:rPr>
        <w:t> </w:t>
      </w:r>
      <w:r w:rsidRPr="00387FE6">
        <w:rPr>
          <w:rFonts w:ascii="Times New Roman" w:hAnsi="Times New Roman"/>
          <w:sz w:val="28"/>
          <w:szCs w:val="28"/>
          <w:lang w:val="uk-UA"/>
        </w:rPr>
        <w:t>{</w:t>
      </w:r>
      <w:r w:rsidRPr="00AF7F70">
        <w:rPr>
          <w:rFonts w:ascii="Times New Roman" w:hAnsi="Times New Roman"/>
          <w:i/>
          <w:sz w:val="28"/>
          <w:szCs w:val="28"/>
          <w:lang w:val="uk-UA"/>
        </w:rPr>
        <w:t>h</w:t>
      </w:r>
      <w:r w:rsidRPr="00AF7F70">
        <w:rPr>
          <w:rFonts w:ascii="Times New Roman" w:hAnsi="Times New Roman"/>
          <w:i/>
          <w:sz w:val="28"/>
          <w:szCs w:val="28"/>
          <w:vertAlign w:val="subscript"/>
          <w:lang w:val="uk-UA"/>
        </w:rPr>
        <w:t>i</w:t>
      </w:r>
      <w:r w:rsidRPr="00387FE6">
        <w:rPr>
          <w:rFonts w:ascii="Times New Roman" w:hAnsi="Times New Roman"/>
          <w:sz w:val="28"/>
          <w:szCs w:val="28"/>
          <w:lang w:val="uk-UA"/>
        </w:rPr>
        <w:t>}</w:t>
      </w:r>
      <w:r w:rsidRPr="00CB0434">
        <w:rPr>
          <w:rFonts w:ascii="Times New Roman" w:hAnsi="Times New Roman"/>
          <w:sz w:val="28"/>
          <w:szCs w:val="28"/>
          <w:lang w:val="uk-UA"/>
        </w:rPr>
        <w:t xml:space="preserve">. </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Елементи терм-множини характеризують значення фактор</w:t>
      </w:r>
      <w:r w:rsidR="00AB4E9D">
        <w:rPr>
          <w:rFonts w:ascii="Times New Roman" w:hAnsi="Times New Roman"/>
          <w:sz w:val="28"/>
          <w:szCs w:val="28"/>
          <w:lang w:val="uk-UA"/>
        </w:rPr>
        <w:t>у</w:t>
      </w:r>
      <w:r w:rsidRPr="00CB0434">
        <w:rPr>
          <w:rFonts w:ascii="Times New Roman" w:hAnsi="Times New Roman"/>
          <w:sz w:val="28"/>
          <w:szCs w:val="28"/>
          <w:lang w:val="uk-UA"/>
        </w:rPr>
        <w:t>, або значення швидкості зміни фактор</w:t>
      </w:r>
      <w:r w:rsidR="00AB4E9D">
        <w:rPr>
          <w:rFonts w:ascii="Times New Roman" w:hAnsi="Times New Roman"/>
          <w:sz w:val="28"/>
          <w:szCs w:val="28"/>
          <w:lang w:val="uk-UA"/>
        </w:rPr>
        <w:t>у</w:t>
      </w:r>
      <w:r w:rsidRPr="00CB0434">
        <w:rPr>
          <w:rFonts w:ascii="Times New Roman" w:hAnsi="Times New Roman"/>
          <w:sz w:val="28"/>
          <w:szCs w:val="28"/>
          <w:lang w:val="uk-UA"/>
        </w:rPr>
        <w:t xml:space="preserve"> (динаміку ситуації) і задаються в термінах </w:t>
      </w:r>
      <w:r w:rsidR="00AB4E9D">
        <w:rPr>
          <w:rFonts w:ascii="Times New Roman" w:hAnsi="Times New Roman"/>
          <w:sz w:val="28"/>
          <w:szCs w:val="28"/>
          <w:lang w:val="uk-UA"/>
        </w:rPr>
        <w:t>«</w:t>
      </w:r>
      <w:r>
        <w:rPr>
          <w:rFonts w:ascii="Times New Roman" w:hAnsi="Times New Roman"/>
          <w:sz w:val="28"/>
          <w:szCs w:val="28"/>
          <w:lang w:val="uk-UA"/>
        </w:rPr>
        <w:t>Зростає</w:t>
      </w:r>
      <w:r w:rsidR="00AB4E9D">
        <w:rPr>
          <w:rFonts w:ascii="Times New Roman" w:hAnsi="Times New Roman"/>
          <w:sz w:val="28"/>
          <w:szCs w:val="28"/>
          <w:lang w:val="uk-UA"/>
        </w:rPr>
        <w:t>»</w:t>
      </w:r>
      <w:r w:rsidRPr="00CB0434">
        <w:rPr>
          <w:rFonts w:ascii="Times New Roman" w:hAnsi="Times New Roman"/>
          <w:sz w:val="28"/>
          <w:szCs w:val="28"/>
          <w:lang w:val="uk-UA"/>
        </w:rPr>
        <w:t xml:space="preserve">, </w:t>
      </w:r>
      <w:r w:rsidR="00AB4E9D">
        <w:rPr>
          <w:rFonts w:ascii="Times New Roman" w:hAnsi="Times New Roman"/>
          <w:sz w:val="28"/>
          <w:szCs w:val="28"/>
          <w:lang w:val="uk-UA"/>
        </w:rPr>
        <w:t>«Сп</w:t>
      </w:r>
      <w:r w:rsidRPr="00CB0434">
        <w:rPr>
          <w:rFonts w:ascii="Times New Roman" w:hAnsi="Times New Roman"/>
          <w:sz w:val="28"/>
          <w:szCs w:val="28"/>
          <w:lang w:val="uk-UA"/>
        </w:rPr>
        <w:t>адає</w:t>
      </w:r>
      <w:r w:rsidR="00AB4E9D">
        <w:rPr>
          <w:rFonts w:ascii="Times New Roman" w:hAnsi="Times New Roman"/>
          <w:sz w:val="28"/>
          <w:szCs w:val="28"/>
          <w:lang w:val="uk-UA"/>
        </w:rPr>
        <w:t>»</w:t>
      </w:r>
      <w:r w:rsidRPr="00CB0434">
        <w:rPr>
          <w:rFonts w:ascii="Times New Roman" w:hAnsi="Times New Roman"/>
          <w:sz w:val="28"/>
          <w:szCs w:val="28"/>
          <w:lang w:val="uk-UA"/>
        </w:rPr>
        <w:t xml:space="preserve">, </w:t>
      </w:r>
      <w:r w:rsidR="00AB4E9D">
        <w:rPr>
          <w:rFonts w:ascii="Times New Roman" w:hAnsi="Times New Roman"/>
          <w:sz w:val="28"/>
          <w:szCs w:val="28"/>
          <w:lang w:val="uk-UA"/>
        </w:rPr>
        <w:t>«</w:t>
      </w:r>
      <w:r w:rsidRPr="00CB0434">
        <w:rPr>
          <w:rFonts w:ascii="Times New Roman" w:hAnsi="Times New Roman"/>
          <w:sz w:val="28"/>
          <w:szCs w:val="28"/>
          <w:lang w:val="uk-UA"/>
        </w:rPr>
        <w:t>Велик</w:t>
      </w:r>
      <w:r w:rsidR="00AB4E9D">
        <w:rPr>
          <w:rFonts w:ascii="Times New Roman" w:hAnsi="Times New Roman"/>
          <w:sz w:val="28"/>
          <w:szCs w:val="28"/>
          <w:lang w:val="uk-UA"/>
        </w:rPr>
        <w:t>ий»</w:t>
      </w:r>
      <w:r w:rsidRPr="00CB0434">
        <w:rPr>
          <w:rFonts w:ascii="Times New Roman" w:hAnsi="Times New Roman"/>
          <w:sz w:val="28"/>
          <w:szCs w:val="28"/>
          <w:lang w:val="uk-UA"/>
        </w:rPr>
        <w:t xml:space="preserve">, </w:t>
      </w:r>
      <w:r w:rsidR="00AB4E9D">
        <w:rPr>
          <w:rFonts w:ascii="Times New Roman" w:hAnsi="Times New Roman"/>
          <w:sz w:val="28"/>
          <w:szCs w:val="28"/>
          <w:lang w:val="uk-UA"/>
        </w:rPr>
        <w:t>«</w:t>
      </w:r>
      <w:r w:rsidRPr="00CB0434">
        <w:rPr>
          <w:rFonts w:ascii="Times New Roman" w:hAnsi="Times New Roman"/>
          <w:sz w:val="28"/>
          <w:szCs w:val="28"/>
          <w:lang w:val="uk-UA"/>
        </w:rPr>
        <w:t>Мал</w:t>
      </w:r>
      <w:r w:rsidR="00AB4E9D">
        <w:rPr>
          <w:rFonts w:ascii="Times New Roman" w:hAnsi="Times New Roman"/>
          <w:sz w:val="28"/>
          <w:szCs w:val="28"/>
          <w:lang w:val="uk-UA"/>
        </w:rPr>
        <w:t>ий»</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Побудова когнітивної моделі включає ряд етапів </w:t>
      </w:r>
      <w:r w:rsidRPr="00CB0434">
        <w:rPr>
          <w:rFonts w:ascii="Times New Roman" w:eastAsia="Times New Roman" w:hAnsi="Times New Roman"/>
          <w:sz w:val="28"/>
          <w:szCs w:val="28"/>
          <w:lang w:val="uk-UA"/>
        </w:rPr>
        <w:t>[86, с. 98]</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1. Визначення мети моделювання. При виконанні цього етапу користувач повинен чітко визначити, які питання досліджуваної проблеми має прояснити модель, що створюється.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2. Виділення підсистем (суб'єктів та об'єктів) досліджуваної проблеми.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3. Виділення факторів, що описують кожну підсистему досліджуваної проблеми чи ситуації з урахуванням мети моделювання.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4. Встановлення зв'язків між факторами підсистеми, які показують, як зміна одного фактор</w:t>
      </w:r>
      <w:r w:rsidR="003E0048">
        <w:rPr>
          <w:rFonts w:ascii="Times New Roman" w:hAnsi="Times New Roman"/>
          <w:sz w:val="28"/>
          <w:szCs w:val="28"/>
          <w:lang w:val="uk-UA"/>
        </w:rPr>
        <w:t>у</w:t>
      </w:r>
      <w:r w:rsidRPr="00CB0434">
        <w:rPr>
          <w:rFonts w:ascii="Times New Roman" w:hAnsi="Times New Roman"/>
          <w:sz w:val="28"/>
          <w:szCs w:val="28"/>
          <w:lang w:val="uk-UA"/>
        </w:rPr>
        <w:t xml:space="preserve"> позначається на змінах інших факторів. При встановленні зв'язків між факторами необхідно вказувати лише безпосередні зв'язки.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5. Встановлення сили зв’</w:t>
      </w:r>
      <w:r w:rsidR="00363C28" w:rsidRPr="00CB0434">
        <w:rPr>
          <w:rFonts w:ascii="Times New Roman" w:hAnsi="Times New Roman"/>
          <w:sz w:val="28"/>
          <w:szCs w:val="28"/>
          <w:lang w:val="uk-UA"/>
        </w:rPr>
        <w:t>язку між факторами підсистеми за допомогою експертних процедур або з урахуванням власного досвіду та інтуїції.</w:t>
      </w:r>
    </w:p>
    <w:p w:rsidR="00363C28" w:rsidRPr="009332D9" w:rsidRDefault="00336F0C" w:rsidP="00363C28">
      <w:pPr>
        <w:spacing w:after="0" w:line="360" w:lineRule="auto"/>
        <w:ind w:firstLine="709"/>
        <w:jc w:val="both"/>
        <w:rPr>
          <w:rFonts w:ascii="Times New Roman" w:hAnsi="Times New Roman"/>
          <w:sz w:val="28"/>
          <w:szCs w:val="28"/>
        </w:rPr>
      </w:pPr>
      <w:r>
        <w:rPr>
          <w:rFonts w:ascii="Times New Roman" w:hAnsi="Times New Roman"/>
          <w:sz w:val="28"/>
          <w:szCs w:val="28"/>
          <w:lang w:val="uk-UA"/>
        </w:rPr>
        <w:t>6. Встановлення сили зв’</w:t>
      </w:r>
      <w:r w:rsidR="00363C28" w:rsidRPr="00CB0434">
        <w:rPr>
          <w:rFonts w:ascii="Times New Roman" w:hAnsi="Times New Roman"/>
          <w:sz w:val="28"/>
          <w:szCs w:val="28"/>
          <w:lang w:val="uk-UA"/>
        </w:rPr>
        <w:t>язків між чинниками різних підсистем</w:t>
      </w:r>
      <w:r w:rsidR="009332D9" w:rsidRPr="009332D9">
        <w:rPr>
          <w:rFonts w:ascii="Times New Roman" w:hAnsi="Times New Roman"/>
          <w:sz w:val="28"/>
          <w:szCs w:val="28"/>
        </w:rPr>
        <w:t xml:space="preserve"> </w:t>
      </w:r>
      <w:r>
        <w:rPr>
          <w:rFonts w:ascii="Times New Roman" w:hAnsi="Times New Roman"/>
          <w:sz w:val="28"/>
          <w:szCs w:val="28"/>
        </w:rPr>
        <w:br/>
      </w:r>
      <w:r w:rsidR="009332D9" w:rsidRPr="009332D9">
        <w:rPr>
          <w:rFonts w:ascii="Times New Roman" w:eastAsia="Times New Roman" w:hAnsi="Times New Roman"/>
          <w:sz w:val="28"/>
          <w:szCs w:val="28"/>
        </w:rPr>
        <w:t>[29, c. 112]</w:t>
      </w:r>
      <w:r w:rsidR="009332D9" w:rsidRPr="009332D9">
        <w:rPr>
          <w:rFonts w:ascii="Times New Roman" w:hAnsi="Times New Roman"/>
          <w:sz w:val="28"/>
          <w:szCs w:val="28"/>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На цьому закінчується побудова когнітивної моделі. Однак склад факторів підсистем, їх взаємозв'язки можуть коригуватися на наступних </w:t>
      </w:r>
      <w:r w:rsidRPr="00CB0434">
        <w:rPr>
          <w:rFonts w:ascii="Times New Roman" w:hAnsi="Times New Roman"/>
          <w:sz w:val="28"/>
          <w:szCs w:val="28"/>
          <w:lang w:val="uk-UA"/>
        </w:rPr>
        <w:lastRenderedPageBreak/>
        <w:t>етапах дослідження проблеми задля досягнення прийнятної адекватності модельних та реальних процесів.</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Можливий варіант подання взаємодії факторів, що визначають інвестиційну привабливість підприємства </w:t>
      </w:r>
      <w:r w:rsidR="00ED04DE" w:rsidRPr="00D733EB">
        <w:rPr>
          <w:rFonts w:ascii="Times New Roman" w:hAnsi="Times New Roman"/>
          <w:sz w:val="28"/>
          <w:szCs w:val="28"/>
          <w:lang w:val="uk-UA"/>
        </w:rPr>
        <w:t>сільськогосподарських підприємств</w:t>
      </w:r>
      <w:r w:rsidRPr="00CB0434">
        <w:rPr>
          <w:rFonts w:ascii="Times New Roman" w:hAnsi="Times New Roman"/>
          <w:sz w:val="28"/>
          <w:szCs w:val="28"/>
          <w:lang w:val="uk-UA"/>
        </w:rPr>
        <w:t xml:space="preserve">, що включає десять взаємопов'язаних основних факторів, показаний на </w:t>
      </w:r>
      <w:r w:rsidRPr="00AF7F70">
        <w:rPr>
          <w:rFonts w:ascii="Times New Roman" w:hAnsi="Times New Roman"/>
          <w:sz w:val="28"/>
          <w:szCs w:val="28"/>
          <w:lang w:val="uk-UA"/>
        </w:rPr>
        <w:t>рис. 1.5.</w:t>
      </w:r>
    </w:p>
    <w:p w:rsidR="00363C28" w:rsidRDefault="002F389C" w:rsidP="00363C28">
      <w:pPr>
        <w:spacing w:after="0" w:line="360" w:lineRule="auto"/>
        <w:ind w:firstLine="709"/>
        <w:jc w:val="both"/>
        <w:rPr>
          <w:rFonts w:ascii="Times New Roman" w:hAnsi="Times New Roman"/>
          <w:sz w:val="28"/>
          <w:szCs w:val="28"/>
          <w:highlight w:val="yellow"/>
          <w:lang w:val="uk-UA"/>
        </w:rPr>
      </w:pPr>
      <w:r>
        <w:rPr>
          <w:noProof/>
          <w:lang w:val="uk-UA" w:eastAsia="uk-UA"/>
        </w:rPr>
        <mc:AlternateContent>
          <mc:Choice Requires="wpg">
            <w:drawing>
              <wp:anchor distT="0" distB="0" distL="114300" distR="114300" simplePos="0" relativeHeight="251666944" behindDoc="0" locked="0" layoutInCell="1" allowOverlap="1" wp14:anchorId="36F2C1BF" wp14:editId="19FF80CD">
                <wp:simplePos x="0" y="0"/>
                <wp:positionH relativeFrom="column">
                  <wp:posOffset>-211455</wp:posOffset>
                </wp:positionH>
                <wp:positionV relativeFrom="paragraph">
                  <wp:posOffset>72390</wp:posOffset>
                </wp:positionV>
                <wp:extent cx="6048375" cy="3514725"/>
                <wp:effectExtent l="0" t="0" r="28575" b="28575"/>
                <wp:wrapNone/>
                <wp:docPr id="1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8375" cy="3514725"/>
                          <a:chOff x="1125" y="630"/>
                          <a:chExt cx="9525" cy="5535"/>
                        </a:xfrm>
                      </wpg:grpSpPr>
                      <wps:wsp>
                        <wps:cNvPr id="17" name="Rectangle 77"/>
                        <wps:cNvSpPr>
                          <a:spLocks noChangeArrowheads="1"/>
                        </wps:cNvSpPr>
                        <wps:spPr bwMode="auto">
                          <a:xfrm>
                            <a:off x="1830" y="630"/>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1. З</w:t>
                              </w:r>
                              <w:r w:rsidRPr="00451697">
                                <w:rPr>
                                  <w:rFonts w:ascii="Times New Roman" w:hAnsi="Times New Roman"/>
                                  <w:lang w:val="uk-UA"/>
                                </w:rPr>
                                <w:t>ростання пропускної спроможності</w:t>
                              </w:r>
                            </w:p>
                          </w:txbxContent>
                        </wps:txbx>
                        <wps:bodyPr rot="0" vert="horz" wrap="square" lIns="91440" tIns="45720" rIns="91440" bIns="45720" anchor="t" anchorCtr="0" upright="1">
                          <a:noAutofit/>
                        </wps:bodyPr>
                      </wps:wsp>
                      <wps:wsp>
                        <wps:cNvPr id="18" name="Rectangle 78"/>
                        <wps:cNvSpPr>
                          <a:spLocks noChangeArrowheads="1"/>
                        </wps:cNvSpPr>
                        <wps:spPr bwMode="auto">
                          <a:xfrm>
                            <a:off x="4725" y="630"/>
                            <a:ext cx="2370"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2. З</w:t>
                              </w:r>
                              <w:r w:rsidRPr="00451697">
                                <w:rPr>
                                  <w:rFonts w:ascii="Times New Roman" w:hAnsi="Times New Roman"/>
                                  <w:lang w:val="uk-UA"/>
                                </w:rPr>
                                <w:t>більшення обсягів поставок та виручки від реалізації</w:t>
                              </w:r>
                            </w:p>
                          </w:txbxContent>
                        </wps:txbx>
                        <wps:bodyPr rot="0" vert="horz" wrap="square" lIns="91440" tIns="45720" rIns="91440" bIns="45720" anchor="t" anchorCtr="0" upright="1">
                          <a:noAutofit/>
                        </wps:bodyPr>
                      </wps:wsp>
                      <wps:wsp>
                        <wps:cNvPr id="19" name="Rectangle 79"/>
                        <wps:cNvSpPr>
                          <a:spLocks noChangeArrowheads="1"/>
                        </wps:cNvSpPr>
                        <wps:spPr bwMode="auto">
                          <a:xfrm>
                            <a:off x="7950" y="630"/>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3. З</w:t>
                              </w:r>
                              <w:r w:rsidRPr="00451697">
                                <w:rPr>
                                  <w:rFonts w:ascii="Times New Roman" w:hAnsi="Times New Roman"/>
                                  <w:lang w:val="uk-UA"/>
                                </w:rPr>
                                <w:t>ростання прибутку</w:t>
                              </w:r>
                            </w:p>
                          </w:txbxContent>
                        </wps:txbx>
                        <wps:bodyPr rot="0" vert="horz" wrap="square" lIns="91440" tIns="45720" rIns="91440" bIns="45720" anchor="t" anchorCtr="0" upright="1">
                          <a:noAutofit/>
                        </wps:bodyPr>
                      </wps:wsp>
                      <wps:wsp>
                        <wps:cNvPr id="20" name="Rectangle 80"/>
                        <wps:cNvSpPr>
                          <a:spLocks noChangeArrowheads="1"/>
                        </wps:cNvSpPr>
                        <wps:spPr bwMode="auto">
                          <a:xfrm>
                            <a:off x="8625" y="2025"/>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4. З</w:t>
                              </w:r>
                              <w:r w:rsidRPr="00451697">
                                <w:rPr>
                                  <w:rFonts w:ascii="Times New Roman" w:hAnsi="Times New Roman"/>
                                  <w:lang w:val="uk-UA"/>
                                </w:rPr>
                                <w:t>ростання інвестицій та модернізації</w:t>
                              </w:r>
                            </w:p>
                          </w:txbxContent>
                        </wps:txbx>
                        <wps:bodyPr rot="0" vert="horz" wrap="square" lIns="91440" tIns="45720" rIns="91440" bIns="45720" anchor="t" anchorCtr="0" upright="1">
                          <a:noAutofit/>
                        </wps:bodyPr>
                      </wps:wsp>
                      <wps:wsp>
                        <wps:cNvPr id="21" name="Rectangle 81"/>
                        <wps:cNvSpPr>
                          <a:spLocks noChangeArrowheads="1"/>
                        </wps:cNvSpPr>
                        <wps:spPr bwMode="auto">
                          <a:xfrm>
                            <a:off x="8625" y="3405"/>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9. С</w:t>
                              </w:r>
                              <w:r w:rsidRPr="00451697">
                                <w:rPr>
                                  <w:rFonts w:ascii="Times New Roman" w:hAnsi="Times New Roman"/>
                                  <w:lang w:val="uk-UA"/>
                                </w:rPr>
                                <w:t>корочення експлуатаційних витрат</w:t>
                              </w:r>
                            </w:p>
                          </w:txbxContent>
                        </wps:txbx>
                        <wps:bodyPr rot="0" vert="horz" wrap="square" lIns="91440" tIns="45720" rIns="91440" bIns="45720" anchor="t" anchorCtr="0" upright="1">
                          <a:noAutofit/>
                        </wps:bodyPr>
                      </wps:wsp>
                      <wps:wsp>
                        <wps:cNvPr id="22" name="Rectangle 82"/>
                        <wps:cNvSpPr>
                          <a:spLocks noChangeArrowheads="1"/>
                        </wps:cNvSpPr>
                        <wps:spPr bwMode="auto">
                          <a:xfrm>
                            <a:off x="1125" y="2175"/>
                            <a:ext cx="2400"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6.</w:t>
                              </w:r>
                              <w:r w:rsidRPr="00451697">
                                <w:t xml:space="preserve"> </w:t>
                              </w:r>
                              <w:r>
                                <w:rPr>
                                  <w:rFonts w:ascii="Times New Roman" w:hAnsi="Times New Roman"/>
                                  <w:lang w:val="uk-UA"/>
                                </w:rPr>
                                <w:t>З</w:t>
                              </w:r>
                              <w:r w:rsidRPr="00451697">
                                <w:rPr>
                                  <w:rFonts w:ascii="Times New Roman" w:hAnsi="Times New Roman"/>
                                  <w:lang w:val="uk-UA"/>
                                </w:rPr>
                                <w:t>ниження витрат на виплату штрафів та компенсацій</w:t>
                              </w:r>
                            </w:p>
                          </w:txbxContent>
                        </wps:txbx>
                        <wps:bodyPr rot="0" vert="horz" wrap="square" lIns="91440" tIns="45720" rIns="91440" bIns="45720" anchor="t" anchorCtr="0" upright="1">
                          <a:noAutofit/>
                        </wps:bodyPr>
                      </wps:wsp>
                      <wps:wsp>
                        <wps:cNvPr id="23" name="Rectangle 83"/>
                        <wps:cNvSpPr>
                          <a:spLocks noChangeArrowheads="1"/>
                        </wps:cNvSpPr>
                        <wps:spPr bwMode="auto">
                          <a:xfrm>
                            <a:off x="4935" y="2280"/>
                            <a:ext cx="2025" cy="119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5.</w:t>
                              </w:r>
                              <w:r w:rsidRPr="00451697">
                                <w:t xml:space="preserve"> </w:t>
                              </w:r>
                              <w:r>
                                <w:rPr>
                                  <w:rFonts w:ascii="Times New Roman" w:hAnsi="Times New Roman"/>
                                  <w:lang w:val="uk-UA"/>
                                </w:rPr>
                                <w:t>М</w:t>
                              </w:r>
                              <w:r w:rsidRPr="00451697">
                                <w:rPr>
                                  <w:rFonts w:ascii="Times New Roman" w:hAnsi="Times New Roman"/>
                                  <w:lang w:val="uk-UA"/>
                                </w:rPr>
                                <w:t>інімізація шкідливого впливу на екологію</w:t>
                              </w:r>
                            </w:p>
                          </w:txbxContent>
                        </wps:txbx>
                        <wps:bodyPr rot="0" vert="horz" wrap="square" lIns="91440" tIns="45720" rIns="91440" bIns="45720" anchor="t" anchorCtr="0" upright="1">
                          <a:noAutofit/>
                        </wps:bodyPr>
                      </wps:wsp>
                      <wps:wsp>
                        <wps:cNvPr id="24" name="Rectangle 84"/>
                        <wps:cNvSpPr>
                          <a:spLocks noChangeArrowheads="1"/>
                        </wps:cNvSpPr>
                        <wps:spPr bwMode="auto">
                          <a:xfrm>
                            <a:off x="1425" y="3585"/>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7.</w:t>
                              </w:r>
                              <w:r w:rsidRPr="00451697">
                                <w:t xml:space="preserve"> </w:t>
                              </w:r>
                              <w:r w:rsidRPr="00451697">
                                <w:rPr>
                                  <w:rFonts w:ascii="Times New Roman" w:hAnsi="Times New Roman"/>
                                  <w:lang w:val="uk-UA"/>
                                </w:rPr>
                                <w:t>зниження собівартості</w:t>
                              </w:r>
                            </w:p>
                          </w:txbxContent>
                        </wps:txbx>
                        <wps:bodyPr rot="0" vert="horz" wrap="square" lIns="91440" tIns="45720" rIns="91440" bIns="45720" anchor="t" anchorCtr="0" upright="1">
                          <a:noAutofit/>
                        </wps:bodyPr>
                      </wps:wsp>
                      <wps:wsp>
                        <wps:cNvPr id="25" name="Rectangle 85"/>
                        <wps:cNvSpPr>
                          <a:spLocks noChangeArrowheads="1"/>
                        </wps:cNvSpPr>
                        <wps:spPr bwMode="auto">
                          <a:xfrm>
                            <a:off x="2310" y="5160"/>
                            <a:ext cx="2025" cy="1005"/>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Pr>
                                  <w:rFonts w:ascii="Times New Roman" w:hAnsi="Times New Roman"/>
                                  <w:lang w:val="uk-UA"/>
                                </w:rPr>
                                <w:t>10.</w:t>
                              </w:r>
                              <w:r w:rsidRPr="00451697">
                                <w:t xml:space="preserve"> </w:t>
                              </w:r>
                              <w:r>
                                <w:rPr>
                                  <w:rFonts w:ascii="Times New Roman" w:hAnsi="Times New Roman"/>
                                  <w:lang w:val="uk-UA"/>
                                </w:rPr>
                                <w:t>З</w:t>
                              </w:r>
                              <w:r w:rsidRPr="00451697">
                                <w:rPr>
                                  <w:rFonts w:ascii="Times New Roman" w:hAnsi="Times New Roman"/>
                                  <w:lang w:val="uk-UA"/>
                                </w:rPr>
                                <w:t>ростання стабільності та надійності постачання</w:t>
                              </w:r>
                            </w:p>
                          </w:txbxContent>
                        </wps:txbx>
                        <wps:bodyPr rot="0" vert="horz" wrap="square" lIns="91440" tIns="45720" rIns="91440" bIns="45720" anchor="t" anchorCtr="0" upright="1">
                          <a:noAutofit/>
                        </wps:bodyPr>
                      </wps:wsp>
                      <wps:wsp>
                        <wps:cNvPr id="26" name="AutoShape 86"/>
                        <wps:cNvCnPr>
                          <a:cxnSpLocks noChangeShapeType="1"/>
                        </wps:cNvCnPr>
                        <wps:spPr bwMode="auto">
                          <a:xfrm flipV="1">
                            <a:off x="3450" y="1185"/>
                            <a:ext cx="4500" cy="2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Rectangle 87"/>
                        <wps:cNvSpPr>
                          <a:spLocks noChangeArrowheads="1"/>
                        </wps:cNvSpPr>
                        <wps:spPr bwMode="auto">
                          <a:xfrm>
                            <a:off x="4935" y="3585"/>
                            <a:ext cx="2025" cy="766"/>
                          </a:xfrm>
                          <a:prstGeom prst="rect">
                            <a:avLst/>
                          </a:prstGeom>
                          <a:solidFill>
                            <a:srgbClr val="FFFFFF"/>
                          </a:solidFill>
                          <a:ln w="9525">
                            <a:solidFill>
                              <a:srgbClr val="000000"/>
                            </a:solidFill>
                            <a:miter lim="800000"/>
                            <a:headEnd/>
                            <a:tailEnd/>
                          </a:ln>
                        </wps:spPr>
                        <wps:txbx>
                          <w:txbxContent>
                            <w:p w:rsidR="00EB5B4E" w:rsidRPr="00451697" w:rsidRDefault="00EB5B4E" w:rsidP="002F389C">
                              <w:pPr>
                                <w:jc w:val="center"/>
                                <w:rPr>
                                  <w:rFonts w:ascii="Times New Roman" w:hAnsi="Times New Roman"/>
                                  <w:lang w:val="uk-UA"/>
                                </w:rPr>
                              </w:pPr>
                              <w:r w:rsidRPr="003440B9">
                                <w:rPr>
                                  <w:rFonts w:ascii="Times New Roman" w:hAnsi="Times New Roman"/>
                                  <w:lang w:val="uk-UA"/>
                                </w:rPr>
                                <w:t>8.</w:t>
                              </w:r>
                              <w:r w:rsidRPr="003440B9">
                                <w:t xml:space="preserve"> </w:t>
                              </w:r>
                              <w:r w:rsidRPr="003440B9">
                                <w:rPr>
                                  <w:rFonts w:ascii="Times New Roman" w:hAnsi="Times New Roman"/>
                                  <w:lang w:val="uk-UA"/>
                                </w:rPr>
                                <w:t>Збільшення</w:t>
                              </w:r>
                            </w:p>
                          </w:txbxContent>
                        </wps:txbx>
                        <wps:bodyPr rot="0" vert="horz" wrap="square" lIns="91440" tIns="45720" rIns="91440" bIns="45720" anchor="t" anchorCtr="0" upright="1">
                          <a:noAutofit/>
                        </wps:bodyPr>
                      </wps:wsp>
                      <wps:wsp>
                        <wps:cNvPr id="28" name="AutoShape 88"/>
                        <wps:cNvCnPr>
                          <a:cxnSpLocks noChangeShapeType="1"/>
                        </wps:cNvCnPr>
                        <wps:spPr bwMode="auto">
                          <a:xfrm>
                            <a:off x="3855" y="1005"/>
                            <a:ext cx="8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89"/>
                        <wps:cNvCnPr>
                          <a:cxnSpLocks noChangeShapeType="1"/>
                        </wps:cNvCnPr>
                        <wps:spPr bwMode="auto">
                          <a:xfrm>
                            <a:off x="7095" y="1080"/>
                            <a:ext cx="8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90"/>
                        <wps:cNvCnPr>
                          <a:cxnSpLocks noChangeShapeType="1"/>
                        </wps:cNvCnPr>
                        <wps:spPr bwMode="auto">
                          <a:xfrm flipH="1" flipV="1">
                            <a:off x="3855" y="1635"/>
                            <a:ext cx="4770" cy="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91"/>
                        <wps:cNvCnPr>
                          <a:cxnSpLocks noChangeShapeType="1"/>
                        </wps:cNvCnPr>
                        <wps:spPr bwMode="auto">
                          <a:xfrm flipH="1">
                            <a:off x="6960" y="2400"/>
                            <a:ext cx="1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92"/>
                        <wps:cNvCnPr>
                          <a:cxnSpLocks noChangeShapeType="1"/>
                        </wps:cNvCnPr>
                        <wps:spPr bwMode="auto">
                          <a:xfrm>
                            <a:off x="3750" y="1635"/>
                            <a:ext cx="0" cy="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93"/>
                        <wps:cNvCnPr>
                          <a:cxnSpLocks noChangeShapeType="1"/>
                        </wps:cNvCnPr>
                        <wps:spPr bwMode="auto">
                          <a:xfrm>
                            <a:off x="2865" y="3180"/>
                            <a:ext cx="0" cy="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94"/>
                        <wps:cNvCnPr>
                          <a:cxnSpLocks noChangeShapeType="1"/>
                        </wps:cNvCnPr>
                        <wps:spPr bwMode="auto">
                          <a:xfrm flipH="1">
                            <a:off x="3525" y="2505"/>
                            <a:ext cx="1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95"/>
                        <wps:cNvCnPr>
                          <a:cxnSpLocks noChangeShapeType="1"/>
                        </wps:cNvCnPr>
                        <wps:spPr bwMode="auto">
                          <a:xfrm flipH="1">
                            <a:off x="3090" y="2505"/>
                            <a:ext cx="1845" cy="10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96"/>
                        <wps:cNvCnPr>
                          <a:cxnSpLocks noChangeShapeType="1"/>
                        </wps:cNvCnPr>
                        <wps:spPr bwMode="auto">
                          <a:xfrm flipV="1">
                            <a:off x="3525" y="3180"/>
                            <a:ext cx="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97"/>
                        <wps:cNvCnPr>
                          <a:cxnSpLocks noChangeShapeType="1"/>
                        </wps:cNvCnPr>
                        <wps:spPr bwMode="auto">
                          <a:xfrm flipH="1">
                            <a:off x="3450" y="4320"/>
                            <a:ext cx="5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98"/>
                        <wps:cNvCnPr>
                          <a:cxnSpLocks noChangeShapeType="1"/>
                        </wps:cNvCnPr>
                        <wps:spPr bwMode="auto">
                          <a:xfrm>
                            <a:off x="6960" y="3840"/>
                            <a:ext cx="1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99"/>
                        <wps:cNvCnPr>
                          <a:cxnSpLocks noChangeShapeType="1"/>
                        </wps:cNvCnPr>
                        <wps:spPr bwMode="auto">
                          <a:xfrm flipH="1">
                            <a:off x="6960" y="2400"/>
                            <a:ext cx="1665" cy="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100"/>
                        <wps:cNvCnPr>
                          <a:cxnSpLocks noChangeShapeType="1"/>
                        </wps:cNvCnPr>
                        <wps:spPr bwMode="auto">
                          <a:xfrm flipH="1" flipV="1">
                            <a:off x="3855" y="1710"/>
                            <a:ext cx="1080" cy="1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6" o:spid="_x0000_s1098" style="position:absolute;left:0;text-align:left;margin-left:-16.65pt;margin-top:5.7pt;width:476.25pt;height:276.75pt;z-index:251666944;mso-position-horizontal-relative:text;mso-position-vertical-relative:text" coordorigin="1125,630" coordsize="9525,5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">
                <v:rect id="Rectangle 77" o:spid="_x0000_s1099" style="position:absolute;left:1830;top:630;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1. З</w:t>
                        </w:r>
                        <w:r w:rsidRPr="00451697">
                          <w:rPr>
                            <w:rFonts w:ascii="Times New Roman" w:hAnsi="Times New Roman"/>
                            <w:lang w:val="uk-UA"/>
                          </w:rPr>
                          <w:t>ростання пропускної спроможності</w:t>
                        </w:r>
                      </w:p>
                    </w:txbxContent>
                  </v:textbox>
                </v:rect>
                <v:rect id="Rectangle 78" o:spid="_x0000_s1100" style="position:absolute;left:4725;top:630;width:2370;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2. З</w:t>
                        </w:r>
                        <w:r w:rsidRPr="00451697">
                          <w:rPr>
                            <w:rFonts w:ascii="Times New Roman" w:hAnsi="Times New Roman"/>
                            <w:lang w:val="uk-UA"/>
                          </w:rPr>
                          <w:t>більшення обсягів поставок та виручки від реалізації</w:t>
                        </w:r>
                      </w:p>
                    </w:txbxContent>
                  </v:textbox>
                </v:rect>
                <v:rect id="Rectangle 79" o:spid="_x0000_s1101" style="position:absolute;left:7950;top:630;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3. З</w:t>
                        </w:r>
                        <w:r w:rsidRPr="00451697">
                          <w:rPr>
                            <w:rFonts w:ascii="Times New Roman" w:hAnsi="Times New Roman"/>
                            <w:lang w:val="uk-UA"/>
                          </w:rPr>
                          <w:t>ростання прибутку</w:t>
                        </w:r>
                      </w:p>
                    </w:txbxContent>
                  </v:textbox>
                </v:rect>
                <v:rect id="Rectangle 80" o:spid="_x0000_s1102" style="position:absolute;left:8625;top:2025;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4. З</w:t>
                        </w:r>
                        <w:r w:rsidRPr="00451697">
                          <w:rPr>
                            <w:rFonts w:ascii="Times New Roman" w:hAnsi="Times New Roman"/>
                            <w:lang w:val="uk-UA"/>
                          </w:rPr>
                          <w:t>ростання інвестицій та модернізації</w:t>
                        </w:r>
                      </w:p>
                    </w:txbxContent>
                  </v:textbox>
                </v:rect>
                <v:rect id="Rectangle 81" o:spid="_x0000_s1103" style="position:absolute;left:8625;top:3405;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9. С</w:t>
                        </w:r>
                        <w:r w:rsidRPr="00451697">
                          <w:rPr>
                            <w:rFonts w:ascii="Times New Roman" w:hAnsi="Times New Roman"/>
                            <w:lang w:val="uk-UA"/>
                          </w:rPr>
                          <w:t>корочення експлуатаційних витрат</w:t>
                        </w:r>
                      </w:p>
                    </w:txbxContent>
                  </v:textbox>
                </v:rect>
                <v:rect id="Rectangle 82" o:spid="_x0000_s1104" style="position:absolute;left:1125;top:2175;width:2400;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6.</w:t>
                        </w:r>
                        <w:r w:rsidRPr="00451697">
                          <w:t xml:space="preserve"> </w:t>
                        </w:r>
                        <w:r>
                          <w:rPr>
                            <w:rFonts w:ascii="Times New Roman" w:hAnsi="Times New Roman"/>
                            <w:lang w:val="uk-UA"/>
                          </w:rPr>
                          <w:t>З</w:t>
                        </w:r>
                        <w:r w:rsidRPr="00451697">
                          <w:rPr>
                            <w:rFonts w:ascii="Times New Roman" w:hAnsi="Times New Roman"/>
                            <w:lang w:val="uk-UA"/>
                          </w:rPr>
                          <w:t>ниження витрат на виплату штрафів та компенсацій</w:t>
                        </w:r>
                      </w:p>
                    </w:txbxContent>
                  </v:textbox>
                </v:rect>
                <v:rect id="Rectangle 83" o:spid="_x0000_s1105" style="position:absolute;left:4935;top:2280;width:2025;height:1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5.</w:t>
                        </w:r>
                        <w:r w:rsidRPr="00451697">
                          <w:t xml:space="preserve"> </w:t>
                        </w:r>
                        <w:r>
                          <w:rPr>
                            <w:rFonts w:ascii="Times New Roman" w:hAnsi="Times New Roman"/>
                            <w:lang w:val="uk-UA"/>
                          </w:rPr>
                          <w:t>М</w:t>
                        </w:r>
                        <w:r w:rsidRPr="00451697">
                          <w:rPr>
                            <w:rFonts w:ascii="Times New Roman" w:hAnsi="Times New Roman"/>
                            <w:lang w:val="uk-UA"/>
                          </w:rPr>
                          <w:t>інімізація шкідливого впливу на екологію</w:t>
                        </w:r>
                      </w:p>
                    </w:txbxContent>
                  </v:textbox>
                </v:rect>
                <v:rect id="Rectangle 84" o:spid="_x0000_s1106" style="position:absolute;left:1425;top:3585;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7.</w:t>
                        </w:r>
                        <w:r w:rsidRPr="00451697">
                          <w:t xml:space="preserve"> </w:t>
                        </w:r>
                        <w:r w:rsidRPr="00451697">
                          <w:rPr>
                            <w:rFonts w:ascii="Times New Roman" w:hAnsi="Times New Roman"/>
                            <w:lang w:val="uk-UA"/>
                          </w:rPr>
                          <w:t>зниження собівартості</w:t>
                        </w:r>
                      </w:p>
                    </w:txbxContent>
                  </v:textbox>
                </v:rect>
                <v:rect id="Rectangle 85" o:spid="_x0000_s1107" style="position:absolute;left:2310;top:5160;width:2025;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EB5B4E" w:rsidRPr="00451697" w:rsidRDefault="00EB5B4E" w:rsidP="002F389C">
                        <w:pPr>
                          <w:jc w:val="center"/>
                          <w:rPr>
                            <w:rFonts w:ascii="Times New Roman" w:hAnsi="Times New Roman"/>
                            <w:lang w:val="uk-UA"/>
                          </w:rPr>
                        </w:pPr>
                        <w:r>
                          <w:rPr>
                            <w:rFonts w:ascii="Times New Roman" w:hAnsi="Times New Roman"/>
                            <w:lang w:val="uk-UA"/>
                          </w:rPr>
                          <w:t>10.</w:t>
                        </w:r>
                        <w:r w:rsidRPr="00451697">
                          <w:t xml:space="preserve"> </w:t>
                        </w:r>
                        <w:r>
                          <w:rPr>
                            <w:rFonts w:ascii="Times New Roman" w:hAnsi="Times New Roman"/>
                            <w:lang w:val="uk-UA"/>
                          </w:rPr>
                          <w:t>З</w:t>
                        </w:r>
                        <w:r w:rsidRPr="00451697">
                          <w:rPr>
                            <w:rFonts w:ascii="Times New Roman" w:hAnsi="Times New Roman"/>
                            <w:lang w:val="uk-UA"/>
                          </w:rPr>
                          <w:t>ростання стабільності та надійності постачання</w:t>
                        </w:r>
                      </w:p>
                    </w:txbxContent>
                  </v:textbox>
                </v:rect>
                <v:shape id="AutoShape 86" o:spid="_x0000_s1108" type="#_x0000_t32" style="position:absolute;left:3450;top:1185;width:4500;height:265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rect id="Rectangle 87" o:spid="_x0000_s1109" style="position:absolute;left:4935;top:3585;width:2025;height: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EB5B4E" w:rsidRPr="00451697" w:rsidRDefault="00EB5B4E" w:rsidP="002F389C">
                        <w:pPr>
                          <w:jc w:val="center"/>
                          <w:rPr>
                            <w:rFonts w:ascii="Times New Roman" w:hAnsi="Times New Roman"/>
                            <w:lang w:val="uk-UA"/>
                          </w:rPr>
                        </w:pPr>
                        <w:r w:rsidRPr="003440B9">
                          <w:rPr>
                            <w:rFonts w:ascii="Times New Roman" w:hAnsi="Times New Roman"/>
                            <w:lang w:val="uk-UA"/>
                          </w:rPr>
                          <w:t>8.</w:t>
                        </w:r>
                        <w:r w:rsidRPr="003440B9">
                          <w:t xml:space="preserve"> </w:t>
                        </w:r>
                        <w:r w:rsidRPr="003440B9">
                          <w:rPr>
                            <w:rFonts w:ascii="Times New Roman" w:hAnsi="Times New Roman"/>
                            <w:lang w:val="uk-UA"/>
                          </w:rPr>
                          <w:t>Збільшення</w:t>
                        </w:r>
                      </w:p>
                    </w:txbxContent>
                  </v:textbox>
                </v:rect>
                <v:shape id="AutoShape 88" o:spid="_x0000_s1110" type="#_x0000_t32" style="position:absolute;left:3855;top:1005;width:8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89" o:spid="_x0000_s1111" type="#_x0000_t32" style="position:absolute;left:7095;top:1080;width:8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90" o:spid="_x0000_s1112" type="#_x0000_t32" style="position:absolute;left:3855;top:1635;width:4770;height:76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xf8cAAAADbAAAADwAAAGRycy9kb3ducmV2LnhtbERPS2vCQBC+F/wPywi91U1jEE1dRRSh&#10;FC8+Dh6H7HQTmp0N2VHTf989FDx+fO/levCtulMfm8AG3icZKOIq2Iadgct5/zYHFQXZYhuYDPxS&#10;hPVq9LLE0oYHH+l+EqdSCMcSDdQiXal1rGryGCehI07cd+g9SoK907bHRwr3rc6zbKY9Npwaauxo&#10;W1P1c7p5A9eLPyzyYudd4c5yFPpq8mJmzOt42HyAEhrkKf53f1oD07Q+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b8X/HAAAAA2wAAAA8AAAAAAAAAAAAAAAAA&#10;oQIAAGRycy9kb3ducmV2LnhtbFBLBQYAAAAABAAEAPkAAACOAwAAAAA=&#10;">
                  <v:stroke endarrow="block"/>
                </v:shape>
                <v:shape id="AutoShape 91" o:spid="_x0000_s1113" type="#_x0000_t32" style="position:absolute;left:6960;top:2400;width:166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PpoMMAAADbAAAADwAAAGRycy9kb3ducmV2LnhtbESPT2sCMRTE7wW/Q3hCb92sl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D6aDDAAAA2wAAAA8AAAAAAAAAAAAA&#10;AAAAoQIAAGRycy9kb3ducmV2LnhtbFBLBQYAAAAABAAEAPkAAACRAwAAAAA=&#10;">
                  <v:stroke endarrow="block"/>
                </v:shape>
                <v:shape id="AutoShape 92" o:spid="_x0000_s1114" type="#_x0000_t32" style="position:absolute;left:3750;top:1635;width:0;height:3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93" o:spid="_x0000_s1115" type="#_x0000_t32" style="position:absolute;left:2865;top:3180;width:0;height:4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94" o:spid="_x0000_s1116" type="#_x0000_t32" style="position:absolute;left:3525;top:2505;width:14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KOMIAAADbAAAADwAAAGRycy9kb3ducmV2LnhtbESPQWsCMRSE74L/ITyhN81aq8jWKCoI&#10;0ouohXp8bF53g5uXZZNu1n/fCIUeh5n5hllteluLjlpvHCuYTjIQxIXThksFn9fDeAnCB2SNtWNS&#10;8CAPm/VwsMJcu8hn6i6hFAnCPkcFVQhNLqUvKrLoJ64hTt63ay2GJNtS6hZjgttavmbZQlo0nBYq&#10;bGhfUXG//FgFJp5M1xz3cffxdfM6knnMnVHqZdRv30EE6sN/+K991Apmb/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RKOMIAAADbAAAADwAAAAAAAAAAAAAA&#10;AAChAgAAZHJzL2Rvd25yZXYueG1sUEsFBgAAAAAEAAQA+QAAAJADAAAAAA==&#10;">
                  <v:stroke endarrow="block"/>
                </v:shape>
                <v:shape id="AutoShape 95" o:spid="_x0000_s1117" type="#_x0000_t32" style="position:absolute;left:3090;top:2505;width:1845;height:10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vo8IAAADbAAAADwAAAGRycy9kb3ducmV2LnhtbESPQWsCMRSE74L/ITyhN83Wo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jvo8IAAADbAAAADwAAAAAAAAAAAAAA&#10;AAChAgAAZHJzL2Rvd25yZXYueG1sUEsFBgAAAAAEAAQA+QAAAJADAAAAAA==&#10;">
                  <v:stroke endarrow="block"/>
                </v:shape>
                <v:shape id="AutoShape 96" o:spid="_x0000_s1118" type="#_x0000_t32" style="position:absolute;left:3525;top:3180;width: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px1MMAAADbAAAADwAAAGRycy9kb3ducmV2LnhtbESPwWrDMBBE74X8g9hAb7WclITiRjGJ&#10;oRB6CUkL7XGxNraItTKWajl/XxUKOQ4z84bZlJPtxEiDN44VLLIcBHHttOFGwefH29MLCB+QNXaO&#10;ScGNPJTb2cMGC+0in2g8h0YkCPsCFbQh9IWUvm7Jos9cT5y8ixsshiSHRuoBY4LbTi7zfC0tGk4L&#10;LfZUtVRfzz9WgYlHM/aHKu7fv769jmRuK2eUepxPu1cQgaZwD/+3D1rB8xr+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qcdTDAAAA2wAAAA8AAAAAAAAAAAAA&#10;AAAAoQIAAGRycy9kb3ducmV2LnhtbFBLBQYAAAAABAAEAPkAAACRAwAAAAA=&#10;">
                  <v:stroke endarrow="block"/>
                </v:shape>
                <v:shape id="AutoShape 97" o:spid="_x0000_s1119" type="#_x0000_t32" style="position:absolute;left:3450;top:4320;width:517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bUT8IAAADbAAAADwAAAGRycy9kb3ducmV2LnhtbESPQWsCMRSE74L/ITyhN81aqc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ybUT8IAAADbAAAADwAAAAAAAAAAAAAA&#10;AAChAgAAZHJzL2Rvd25yZXYueG1sUEsFBgAAAAAEAAQA+QAAAJADAAAAAA==&#10;">
                  <v:stroke endarrow="block"/>
                </v:shape>
                <v:shape id="AutoShape 98" o:spid="_x0000_s1120" type="#_x0000_t32" style="position:absolute;left:6960;top:3840;width:16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99" o:spid="_x0000_s1121" type="#_x0000_t32" style="position:absolute;left:6960;top:2400;width:1665;height:13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XlpsIAAADbAAAADwAAAGRycy9kb3ducmV2LnhtbESPQWsCMRSE74L/ITyhN81aqe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fXlpsIAAADbAAAADwAAAAAAAAAAAAAA&#10;AAChAgAAZHJzL2Rvd25yZXYueG1sUEsFBgAAAAAEAAQA+QAAAJADAAAAAA==&#10;">
                  <v:stroke endarrow="block"/>
                </v:shape>
                <v:shape id="AutoShape 100" o:spid="_x0000_s1122" type="#_x0000_t32" style="position:absolute;left:3855;top:1710;width:1080;height:187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osjL8AAADbAAAADwAAAGRycy9kb3ducmV2LnhtbERPS2vCQBC+F/wPywi91Y0hiI2uIhZB&#10;pBcfhx6H7LgJZmdDdqrpv3cPBY8f33u5Hnyr7tTHJrCB6SQDRVwF27AzcDnvPuagoiBbbAOTgT+K&#10;sF6N3pZY2vDgI91P4lQK4ViigVqkK7WOVU0e4yR0xIm7ht6jJNg7bXt8pHDf6jzLZtpjw6mhxo62&#10;NVW306838HPx35958eVd4c5yFDo0eTEz5n08bBaghAZ5if/de2ugSOvTl/QD9Oo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vosjL8AAADbAAAADwAAAAAAAAAAAAAAAACh&#10;AgAAZHJzL2Rvd25yZXYueG1sUEsFBgAAAAAEAAQA+QAAAI0DAAAAAA==&#10;">
                  <v:stroke endarrow="block"/>
                </v:shape>
              </v:group>
            </w:pict>
          </mc:Fallback>
        </mc:AlternateContent>
      </w:r>
      <w:r w:rsidR="005357D2">
        <w:rPr>
          <w:noProof/>
          <w:lang w:val="uk-UA" w:eastAsia="uk-UA"/>
        </w:rPr>
        <mc:AlternateContent>
          <mc:Choice Requires="wps">
            <w:drawing>
              <wp:anchor distT="0" distB="0" distL="114300" distR="114300" simplePos="0" relativeHeight="251658752" behindDoc="0" locked="0" layoutInCell="1" allowOverlap="1" wp14:anchorId="79FCE5BA" wp14:editId="760605AE">
                <wp:simplePos x="0" y="0"/>
                <wp:positionH relativeFrom="column">
                  <wp:posOffset>4844415</wp:posOffset>
                </wp:positionH>
                <wp:positionV relativeFrom="paragraph">
                  <wp:posOffset>72390</wp:posOffset>
                </wp:positionV>
                <wp:extent cx="9525" cy="247650"/>
                <wp:effectExtent l="38100" t="0" r="66675" b="57150"/>
                <wp:wrapNone/>
                <wp:docPr id="15"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890F7DC" id="AutoShape 75" o:spid="_x0000_s1026" type="#_x0000_t32" style="position:absolute;margin-left:381.45pt;margin-top:5.7pt;width:.75pt;height: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">
                <v:stroke endarrow="block"/>
              </v:shape>
            </w:pict>
          </mc:Fallback>
        </mc:AlternateContent>
      </w: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2F389C" w:rsidRDefault="002F389C" w:rsidP="00363C28">
      <w:pPr>
        <w:spacing w:after="0" w:line="360" w:lineRule="auto"/>
        <w:ind w:firstLine="709"/>
        <w:jc w:val="both"/>
        <w:rPr>
          <w:rFonts w:ascii="Times New Roman" w:hAnsi="Times New Roman"/>
          <w:sz w:val="28"/>
          <w:szCs w:val="28"/>
          <w:highlight w:val="yellow"/>
          <w:lang w:val="uk-UA"/>
        </w:rPr>
      </w:pPr>
    </w:p>
    <w:p w:rsidR="002F389C" w:rsidRDefault="002F389C"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ED04DE" w:rsidRPr="00816BAD" w:rsidRDefault="00363C28" w:rsidP="00ED04DE">
      <w:pPr>
        <w:keepNext/>
        <w:spacing w:after="0" w:line="360" w:lineRule="auto"/>
        <w:ind w:firstLine="709"/>
        <w:jc w:val="both"/>
        <w:rPr>
          <w:rFonts w:ascii="Times New Roman" w:hAnsi="Times New Roman"/>
          <w:i/>
          <w:iCs/>
          <w:color w:val="000000"/>
          <w:lang w:val="uk-UA"/>
        </w:rPr>
      </w:pPr>
      <w:r w:rsidRPr="001E5F5C">
        <w:rPr>
          <w:rFonts w:ascii="Times New Roman" w:hAnsi="Times New Roman"/>
          <w:sz w:val="28"/>
          <w:szCs w:val="28"/>
          <w:lang w:val="uk-UA"/>
        </w:rPr>
        <w:t>Рис. 1.5.</w:t>
      </w:r>
      <w:r w:rsidR="00D2288F">
        <w:rPr>
          <w:rFonts w:ascii="Times New Roman" w:hAnsi="Times New Roman"/>
          <w:sz w:val="28"/>
          <w:szCs w:val="28"/>
          <w:lang w:val="uk-UA"/>
        </w:rPr>
        <w:t> </w:t>
      </w:r>
      <w:r w:rsidRPr="001E5F5C">
        <w:rPr>
          <w:rFonts w:ascii="Times New Roman" w:hAnsi="Times New Roman"/>
          <w:sz w:val="28"/>
          <w:szCs w:val="28"/>
          <w:lang w:val="uk-UA"/>
        </w:rPr>
        <w:t>Когнітивна модель взаємодії факторів</w:t>
      </w:r>
      <w:r w:rsidR="003E0048">
        <w:rPr>
          <w:rFonts w:ascii="Times New Roman" w:hAnsi="Times New Roman"/>
          <w:sz w:val="28"/>
          <w:szCs w:val="28"/>
          <w:lang w:val="uk-UA"/>
        </w:rPr>
        <w:t>, що</w:t>
      </w:r>
      <w:r w:rsidRPr="001E5F5C">
        <w:rPr>
          <w:rFonts w:ascii="Times New Roman" w:hAnsi="Times New Roman"/>
          <w:sz w:val="28"/>
          <w:szCs w:val="28"/>
          <w:lang w:val="uk-UA"/>
        </w:rPr>
        <w:t xml:space="preserve"> визнача</w:t>
      </w:r>
      <w:r w:rsidR="003E0048">
        <w:rPr>
          <w:rFonts w:ascii="Times New Roman" w:hAnsi="Times New Roman"/>
          <w:sz w:val="28"/>
          <w:szCs w:val="28"/>
          <w:lang w:val="uk-UA"/>
        </w:rPr>
        <w:t>ють</w:t>
      </w:r>
      <w:r w:rsidRPr="001E5F5C">
        <w:rPr>
          <w:rFonts w:ascii="Times New Roman" w:hAnsi="Times New Roman"/>
          <w:sz w:val="28"/>
          <w:szCs w:val="28"/>
          <w:lang w:val="uk-UA"/>
        </w:rPr>
        <w:t xml:space="preserve"> </w:t>
      </w:r>
      <w:r w:rsidRPr="00816BAD">
        <w:rPr>
          <w:rFonts w:ascii="Times New Roman" w:hAnsi="Times New Roman"/>
          <w:sz w:val="28"/>
          <w:szCs w:val="28"/>
          <w:lang w:val="uk-UA"/>
        </w:rPr>
        <w:t xml:space="preserve">інвестиційну привабливість </w:t>
      </w:r>
      <w:r w:rsidR="00ED04DE" w:rsidRPr="00816BAD">
        <w:rPr>
          <w:rFonts w:ascii="Times New Roman" w:hAnsi="Times New Roman"/>
          <w:sz w:val="28"/>
          <w:szCs w:val="28"/>
          <w:lang w:val="uk-UA"/>
        </w:rPr>
        <w:t>сільськогосподарських підприємств</w:t>
      </w:r>
      <w:r w:rsidR="00ED04DE" w:rsidRPr="00816BAD">
        <w:rPr>
          <w:rFonts w:ascii="Times New Roman" w:hAnsi="Times New Roman"/>
          <w:i/>
          <w:iCs/>
          <w:color w:val="000000"/>
          <w:lang w:val="uk-UA"/>
        </w:rPr>
        <w:t xml:space="preserve"> </w:t>
      </w:r>
    </w:p>
    <w:p w:rsidR="009332D9" w:rsidRPr="00816BAD" w:rsidRDefault="009332D9" w:rsidP="00ED04DE">
      <w:pPr>
        <w:spacing w:after="0" w:line="360" w:lineRule="auto"/>
        <w:ind w:firstLine="709"/>
        <w:jc w:val="both"/>
        <w:rPr>
          <w:rFonts w:ascii="Times New Roman" w:hAnsi="Times New Roman"/>
          <w:i/>
          <w:iCs/>
          <w:color w:val="000000"/>
          <w:lang w:val="uk-UA"/>
        </w:rPr>
      </w:pPr>
      <w:r w:rsidRPr="00816BAD">
        <w:rPr>
          <w:rFonts w:ascii="Times New Roman" w:hAnsi="Times New Roman"/>
          <w:i/>
          <w:iCs/>
          <w:color w:val="000000"/>
          <w:lang w:val="uk-UA"/>
        </w:rPr>
        <w:t>Джерело: розроблено автором</w:t>
      </w:r>
    </w:p>
    <w:p w:rsidR="00363C28" w:rsidRDefault="00363C28" w:rsidP="00363C28">
      <w:pPr>
        <w:spacing w:after="0" w:line="360" w:lineRule="auto"/>
        <w:ind w:firstLine="709"/>
        <w:jc w:val="both"/>
        <w:rPr>
          <w:rFonts w:ascii="Times New Roman" w:hAnsi="Times New Roman"/>
          <w:sz w:val="28"/>
          <w:szCs w:val="28"/>
          <w:lang w:val="uk-UA"/>
        </w:rPr>
      </w:pPr>
    </w:p>
    <w:p w:rsidR="0055571B" w:rsidRPr="00CB0434" w:rsidRDefault="0055571B"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Сутність когнітивного моделювання, тобто операцій з когнітивною картою, полягає у вирішенні двох завдань: прямо</w:t>
      </w:r>
      <w:r>
        <w:rPr>
          <w:rFonts w:ascii="Times New Roman" w:hAnsi="Times New Roman"/>
          <w:sz w:val="28"/>
          <w:szCs w:val="28"/>
          <w:lang w:val="uk-UA"/>
        </w:rPr>
        <w:t>го</w:t>
      </w:r>
      <w:r w:rsidRPr="00CB0434">
        <w:rPr>
          <w:rFonts w:ascii="Times New Roman" w:hAnsi="Times New Roman"/>
          <w:sz w:val="28"/>
          <w:szCs w:val="28"/>
          <w:lang w:val="uk-UA"/>
        </w:rPr>
        <w:t xml:space="preserve"> та зворотно</w:t>
      </w:r>
      <w:r>
        <w:rPr>
          <w:rFonts w:ascii="Times New Roman" w:hAnsi="Times New Roman"/>
          <w:sz w:val="28"/>
          <w:szCs w:val="28"/>
          <w:lang w:val="uk-UA"/>
        </w:rPr>
        <w:t>го</w:t>
      </w:r>
      <w:r w:rsidRPr="00CB0434">
        <w:rPr>
          <w:rFonts w:ascii="Times New Roman" w:hAnsi="Times New Roman"/>
          <w:sz w:val="28"/>
          <w:szCs w:val="28"/>
          <w:lang w:val="uk-UA"/>
        </w:rPr>
        <w:t xml:space="preserve">. Вирішення прямого завдання (сценарного прогнозу розвитку ситуації) дозволяє відповісти на запитання «Що буде, якщо…? », а </w:t>
      </w:r>
      <w:r>
        <w:rPr>
          <w:rFonts w:ascii="Times New Roman" w:hAnsi="Times New Roman"/>
          <w:sz w:val="28"/>
          <w:szCs w:val="28"/>
          <w:lang w:val="uk-UA"/>
        </w:rPr>
        <w:t>ви</w:t>
      </w:r>
      <w:r w:rsidRPr="00CB0434">
        <w:rPr>
          <w:rFonts w:ascii="Times New Roman" w:hAnsi="Times New Roman"/>
          <w:sz w:val="28"/>
          <w:szCs w:val="28"/>
          <w:lang w:val="uk-UA"/>
        </w:rPr>
        <w:t>рішення зворотно</w:t>
      </w:r>
      <w:r>
        <w:rPr>
          <w:rFonts w:ascii="Times New Roman" w:hAnsi="Times New Roman"/>
          <w:sz w:val="28"/>
          <w:szCs w:val="28"/>
          <w:lang w:val="uk-UA"/>
        </w:rPr>
        <w:t>го</w:t>
      </w:r>
      <w:r w:rsidRPr="00CB0434">
        <w:rPr>
          <w:rFonts w:ascii="Times New Roman" w:hAnsi="Times New Roman"/>
          <w:sz w:val="28"/>
          <w:szCs w:val="28"/>
          <w:lang w:val="uk-UA"/>
        </w:rPr>
        <w:t xml:space="preserve"> – на запитання «Що треба, щоб...?».</w:t>
      </w:r>
    </w:p>
    <w:p w:rsidR="0055571B" w:rsidRDefault="0055571B"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вирішення </w:t>
      </w:r>
      <w:r w:rsidRPr="008B6793">
        <w:rPr>
          <w:rFonts w:ascii="Times New Roman" w:hAnsi="Times New Roman"/>
          <w:sz w:val="28"/>
          <w:szCs w:val="28"/>
          <w:lang w:val="uk-UA"/>
        </w:rPr>
        <w:t xml:space="preserve">прямого та зворотного завдання в рамках когнітивного моделювання розроблені спеціалізовані пакети програм, такі як Ithink (HPS </w:t>
      </w:r>
      <w:r w:rsidRPr="008B6793">
        <w:rPr>
          <w:rFonts w:ascii="Times New Roman" w:hAnsi="Times New Roman"/>
          <w:sz w:val="28"/>
          <w:szCs w:val="28"/>
          <w:lang w:val="uk-UA"/>
        </w:rPr>
        <w:lastRenderedPageBreak/>
        <w:t xml:space="preserve">Inc), що дозволяють непрофесійному користувачеві проводити розрахунки у відповідності з даними. У тому випадку, якщо проблема, пов'язана з вибором проєкту з </w:t>
      </w:r>
      <w:r w:rsidRPr="008B6793">
        <w:rPr>
          <w:rStyle w:val="docdata"/>
          <w:rFonts w:ascii="Times New Roman" w:eastAsia="Aptos" w:hAnsi="Times New Roman"/>
          <w:color w:val="000000"/>
          <w:kern w:val="2"/>
          <w:sz w:val="28"/>
          <w:szCs w:val="28"/>
          <w:lang w:val="uk-UA"/>
        </w:rPr>
        <w:t>інвестиційної привабливості</w:t>
      </w:r>
      <w:r w:rsidRPr="008B6793">
        <w:rPr>
          <w:rFonts w:ascii="Times New Roman" w:hAnsi="Times New Roman"/>
          <w:sz w:val="28"/>
          <w:szCs w:val="28"/>
          <w:lang w:val="uk-UA"/>
        </w:rPr>
        <w:t>, може бути представлена у вигляді ієрархії, досить ефективним інструментом виявляється метод аналізу ієрархії (МАІ</w:t>
      </w:r>
      <w:r w:rsidRPr="008B6793">
        <w:rPr>
          <w:rFonts w:ascii="Times New Roman" w:hAnsi="Times New Roman"/>
          <w:b/>
          <w:sz w:val="28"/>
          <w:szCs w:val="28"/>
          <w:lang w:val="uk-UA"/>
        </w:rPr>
        <w:t>)</w:t>
      </w:r>
      <w:r w:rsidRPr="008B6793">
        <w:rPr>
          <w:rFonts w:ascii="Times New Roman" w:hAnsi="Times New Roman"/>
          <w:sz w:val="28"/>
          <w:szCs w:val="28"/>
          <w:lang w:val="uk-UA"/>
        </w:rPr>
        <w:t xml:space="preserve">, який досить докладно розглянутий у </w:t>
      </w:r>
      <w:r w:rsidRPr="008B6793">
        <w:rPr>
          <w:rFonts w:ascii="Times New Roman" w:eastAsia="Times New Roman" w:hAnsi="Times New Roman"/>
          <w:sz w:val="28"/>
          <w:szCs w:val="28"/>
          <w:lang w:val="uk-UA"/>
        </w:rPr>
        <w:t>[4, с. 98]</w:t>
      </w:r>
      <w:r w:rsidRPr="008B6793">
        <w:rPr>
          <w:rFonts w:ascii="Times New Roman" w:hAnsi="Times New Roman"/>
          <w:sz w:val="28"/>
          <w:szCs w:val="28"/>
          <w:lang w:val="uk-UA"/>
        </w:rPr>
        <w:t>. Проте, розглянуті методи вимагають конкретизації груп критеріїв та оцінки інвестиційної привабливості підприємств.</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Основою інвестиційної привабливості підприємств є сукупність інвестиційних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тів, що задовольняють вимогам інвестора та реципієнта. </w:t>
      </w:r>
      <w:r w:rsidRPr="00336F0C">
        <w:rPr>
          <w:rFonts w:ascii="Times New Roman" w:hAnsi="Times New Roman"/>
          <w:sz w:val="28"/>
          <w:szCs w:val="28"/>
          <w:lang w:val="uk-UA"/>
        </w:rPr>
        <w:t xml:space="preserve">Як зазначалося вище, однією з основних проблем економічно обґрунтованого вибору </w:t>
      </w:r>
      <w:r w:rsidR="00DB1F48" w:rsidRPr="00336F0C">
        <w:rPr>
          <w:rFonts w:ascii="Times New Roman" w:hAnsi="Times New Roman"/>
          <w:sz w:val="28"/>
          <w:szCs w:val="28"/>
          <w:lang w:val="uk-UA"/>
        </w:rPr>
        <w:t>проєк</w:t>
      </w:r>
      <w:r w:rsidRPr="00336F0C">
        <w:rPr>
          <w:rFonts w:ascii="Times New Roman" w:hAnsi="Times New Roman"/>
          <w:sz w:val="28"/>
          <w:szCs w:val="28"/>
          <w:lang w:val="uk-UA"/>
        </w:rPr>
        <w:t xml:space="preserve">ту </w:t>
      </w:r>
      <w:r w:rsidR="00ED04DE" w:rsidRPr="00336F0C">
        <w:rPr>
          <w:rFonts w:ascii="Times New Roman" w:hAnsi="Times New Roman"/>
          <w:sz w:val="28"/>
          <w:szCs w:val="28"/>
          <w:lang w:val="uk-UA"/>
        </w:rPr>
        <w:t xml:space="preserve">з </w:t>
      </w:r>
      <w:r w:rsidR="00ED04DE" w:rsidRPr="00336F0C">
        <w:rPr>
          <w:rStyle w:val="docdata"/>
          <w:rFonts w:ascii="Times New Roman" w:eastAsia="Aptos" w:hAnsi="Times New Roman"/>
          <w:color w:val="000000"/>
          <w:kern w:val="2"/>
          <w:sz w:val="28"/>
          <w:szCs w:val="28"/>
          <w:lang w:val="uk-UA"/>
        </w:rPr>
        <w:t>інвестиційної привабливості</w:t>
      </w:r>
      <w:r w:rsidR="00ED04DE" w:rsidRPr="00336F0C">
        <w:rPr>
          <w:rFonts w:ascii="Times New Roman" w:hAnsi="Times New Roman"/>
          <w:sz w:val="28"/>
          <w:szCs w:val="28"/>
          <w:lang w:val="uk-UA"/>
        </w:rPr>
        <w:t xml:space="preserve"> </w:t>
      </w:r>
      <w:r w:rsidRPr="00336F0C">
        <w:rPr>
          <w:rFonts w:ascii="Times New Roman" w:hAnsi="Times New Roman"/>
          <w:sz w:val="28"/>
          <w:szCs w:val="28"/>
          <w:lang w:val="uk-UA"/>
        </w:rPr>
        <w:t>є порівняння різних варіантів на основі великої кількості критеріїв.</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Вирішенню даної задачі присвячено багато робіт та методів, серед яких можна відзначити методи, розроблені в рамках теорії прийняття рішень </w:t>
      </w:r>
      <w:r w:rsidR="00336F0C">
        <w:rPr>
          <w:rFonts w:ascii="Times New Roman" w:hAnsi="Times New Roman"/>
          <w:sz w:val="28"/>
          <w:szCs w:val="28"/>
          <w:lang w:val="uk-UA"/>
        </w:rPr>
        <w:br/>
      </w:r>
      <w:r w:rsidRPr="00CB0434">
        <w:rPr>
          <w:rFonts w:ascii="Times New Roman" w:eastAsia="Times New Roman" w:hAnsi="Times New Roman"/>
          <w:sz w:val="28"/>
          <w:szCs w:val="28"/>
          <w:lang w:val="uk-UA"/>
        </w:rPr>
        <w:t>[19, с. 79]</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Вирішальне правило є аналітичним виразом, алгоритмом або словесним формулюванням, які дозволяють задати на безлічі векторних оцінок відношення переваги, що є порядком або квазіпорядком. Упорядкування множини за допомогою деякого вирішального правила дозволяє перейти від висловлювання суджень про переваги на множині С до висловлювання суджень про переваги на множині А, і отже, дають можливість упорядкувати цю множину.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В якості вирішального правила можуть бути розглянуті наступні методи </w:t>
      </w:r>
      <w:r w:rsidRPr="00CB0434">
        <w:rPr>
          <w:rFonts w:ascii="Times New Roman" w:eastAsia="Times New Roman" w:hAnsi="Times New Roman"/>
          <w:sz w:val="28"/>
          <w:szCs w:val="28"/>
          <w:lang w:val="uk-UA"/>
        </w:rPr>
        <w:t>[49, c. 159]</w:t>
      </w:r>
      <w:r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найпростішого багатокритеріального ранжирування,</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лінійно</w:t>
      </w:r>
      <w:r w:rsidR="003E0048">
        <w:rPr>
          <w:rFonts w:ascii="Times New Roman" w:hAnsi="Times New Roman"/>
          <w:sz w:val="28"/>
          <w:szCs w:val="28"/>
          <w:lang w:val="uk-UA"/>
        </w:rPr>
        <w:t>ї</w:t>
      </w:r>
      <w:r w:rsidR="00363C28" w:rsidRPr="00CB0434">
        <w:rPr>
          <w:rFonts w:ascii="Times New Roman" w:hAnsi="Times New Roman"/>
          <w:sz w:val="28"/>
          <w:szCs w:val="28"/>
          <w:lang w:val="uk-UA"/>
        </w:rPr>
        <w:t xml:space="preserve"> згортки,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w:t>
      </w:r>
      <w:r w:rsidR="003E0048">
        <w:rPr>
          <w:rFonts w:ascii="Times New Roman" w:hAnsi="Times New Roman"/>
          <w:sz w:val="28"/>
          <w:szCs w:val="28"/>
          <w:lang w:val="uk-UA"/>
        </w:rPr>
        <w:t>«</w:t>
      </w:r>
      <w:r w:rsidR="00363C28" w:rsidRPr="006F76D4">
        <w:rPr>
          <w:rFonts w:ascii="Times New Roman" w:hAnsi="Times New Roman"/>
          <w:sz w:val="28"/>
          <w:szCs w:val="28"/>
          <w:lang w:val="uk-UA"/>
        </w:rPr>
        <w:t>ELECTRE</w:t>
      </w:r>
      <w:r w:rsidR="003E0048">
        <w:rPr>
          <w:rFonts w:ascii="Times New Roman" w:hAnsi="Times New Roman"/>
          <w:sz w:val="28"/>
          <w:szCs w:val="28"/>
          <w:lang w:val="uk-UA"/>
        </w:rPr>
        <w:t>»</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парних порівнянь,</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Терстоуна,</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w:t>
      </w:r>
      <w:r w:rsidR="00363C28" w:rsidRPr="00CB0434">
        <w:rPr>
          <w:rFonts w:ascii="Times New Roman" w:hAnsi="Times New Roman"/>
          <w:sz w:val="28"/>
          <w:szCs w:val="28"/>
          <w:lang w:val="uk-UA"/>
        </w:rPr>
        <w:t xml:space="preserve"> метод Черчмена-Акофа та ін.</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Вирішальне правило має призводити до такого впорядкування безлічі допустимих рішень, що відповідає змістовній</w:t>
      </w:r>
      <w:r w:rsidR="003E0048">
        <w:rPr>
          <w:rFonts w:ascii="Times New Roman" w:hAnsi="Times New Roman"/>
          <w:sz w:val="28"/>
          <w:szCs w:val="28"/>
          <w:lang w:val="uk-UA"/>
        </w:rPr>
        <w:t xml:space="preserve"> </w:t>
      </w:r>
      <w:r w:rsidRPr="00CB0434">
        <w:rPr>
          <w:rFonts w:ascii="Times New Roman" w:hAnsi="Times New Roman"/>
          <w:sz w:val="28"/>
          <w:szCs w:val="28"/>
          <w:lang w:val="uk-UA"/>
        </w:rPr>
        <w:t>постановці завдання та узгоджується з прийнятими в моделі припущеннями та системою переваг особи, яка приймає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Багатокритеріальна модель завдання прийняття рішень може бути представлена у такому вигляді </w:t>
      </w:r>
      <w:r w:rsidRPr="00CB0434">
        <w:rPr>
          <w:rFonts w:ascii="Times New Roman" w:eastAsia="Times New Roman" w:hAnsi="Times New Roman"/>
          <w:sz w:val="28"/>
          <w:szCs w:val="28"/>
          <w:lang w:val="uk-UA"/>
        </w:rPr>
        <w:t>[83, 138]</w:t>
      </w:r>
      <w:r w:rsidRPr="00CB0434">
        <w:rPr>
          <w:rFonts w:ascii="Times New Roman" w:hAnsi="Times New Roman"/>
          <w:sz w:val="28"/>
          <w:szCs w:val="28"/>
          <w:lang w:val="uk-UA"/>
        </w:rPr>
        <w:t>:</w:t>
      </w:r>
    </w:p>
    <w:p w:rsidR="00363C28" w:rsidRPr="00BE7C02" w:rsidRDefault="00363C28" w:rsidP="00363C28">
      <w:pPr>
        <w:spacing w:after="0" w:line="360" w:lineRule="auto"/>
        <w:ind w:firstLine="709"/>
        <w:jc w:val="center"/>
        <w:rPr>
          <w:rFonts w:ascii="Times New Roman" w:hAnsi="Times New Roman"/>
          <w:i/>
          <w:sz w:val="28"/>
          <w:szCs w:val="28"/>
          <w:lang w:val="uk-UA"/>
        </w:rPr>
      </w:pPr>
      <w:r w:rsidRPr="00BE7C02">
        <w:rPr>
          <w:rFonts w:ascii="Times New Roman" w:hAnsi="Times New Roman"/>
          <w:i/>
          <w:sz w:val="28"/>
          <w:szCs w:val="28"/>
          <w:lang w:val="uk-UA"/>
        </w:rPr>
        <w:t>&lt;t, S, K, X, f, P, r&gt;,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t</w:t>
      </w:r>
      <w:r w:rsidR="003E0048">
        <w:rPr>
          <w:rFonts w:ascii="Times New Roman" w:hAnsi="Times New Roman"/>
          <w:sz w:val="28"/>
          <w:szCs w:val="28"/>
          <w:lang w:val="uk-UA"/>
        </w:rPr>
        <w:t xml:space="preserve"> –</w:t>
      </w:r>
      <w:r w:rsidRPr="00CB0434">
        <w:rPr>
          <w:rFonts w:ascii="Times New Roman" w:hAnsi="Times New Roman"/>
          <w:sz w:val="28"/>
          <w:szCs w:val="28"/>
          <w:lang w:val="uk-UA"/>
        </w:rPr>
        <w:t xml:space="preserve"> </w:t>
      </w:r>
      <w:r w:rsidR="003E0048">
        <w:rPr>
          <w:rFonts w:ascii="Times New Roman" w:hAnsi="Times New Roman"/>
          <w:sz w:val="28"/>
          <w:szCs w:val="28"/>
          <w:lang w:val="uk-UA"/>
        </w:rPr>
        <w:t>п</w:t>
      </w:r>
      <w:r w:rsidRPr="00CB0434">
        <w:rPr>
          <w:rFonts w:ascii="Times New Roman" w:hAnsi="Times New Roman"/>
          <w:sz w:val="28"/>
          <w:szCs w:val="28"/>
          <w:lang w:val="uk-UA"/>
        </w:rPr>
        <w:t>остановка (тип) задачі прийняття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en-US"/>
        </w:rPr>
        <w:t>S</w:t>
      </w:r>
      <w:r w:rsidR="00DB1F48">
        <w:rPr>
          <w:rFonts w:ascii="Times New Roman" w:hAnsi="Times New Roman"/>
          <w:sz w:val="28"/>
          <w:szCs w:val="28"/>
          <w:lang w:val="uk-UA"/>
        </w:rPr>
        <w:t xml:space="preserve"> – </w:t>
      </w:r>
      <w:r w:rsidRPr="00CB0434">
        <w:rPr>
          <w:rFonts w:ascii="Times New Roman" w:hAnsi="Times New Roman"/>
          <w:sz w:val="28"/>
          <w:szCs w:val="28"/>
          <w:lang w:val="uk-UA"/>
        </w:rPr>
        <w:t>множини допустимих варіантів рішень;</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К</w:t>
      </w:r>
      <w:r w:rsidR="00DB1F48">
        <w:rPr>
          <w:rFonts w:ascii="Times New Roman" w:hAnsi="Times New Roman"/>
          <w:sz w:val="28"/>
          <w:szCs w:val="28"/>
          <w:lang w:val="uk-UA"/>
        </w:rPr>
        <w:t xml:space="preserve"> – </w:t>
      </w:r>
      <w:r w:rsidRPr="00CB0434">
        <w:rPr>
          <w:rFonts w:ascii="Times New Roman" w:hAnsi="Times New Roman"/>
          <w:sz w:val="28"/>
          <w:szCs w:val="28"/>
          <w:lang w:val="uk-UA"/>
        </w:rPr>
        <w:t>безліч критеріїв, за якими оцінюються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X</w:t>
      </w:r>
      <w:r w:rsidR="003E0048">
        <w:rPr>
          <w:rFonts w:ascii="Times New Roman" w:hAnsi="Times New Roman"/>
          <w:sz w:val="28"/>
          <w:szCs w:val="28"/>
          <w:lang w:val="uk-UA"/>
        </w:rPr>
        <w:t xml:space="preserve"> – </w:t>
      </w:r>
      <w:r w:rsidRPr="00CB0434">
        <w:rPr>
          <w:rFonts w:ascii="Times New Roman" w:hAnsi="Times New Roman"/>
          <w:sz w:val="28"/>
          <w:szCs w:val="28"/>
          <w:lang w:val="uk-UA"/>
        </w:rPr>
        <w:t>множина оціночних шкал;</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en-US"/>
        </w:rPr>
        <w:t>f</w:t>
      </w:r>
      <w:r w:rsidR="00DB1F48">
        <w:rPr>
          <w:rFonts w:ascii="Times New Roman" w:hAnsi="Times New Roman"/>
          <w:sz w:val="28"/>
          <w:szCs w:val="28"/>
          <w:lang w:val="uk-UA"/>
        </w:rPr>
        <w:t xml:space="preserve"> – </w:t>
      </w:r>
      <w:r w:rsidR="003E0048">
        <w:rPr>
          <w:rFonts w:ascii="Times New Roman" w:hAnsi="Times New Roman"/>
          <w:sz w:val="28"/>
          <w:szCs w:val="28"/>
          <w:lang w:val="uk-UA"/>
        </w:rPr>
        <w:t>в</w:t>
      </w:r>
      <w:r w:rsidRPr="00CB0434">
        <w:rPr>
          <w:rFonts w:ascii="Times New Roman" w:hAnsi="Times New Roman"/>
          <w:sz w:val="28"/>
          <w:szCs w:val="28"/>
          <w:lang w:val="uk-UA"/>
        </w:rPr>
        <w:t>ідображення безлічі допустимих рішень в безліч векторних оцінок;</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Р</w:t>
      </w:r>
      <w:r w:rsidR="00DB1F48">
        <w:rPr>
          <w:rFonts w:ascii="Times New Roman" w:hAnsi="Times New Roman"/>
          <w:sz w:val="28"/>
          <w:szCs w:val="28"/>
          <w:lang w:val="uk-UA"/>
        </w:rPr>
        <w:t xml:space="preserve"> – </w:t>
      </w:r>
      <w:r w:rsidRPr="00CB0434">
        <w:rPr>
          <w:rFonts w:ascii="Times New Roman" w:hAnsi="Times New Roman"/>
          <w:sz w:val="28"/>
          <w:szCs w:val="28"/>
          <w:lang w:val="uk-UA"/>
        </w:rPr>
        <w:t>система переваг особи, яка приймає рішення;</w:t>
      </w:r>
    </w:p>
    <w:p w:rsidR="00363C28" w:rsidRPr="00CB0434" w:rsidRDefault="003E0048" w:rsidP="00363C28">
      <w:pPr>
        <w:spacing w:after="0" w:line="360" w:lineRule="auto"/>
        <w:ind w:firstLine="709"/>
        <w:jc w:val="both"/>
        <w:rPr>
          <w:rFonts w:ascii="Times New Roman" w:hAnsi="Times New Roman"/>
          <w:sz w:val="28"/>
          <w:szCs w:val="28"/>
          <w:lang w:val="uk-UA"/>
        </w:rPr>
      </w:pPr>
      <w:r>
        <w:rPr>
          <w:rFonts w:ascii="Times New Roman" w:hAnsi="Times New Roman"/>
          <w:i/>
          <w:sz w:val="28"/>
          <w:szCs w:val="28"/>
          <w:lang w:val="en-US"/>
        </w:rPr>
        <w:t>R</w:t>
      </w:r>
      <w:r>
        <w:rPr>
          <w:rFonts w:ascii="Times New Roman" w:hAnsi="Times New Roman"/>
          <w:i/>
          <w:sz w:val="28"/>
          <w:szCs w:val="28"/>
        </w:rPr>
        <w:t xml:space="preserve"> </w:t>
      </w:r>
      <w:r w:rsidR="00363C28" w:rsidRPr="00CB0434">
        <w:rPr>
          <w:rFonts w:ascii="Times New Roman" w:hAnsi="Times New Roman"/>
          <w:sz w:val="28"/>
          <w:szCs w:val="28"/>
          <w:lang w:val="uk-UA"/>
        </w:rPr>
        <w:t>– вирішальне правило.</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Розглянемо змістовні визначення елементів моделі.</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Постановка (тип) завдання (</w:t>
      </w:r>
      <w:r w:rsidRPr="00AF7F70">
        <w:rPr>
          <w:rFonts w:ascii="Times New Roman" w:hAnsi="Times New Roman"/>
          <w:i/>
          <w:sz w:val="28"/>
          <w:szCs w:val="28"/>
          <w:lang w:val="en-US"/>
        </w:rPr>
        <w:t>t</w:t>
      </w:r>
      <w:r w:rsidRPr="00CB0434">
        <w:rPr>
          <w:rFonts w:ascii="Times New Roman" w:hAnsi="Times New Roman"/>
          <w:sz w:val="28"/>
          <w:szCs w:val="28"/>
          <w:lang w:val="uk-UA"/>
        </w:rPr>
        <w:t>) відповідає цілям особи, яка приймає рішення (</w:t>
      </w:r>
      <w:r>
        <w:rPr>
          <w:rFonts w:ascii="Times New Roman" w:hAnsi="Times New Roman"/>
          <w:sz w:val="28"/>
          <w:szCs w:val="28"/>
          <w:lang w:val="uk-UA"/>
        </w:rPr>
        <w:t>ОПР</w:t>
      </w:r>
      <w:r w:rsidRPr="00CB0434">
        <w:rPr>
          <w:rFonts w:ascii="Times New Roman" w:hAnsi="Times New Roman"/>
          <w:sz w:val="28"/>
          <w:szCs w:val="28"/>
          <w:lang w:val="uk-UA"/>
        </w:rPr>
        <w:t>). Залежно від змістовної постановки завдання може знадобитися, наприклад, знайти найкраще рішення, або лінійно впорядкувати безліч допустимих рішень.</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Безліч </w:t>
      </w:r>
      <w:r w:rsidRPr="001E5F5C">
        <w:rPr>
          <w:rFonts w:ascii="Times New Roman" w:hAnsi="Times New Roman"/>
          <w:i/>
          <w:sz w:val="28"/>
          <w:szCs w:val="28"/>
          <w:lang w:val="en-US"/>
        </w:rPr>
        <w:t>S</w:t>
      </w:r>
      <w:r w:rsidRPr="00CB0434">
        <w:rPr>
          <w:rFonts w:ascii="Times New Roman" w:hAnsi="Times New Roman"/>
          <w:sz w:val="28"/>
          <w:szCs w:val="28"/>
          <w:lang w:val="uk-UA"/>
        </w:rPr>
        <w:t xml:space="preserve"> являє собою сукупність рішень, які задовольняють у кожному завданні певним обмеженням і розглядаються як можливі способи досягнення поставленої мети. Елементи множини </w:t>
      </w:r>
      <w:r w:rsidRPr="001E5F5C">
        <w:rPr>
          <w:rFonts w:ascii="Times New Roman" w:hAnsi="Times New Roman"/>
          <w:i/>
          <w:sz w:val="28"/>
          <w:szCs w:val="28"/>
          <w:lang w:val="en-US"/>
        </w:rPr>
        <w:t>S</w:t>
      </w:r>
      <w:r w:rsidRPr="00CB0434">
        <w:rPr>
          <w:rFonts w:ascii="Times New Roman" w:hAnsi="Times New Roman"/>
          <w:sz w:val="28"/>
          <w:szCs w:val="28"/>
          <w:lang w:val="uk-UA"/>
        </w:rPr>
        <w:t xml:space="preserve"> називаються також допустимими рішеннями, варіантами рішень, стратегіями, діями, альтернативами, об'єктами, варіантами і т. п</w:t>
      </w:r>
      <w:r w:rsidR="004009DE">
        <w:rPr>
          <w:rFonts w:ascii="Times New Roman" w:hAnsi="Times New Roman"/>
          <w:sz w:val="28"/>
          <w:szCs w:val="28"/>
          <w:lang w:val="uk-UA"/>
        </w:rPr>
        <w:t xml:space="preserve"> </w:t>
      </w:r>
      <w:r w:rsidR="004009DE">
        <w:rPr>
          <w:rFonts w:ascii="Times New Roman" w:eastAsia="Times New Roman" w:hAnsi="Times New Roman"/>
          <w:sz w:val="28"/>
          <w:szCs w:val="28"/>
          <w:lang w:val="uk-UA"/>
        </w:rPr>
        <w:t>[</w:t>
      </w:r>
      <w:r w:rsidR="009332D9" w:rsidRPr="009332D9">
        <w:rPr>
          <w:rFonts w:ascii="Times New Roman" w:eastAsia="Times New Roman" w:hAnsi="Times New Roman"/>
          <w:sz w:val="28"/>
          <w:szCs w:val="28"/>
        </w:rPr>
        <w:t>71, c. 47]</w:t>
      </w:r>
      <w:r w:rsidRPr="00CB0434">
        <w:rPr>
          <w:rFonts w:ascii="Times New Roman" w:hAnsi="Times New Roman"/>
          <w:sz w:val="28"/>
          <w:szCs w:val="28"/>
          <w:lang w:val="uk-UA"/>
        </w:rPr>
        <w:t xml:space="preserve">. Кожне рішення призводить до певного результату, наслідки якого оцінюються за критеріями </w:t>
      </w:r>
      <w:r w:rsidRPr="001E5F5C">
        <w:rPr>
          <w:rFonts w:ascii="Times New Roman" w:hAnsi="Times New Roman"/>
          <w:i/>
          <w:sz w:val="28"/>
          <w:szCs w:val="28"/>
          <w:lang w:val="uk-UA"/>
        </w:rPr>
        <w:t>К</w:t>
      </w:r>
      <w:r w:rsidRPr="00AF7F70">
        <w:rPr>
          <w:rFonts w:ascii="Times New Roman" w:hAnsi="Times New Roman"/>
          <w:sz w:val="28"/>
          <w:szCs w:val="28"/>
          <w:vertAlign w:val="subscript"/>
          <w:lang w:val="uk-UA"/>
        </w:rPr>
        <w:t>1</w:t>
      </w:r>
      <w:r w:rsidRPr="00AF7F70">
        <w:rPr>
          <w:rFonts w:ascii="Times New Roman" w:hAnsi="Times New Roman"/>
          <w:sz w:val="28"/>
          <w:szCs w:val="28"/>
          <w:lang w:val="uk-UA"/>
        </w:rPr>
        <w:t>,</w:t>
      </w:r>
      <w:r w:rsidRPr="001E5F5C">
        <w:rPr>
          <w:rFonts w:ascii="Times New Roman" w:hAnsi="Times New Roman"/>
          <w:i/>
          <w:sz w:val="28"/>
          <w:szCs w:val="28"/>
          <w:lang w:val="uk-UA"/>
        </w:rPr>
        <w:t xml:space="preserve"> К</w:t>
      </w:r>
      <w:r w:rsidRPr="00AF7F70">
        <w:rPr>
          <w:rFonts w:ascii="Times New Roman" w:hAnsi="Times New Roman"/>
          <w:sz w:val="28"/>
          <w:szCs w:val="28"/>
          <w:vertAlign w:val="subscript"/>
          <w:lang w:val="uk-UA"/>
        </w:rPr>
        <w:t>2</w:t>
      </w:r>
      <w:r w:rsidRPr="00AF7F70">
        <w:rPr>
          <w:rFonts w:ascii="Times New Roman" w:hAnsi="Times New Roman"/>
          <w:sz w:val="28"/>
          <w:szCs w:val="28"/>
          <w:lang w:val="uk-UA"/>
        </w:rPr>
        <w:t>, …,</w:t>
      </w:r>
      <w:r w:rsidRPr="001E5F5C">
        <w:rPr>
          <w:rFonts w:ascii="Times New Roman" w:hAnsi="Times New Roman"/>
          <w:i/>
          <w:sz w:val="28"/>
          <w:szCs w:val="28"/>
          <w:lang w:val="uk-UA"/>
        </w:rPr>
        <w:t xml:space="preserve"> К</w:t>
      </w:r>
      <w:r w:rsidRPr="00AF7F70">
        <w:rPr>
          <w:rFonts w:ascii="Times New Roman" w:hAnsi="Times New Roman"/>
          <w:i/>
          <w:sz w:val="28"/>
          <w:szCs w:val="28"/>
          <w:vertAlign w:val="subscript"/>
          <w:lang w:val="en-US"/>
        </w:rPr>
        <w:t>m</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Критеріями називатимемо такі показники, які визнаються особою, яка приймає рішення, важливими щодо поставленої мети, </w:t>
      </w:r>
      <w:r w:rsidR="00F55801">
        <w:rPr>
          <w:rFonts w:ascii="Times New Roman" w:hAnsi="Times New Roman"/>
          <w:sz w:val="28"/>
          <w:szCs w:val="28"/>
          <w:lang w:val="uk-UA"/>
        </w:rPr>
        <w:t>та</w:t>
      </w:r>
      <w:r w:rsidRPr="00CB0434">
        <w:rPr>
          <w:rFonts w:ascii="Times New Roman" w:hAnsi="Times New Roman"/>
          <w:sz w:val="28"/>
          <w:szCs w:val="28"/>
          <w:lang w:val="uk-UA"/>
        </w:rPr>
        <w:t xml:space="preserve"> є спільними для всіх допустимих рішень і характеризують загальну цінність рішення таким </w:t>
      </w:r>
      <w:r w:rsidRPr="00CB0434">
        <w:rPr>
          <w:rFonts w:ascii="Times New Roman" w:hAnsi="Times New Roman"/>
          <w:sz w:val="28"/>
          <w:szCs w:val="28"/>
          <w:lang w:val="uk-UA"/>
        </w:rPr>
        <w:lastRenderedPageBreak/>
        <w:t>чином, що особа, яка приймає рішення, прагне отримати за ними найкращі оцінки.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кожного з критеріїв повинна бути задана або побудована шкала, що є безліччю оцінок з ставленням досконалого порядку. Шкали </w:t>
      </w:r>
      <w:r w:rsidRPr="001E5F5C">
        <w:rPr>
          <w:rFonts w:ascii="Times New Roman" w:hAnsi="Times New Roman"/>
          <w:i/>
          <w:sz w:val="28"/>
          <w:szCs w:val="28"/>
          <w:lang w:val="uk-UA"/>
        </w:rPr>
        <w:t>X</w:t>
      </w:r>
      <w:r w:rsidR="00F55801" w:rsidRPr="00AF7F70">
        <w:rPr>
          <w:rFonts w:ascii="Times New Roman" w:hAnsi="Times New Roman"/>
          <w:sz w:val="28"/>
          <w:szCs w:val="28"/>
          <w:vertAlign w:val="subscript"/>
          <w:lang w:val="uk-UA"/>
        </w:rPr>
        <w:t>1</w:t>
      </w:r>
      <w:r w:rsidRPr="00AF7F70">
        <w:rPr>
          <w:rFonts w:ascii="Times New Roman" w:hAnsi="Times New Roman"/>
          <w:sz w:val="28"/>
          <w:szCs w:val="28"/>
          <w:lang w:val="uk-UA"/>
        </w:rPr>
        <w:t>,</w:t>
      </w:r>
      <w:r w:rsidRPr="001E5F5C">
        <w:rPr>
          <w:rFonts w:ascii="Times New Roman" w:hAnsi="Times New Roman"/>
          <w:i/>
          <w:sz w:val="28"/>
          <w:szCs w:val="28"/>
          <w:lang w:val="uk-UA"/>
        </w:rPr>
        <w:t xml:space="preserve"> Х</w:t>
      </w:r>
      <w:r w:rsidRPr="00AF7F70">
        <w:rPr>
          <w:rFonts w:ascii="Times New Roman" w:hAnsi="Times New Roman"/>
          <w:sz w:val="28"/>
          <w:szCs w:val="28"/>
          <w:vertAlign w:val="subscript"/>
          <w:lang w:val="uk-UA"/>
        </w:rPr>
        <w:t>2</w:t>
      </w:r>
      <w:r w:rsidRPr="00CB0434">
        <w:rPr>
          <w:rFonts w:ascii="Times New Roman" w:hAnsi="Times New Roman"/>
          <w:sz w:val="28"/>
          <w:szCs w:val="28"/>
          <w:lang w:val="uk-UA"/>
        </w:rPr>
        <w:t>,</w:t>
      </w:r>
      <w:r w:rsidR="00F55801">
        <w:rPr>
          <w:rFonts w:ascii="Times New Roman" w:hAnsi="Times New Roman"/>
          <w:sz w:val="28"/>
          <w:szCs w:val="28"/>
          <w:lang w:val="uk-UA"/>
        </w:rPr>
        <w:t xml:space="preserve"> </w:t>
      </w:r>
      <w:r w:rsidRPr="00CB0434">
        <w:rPr>
          <w:rFonts w:ascii="Times New Roman" w:hAnsi="Times New Roman"/>
          <w:sz w:val="28"/>
          <w:szCs w:val="28"/>
          <w:lang w:val="uk-UA"/>
        </w:rPr>
        <w:t xml:space="preserve">..., </w:t>
      </w:r>
      <w:r w:rsidRPr="001E5F5C">
        <w:rPr>
          <w:rFonts w:ascii="Times New Roman" w:hAnsi="Times New Roman"/>
          <w:i/>
          <w:sz w:val="28"/>
          <w:szCs w:val="28"/>
          <w:lang w:val="uk-UA"/>
        </w:rPr>
        <w:t>Х</w:t>
      </w:r>
      <w:r w:rsidRPr="00AF7F70">
        <w:rPr>
          <w:rFonts w:ascii="Times New Roman" w:hAnsi="Times New Roman"/>
          <w:i/>
          <w:sz w:val="28"/>
          <w:szCs w:val="28"/>
          <w:vertAlign w:val="subscript"/>
          <w:lang w:val="en-US"/>
        </w:rPr>
        <w:t>m</w:t>
      </w:r>
      <w:r w:rsidRPr="00CB0434">
        <w:rPr>
          <w:rFonts w:ascii="Times New Roman" w:hAnsi="Times New Roman"/>
          <w:sz w:val="28"/>
          <w:szCs w:val="28"/>
          <w:lang w:val="uk-UA"/>
        </w:rPr>
        <w:t xml:space="preserve">, що утворюють </w:t>
      </w:r>
      <w:r w:rsidR="00F55801">
        <w:rPr>
          <w:rFonts w:ascii="Times New Roman" w:hAnsi="Times New Roman"/>
          <w:sz w:val="28"/>
          <w:szCs w:val="28"/>
          <w:lang w:val="uk-UA"/>
        </w:rPr>
        <w:t>множину</w:t>
      </w:r>
      <w:r w:rsidRPr="00CB0434">
        <w:rPr>
          <w:rFonts w:ascii="Times New Roman" w:hAnsi="Times New Roman"/>
          <w:sz w:val="28"/>
          <w:szCs w:val="28"/>
          <w:lang w:val="uk-UA"/>
        </w:rPr>
        <w:t xml:space="preserve"> </w:t>
      </w:r>
      <w:r w:rsidRPr="001E5F5C">
        <w:rPr>
          <w:rFonts w:ascii="Times New Roman" w:hAnsi="Times New Roman"/>
          <w:i/>
          <w:sz w:val="28"/>
          <w:szCs w:val="28"/>
          <w:lang w:val="uk-UA"/>
        </w:rPr>
        <w:t>X</w:t>
      </w:r>
      <w:r w:rsidRPr="00CB0434">
        <w:rPr>
          <w:rFonts w:ascii="Times New Roman" w:hAnsi="Times New Roman"/>
          <w:sz w:val="28"/>
          <w:szCs w:val="28"/>
          <w:lang w:val="uk-UA"/>
        </w:rPr>
        <w:t xml:space="preserve">, можуть бути числовими та нечисловими; числові шкали можуть бути дискретними (кінцевими чи нескінченними) та безперервними. </w:t>
      </w:r>
      <w:r w:rsidR="00F55801">
        <w:rPr>
          <w:rFonts w:ascii="Times New Roman" w:hAnsi="Times New Roman"/>
          <w:sz w:val="28"/>
          <w:szCs w:val="28"/>
          <w:lang w:val="uk-UA"/>
        </w:rPr>
        <w:t>Множина</w:t>
      </w:r>
      <w:r w:rsidRPr="00CB0434">
        <w:rPr>
          <w:rFonts w:ascii="Times New Roman" w:hAnsi="Times New Roman"/>
          <w:sz w:val="28"/>
          <w:szCs w:val="28"/>
          <w:lang w:val="uk-UA"/>
        </w:rPr>
        <w:t xml:space="preserve"> X може містити шкали різних типів.</w:t>
      </w:r>
    </w:p>
    <w:p w:rsidR="00363C28" w:rsidRPr="00CB0434" w:rsidRDefault="00363C28"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Декартова формула</w:t>
      </w:r>
      <w:r w:rsidRPr="00CB0434">
        <w:rPr>
          <w:rFonts w:ascii="Times New Roman" w:hAnsi="Times New Roman"/>
          <w:sz w:val="28"/>
          <w:szCs w:val="28"/>
          <w:lang w:val="uk-UA"/>
        </w:rPr>
        <w:t xml:space="preserve"> </w:t>
      </w:r>
      <w:r w:rsidRPr="001E5F5C">
        <w:rPr>
          <w:rFonts w:ascii="Times New Roman" w:hAnsi="Times New Roman"/>
          <w:i/>
          <w:sz w:val="28"/>
          <w:szCs w:val="28"/>
          <w:lang w:val="en-US"/>
        </w:rPr>
        <w:t>Y</w:t>
      </w:r>
      <w:r w:rsidRPr="001E5F5C">
        <w:rPr>
          <w:rFonts w:ascii="Times New Roman" w:hAnsi="Times New Roman"/>
          <w:i/>
          <w:sz w:val="28"/>
          <w:szCs w:val="28"/>
          <w:lang w:val="uk-UA"/>
        </w:rPr>
        <w:t xml:space="preserve"> = Х</w:t>
      </w:r>
      <w:r w:rsidRPr="00AF7F70">
        <w:rPr>
          <w:rFonts w:ascii="Times New Roman" w:hAnsi="Times New Roman"/>
          <w:sz w:val="28"/>
          <w:szCs w:val="28"/>
          <w:vertAlign w:val="subscript"/>
          <w:lang w:val="uk-UA"/>
        </w:rPr>
        <w:t>1</w:t>
      </w:r>
      <w:r w:rsidRPr="001E5F5C">
        <w:rPr>
          <w:rFonts w:ascii="Times New Roman" w:hAnsi="Times New Roman"/>
          <w:i/>
          <w:sz w:val="28"/>
          <w:szCs w:val="28"/>
        </w:rPr>
        <w:t>*</w:t>
      </w:r>
      <w:r w:rsidRPr="001E5F5C">
        <w:rPr>
          <w:rFonts w:ascii="Times New Roman" w:hAnsi="Times New Roman"/>
          <w:i/>
          <w:sz w:val="28"/>
          <w:szCs w:val="28"/>
          <w:lang w:val="uk-UA"/>
        </w:rPr>
        <w:t xml:space="preserve"> X</w:t>
      </w:r>
      <w:r w:rsidRPr="00AF7F70">
        <w:rPr>
          <w:rFonts w:ascii="Times New Roman" w:hAnsi="Times New Roman"/>
          <w:sz w:val="28"/>
          <w:szCs w:val="28"/>
          <w:vertAlign w:val="subscript"/>
          <w:lang w:val="uk-UA"/>
        </w:rPr>
        <w:t>2</w:t>
      </w:r>
      <w:r w:rsidRPr="001E5F5C">
        <w:rPr>
          <w:rFonts w:ascii="Times New Roman" w:hAnsi="Times New Roman"/>
          <w:i/>
          <w:sz w:val="28"/>
          <w:szCs w:val="28"/>
          <w:lang w:val="uk-UA"/>
        </w:rPr>
        <w:t xml:space="preserve"> </w:t>
      </w:r>
      <w:r w:rsidRPr="001E5F5C">
        <w:rPr>
          <w:rFonts w:ascii="Times New Roman" w:hAnsi="Times New Roman"/>
          <w:i/>
          <w:sz w:val="28"/>
          <w:szCs w:val="28"/>
        </w:rPr>
        <w:t>*</w:t>
      </w:r>
      <w:r w:rsidRPr="001E5F5C">
        <w:rPr>
          <w:rFonts w:ascii="Times New Roman" w:hAnsi="Times New Roman"/>
          <w:i/>
          <w:sz w:val="28"/>
          <w:szCs w:val="28"/>
          <w:lang w:val="uk-UA"/>
        </w:rPr>
        <w:t xml:space="preserve"> ... </w:t>
      </w:r>
      <w:r w:rsidRPr="001E5F5C">
        <w:rPr>
          <w:rFonts w:ascii="Times New Roman" w:hAnsi="Times New Roman"/>
          <w:i/>
          <w:sz w:val="28"/>
          <w:szCs w:val="28"/>
        </w:rPr>
        <w:t>*</w:t>
      </w:r>
      <w:r w:rsidRPr="001E5F5C">
        <w:rPr>
          <w:rFonts w:ascii="Times New Roman" w:hAnsi="Times New Roman"/>
          <w:i/>
          <w:sz w:val="28"/>
          <w:szCs w:val="28"/>
          <w:lang w:val="uk-UA"/>
        </w:rPr>
        <w:t xml:space="preserve"> Х</w:t>
      </w:r>
      <w:r w:rsidRPr="00AF7F70">
        <w:rPr>
          <w:rFonts w:ascii="Times New Roman" w:hAnsi="Times New Roman"/>
          <w:i/>
          <w:sz w:val="28"/>
          <w:szCs w:val="28"/>
          <w:vertAlign w:val="subscript"/>
          <w:lang w:val="uk-UA"/>
        </w:rPr>
        <w:t>m</w:t>
      </w:r>
      <w:r w:rsidRPr="00CB0434">
        <w:rPr>
          <w:rFonts w:ascii="Times New Roman" w:hAnsi="Times New Roman"/>
          <w:sz w:val="28"/>
          <w:szCs w:val="28"/>
          <w:lang w:val="uk-UA"/>
        </w:rPr>
        <w:t xml:space="preserve"> утворює безліч векторних оцінок. Кожне рішення оцінюється за шкалами </w:t>
      </w:r>
      <w:r w:rsidRPr="00AF7F70">
        <w:rPr>
          <w:rFonts w:ascii="Times New Roman" w:hAnsi="Times New Roman"/>
          <w:i/>
          <w:sz w:val="28"/>
          <w:szCs w:val="28"/>
          <w:lang w:val="en-US"/>
        </w:rPr>
        <w:t>X</w:t>
      </w:r>
      <w:r w:rsidRPr="00AF7F70">
        <w:rPr>
          <w:rFonts w:ascii="Times New Roman" w:hAnsi="Times New Roman"/>
          <w:sz w:val="28"/>
          <w:szCs w:val="28"/>
          <w:vertAlign w:val="subscript"/>
          <w:lang w:val="uk-UA"/>
        </w:rPr>
        <w:t>1</w:t>
      </w:r>
      <w:r w:rsidRPr="00CB0434">
        <w:rPr>
          <w:rFonts w:ascii="Times New Roman" w:hAnsi="Times New Roman"/>
          <w:sz w:val="28"/>
          <w:szCs w:val="28"/>
          <w:lang w:val="uk-UA"/>
        </w:rPr>
        <w:t xml:space="preserve">, </w:t>
      </w:r>
      <w:r w:rsidRPr="00AF7F70">
        <w:rPr>
          <w:rFonts w:ascii="Times New Roman" w:hAnsi="Times New Roman"/>
          <w:i/>
          <w:sz w:val="28"/>
          <w:szCs w:val="28"/>
          <w:lang w:val="uk-UA"/>
        </w:rPr>
        <w:t>Х</w:t>
      </w:r>
      <w:r w:rsidRPr="00AF7F70">
        <w:rPr>
          <w:rFonts w:ascii="Times New Roman" w:hAnsi="Times New Roman"/>
          <w:sz w:val="28"/>
          <w:szCs w:val="28"/>
          <w:vertAlign w:val="subscript"/>
          <w:lang w:val="uk-UA"/>
        </w:rPr>
        <w:t>2</w:t>
      </w:r>
      <w:r w:rsidRPr="00CB0434">
        <w:rPr>
          <w:rFonts w:ascii="Times New Roman" w:hAnsi="Times New Roman"/>
          <w:sz w:val="28"/>
          <w:szCs w:val="28"/>
          <w:lang w:val="uk-UA"/>
        </w:rPr>
        <w:t xml:space="preserve">, ..., </w:t>
      </w:r>
      <w:r w:rsidRPr="00AF7F70">
        <w:rPr>
          <w:rFonts w:ascii="Times New Roman" w:hAnsi="Times New Roman"/>
          <w:i/>
          <w:sz w:val="28"/>
          <w:szCs w:val="28"/>
          <w:lang w:val="uk-UA"/>
        </w:rPr>
        <w:t>Х</w:t>
      </w:r>
      <w:r w:rsidRPr="00AF7F70">
        <w:rPr>
          <w:rFonts w:ascii="Times New Roman" w:hAnsi="Times New Roman"/>
          <w:i/>
          <w:sz w:val="28"/>
          <w:szCs w:val="28"/>
          <w:vertAlign w:val="subscript"/>
          <w:lang w:val="en-US"/>
        </w:rPr>
        <w:t>m</w:t>
      </w:r>
      <w:r w:rsidRPr="00CB0434">
        <w:rPr>
          <w:rFonts w:ascii="Times New Roman" w:hAnsi="Times New Roman"/>
          <w:sz w:val="28"/>
          <w:szCs w:val="28"/>
          <w:lang w:val="uk-UA"/>
        </w:rPr>
        <w:t xml:space="preserve">, тобто множині допустимих рішень </w:t>
      </w:r>
      <w:r w:rsidRPr="00AF7F70">
        <w:rPr>
          <w:rFonts w:ascii="Times New Roman" w:hAnsi="Times New Roman"/>
          <w:i/>
          <w:sz w:val="28"/>
          <w:szCs w:val="28"/>
          <w:lang w:val="en-US"/>
        </w:rPr>
        <w:t>S</w:t>
      </w:r>
      <w:r w:rsidRPr="00CB0434">
        <w:rPr>
          <w:rFonts w:ascii="Times New Roman" w:hAnsi="Times New Roman"/>
          <w:sz w:val="28"/>
          <w:szCs w:val="28"/>
          <w:lang w:val="uk-UA"/>
        </w:rPr>
        <w:t xml:space="preserve"> ставиться у відповідність безлі</w:t>
      </w:r>
      <w:r>
        <w:rPr>
          <w:rFonts w:ascii="Times New Roman" w:hAnsi="Times New Roman"/>
          <w:sz w:val="28"/>
          <w:szCs w:val="28"/>
          <w:lang w:val="uk-UA"/>
        </w:rPr>
        <w:t xml:space="preserve">ч допустимих векторних оцінок </w:t>
      </w:r>
      <w:r w:rsidRPr="003440B9">
        <w:rPr>
          <w:rFonts w:ascii="Times New Roman" w:hAnsi="Times New Roman"/>
          <w:i/>
          <w:sz w:val="28"/>
          <w:szCs w:val="28"/>
          <w:lang w:val="uk-UA"/>
        </w:rPr>
        <w:t>А</w:t>
      </w:r>
      <w:r w:rsidRPr="003440B9">
        <w:rPr>
          <w:rFonts w:ascii="Times New Roman" w:hAnsi="Times New Roman"/>
          <w:sz w:val="28"/>
          <w:szCs w:val="28"/>
          <w:lang w:val="uk-UA"/>
        </w:rPr>
        <w:t>₾</w:t>
      </w:r>
      <w:r w:rsidRPr="006246CD">
        <w:rPr>
          <w:rFonts w:ascii="Times New Roman" w:hAnsi="Times New Roman"/>
          <w:sz w:val="28"/>
          <w:szCs w:val="28"/>
          <w:lang w:val="uk-UA"/>
        </w:rPr>
        <w:t xml:space="preserve"> </w:t>
      </w:r>
      <w:r w:rsidRPr="00AF7F70">
        <w:rPr>
          <w:rFonts w:ascii="Times New Roman" w:hAnsi="Times New Roman"/>
          <w:i/>
          <w:sz w:val="28"/>
          <w:szCs w:val="28"/>
          <w:lang w:val="en-US"/>
        </w:rPr>
        <w:t>Y</w:t>
      </w:r>
      <w:r>
        <w:rPr>
          <w:rFonts w:ascii="Times New Roman" w:hAnsi="Times New Roman"/>
          <w:sz w:val="28"/>
          <w:szCs w:val="28"/>
          <w:lang w:val="uk-UA"/>
        </w:rPr>
        <w:t xml:space="preserve"> </w:t>
      </w:r>
      <w:r w:rsidR="00F55801">
        <w:rPr>
          <w:rFonts w:ascii="Times New Roman" w:hAnsi="Times New Roman"/>
          <w:sz w:val="28"/>
          <w:szCs w:val="28"/>
          <w:lang w:val="uk-UA"/>
        </w:rPr>
        <w:t xml:space="preserve">за </w:t>
      </w:r>
      <w:r>
        <w:rPr>
          <w:rFonts w:ascii="Times New Roman" w:hAnsi="Times New Roman"/>
          <w:sz w:val="28"/>
          <w:szCs w:val="28"/>
          <w:lang w:val="uk-UA"/>
        </w:rPr>
        <w:t xml:space="preserve">допомогою відображення </w:t>
      </w:r>
      <w:r w:rsidRPr="00AF7F70">
        <w:rPr>
          <w:rFonts w:ascii="Times New Roman" w:hAnsi="Times New Roman"/>
          <w:i/>
          <w:sz w:val="28"/>
          <w:szCs w:val="28"/>
          <w:lang w:val="uk-UA"/>
        </w:rPr>
        <w:t>f</w:t>
      </w:r>
      <w:r w:rsidRPr="00CB0434">
        <w:rPr>
          <w:rFonts w:ascii="Times New Roman" w:hAnsi="Times New Roman"/>
          <w:sz w:val="28"/>
          <w:szCs w:val="28"/>
          <w:lang w:val="uk-UA"/>
        </w:rPr>
        <w:t>:</w:t>
      </w:r>
      <w:r w:rsidR="00F55801">
        <w:rPr>
          <w:rFonts w:ascii="Times New Roman" w:hAnsi="Times New Roman"/>
          <w:sz w:val="28"/>
          <w:szCs w:val="28"/>
          <w:lang w:val="uk-UA"/>
        </w:rPr>
        <w:t> </w:t>
      </w:r>
      <w:r w:rsidRPr="00AF7F70">
        <w:rPr>
          <w:rFonts w:ascii="Times New Roman" w:hAnsi="Times New Roman"/>
          <w:i/>
          <w:sz w:val="28"/>
          <w:szCs w:val="28"/>
          <w:lang w:val="en-US"/>
        </w:rPr>
        <w:t>S</w:t>
      </w:r>
      <w:r w:rsidR="00F55801">
        <w:rPr>
          <w:rFonts w:ascii="Times New Roman" w:hAnsi="Times New Roman"/>
          <w:sz w:val="28"/>
          <w:szCs w:val="28"/>
        </w:rPr>
        <w:t> </w:t>
      </w:r>
      <w:r w:rsidRPr="006246CD">
        <w:rPr>
          <w:rFonts w:ascii="Times New Roman" w:hAnsi="Times New Roman"/>
          <w:sz w:val="28"/>
          <w:szCs w:val="28"/>
          <w:lang w:val="uk-UA"/>
        </w:rPr>
        <w:t>→</w:t>
      </w:r>
      <w:r w:rsidR="00F55801">
        <w:rPr>
          <w:rFonts w:ascii="Times New Roman" w:hAnsi="Times New Roman"/>
          <w:sz w:val="28"/>
          <w:szCs w:val="28"/>
          <w:lang w:val="uk-UA"/>
        </w:rPr>
        <w:t> </w:t>
      </w:r>
      <w:r w:rsidRPr="00AF7F70">
        <w:rPr>
          <w:rFonts w:ascii="Times New Roman" w:hAnsi="Times New Roman"/>
          <w:i/>
          <w:sz w:val="28"/>
          <w:szCs w:val="28"/>
          <w:lang w:val="uk-UA"/>
        </w:rPr>
        <w:t>А</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Теоретично </w:t>
      </w:r>
      <w:r w:rsidR="007E6D6F">
        <w:rPr>
          <w:rFonts w:ascii="Times New Roman" w:hAnsi="Times New Roman"/>
          <w:sz w:val="28"/>
          <w:szCs w:val="28"/>
          <w:lang w:val="uk-UA"/>
        </w:rPr>
        <w:t xml:space="preserve">для </w:t>
      </w:r>
      <w:r w:rsidRPr="00CB0434">
        <w:rPr>
          <w:rFonts w:ascii="Times New Roman" w:hAnsi="Times New Roman"/>
          <w:sz w:val="28"/>
          <w:szCs w:val="28"/>
          <w:lang w:val="uk-UA"/>
        </w:rPr>
        <w:t xml:space="preserve">прийняття рішень передбачається, що кожна особа, яка приймає рішення, має деяку систему переваг, з якої вона виходить при здійсненні вибору. Наприклад, </w:t>
      </w:r>
      <w:r w:rsidR="007E6D6F">
        <w:rPr>
          <w:rFonts w:ascii="Times New Roman" w:hAnsi="Times New Roman"/>
          <w:sz w:val="28"/>
          <w:szCs w:val="28"/>
          <w:lang w:val="uk-UA"/>
        </w:rPr>
        <w:t>«</w:t>
      </w:r>
      <w:r w:rsidRPr="00CB0434">
        <w:rPr>
          <w:rFonts w:ascii="Times New Roman" w:hAnsi="Times New Roman"/>
          <w:sz w:val="28"/>
          <w:szCs w:val="28"/>
          <w:lang w:val="uk-UA"/>
        </w:rPr>
        <w:t xml:space="preserve">що більше </w:t>
      </w:r>
      <w:r>
        <w:rPr>
          <w:rFonts w:ascii="Times New Roman" w:hAnsi="Times New Roman"/>
          <w:sz w:val="28"/>
          <w:szCs w:val="28"/>
          <w:lang w:val="en-US"/>
        </w:rPr>
        <w:t>NPV</w:t>
      </w:r>
      <w:r w:rsidRPr="00CB0434">
        <w:rPr>
          <w:rFonts w:ascii="Times New Roman" w:hAnsi="Times New Roman"/>
          <w:sz w:val="28"/>
          <w:szCs w:val="28"/>
          <w:lang w:val="uk-UA"/>
        </w:rPr>
        <w:t xml:space="preserve"> </w:t>
      </w:r>
      <w:r w:rsidR="00DB1F48">
        <w:rPr>
          <w:rFonts w:ascii="Times New Roman" w:hAnsi="Times New Roman"/>
          <w:sz w:val="28"/>
          <w:szCs w:val="28"/>
          <w:lang w:val="uk-UA"/>
        </w:rPr>
        <w:t>проєк</w:t>
      </w:r>
      <w:r w:rsidRPr="00CB0434">
        <w:rPr>
          <w:rFonts w:ascii="Times New Roman" w:hAnsi="Times New Roman"/>
          <w:sz w:val="28"/>
          <w:szCs w:val="28"/>
          <w:lang w:val="uk-UA"/>
        </w:rPr>
        <w:t>ту, то краще</w:t>
      </w:r>
      <w:r w:rsidR="007E6D6F">
        <w:rPr>
          <w:rFonts w:ascii="Times New Roman" w:hAnsi="Times New Roman"/>
          <w:sz w:val="28"/>
          <w:szCs w:val="28"/>
          <w:lang w:val="uk-UA"/>
        </w:rPr>
        <w:t>»</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В рамках багатокритеріальної моделі система переваг описується сукупністю </w:t>
      </w:r>
      <w:r w:rsidRPr="006246CD">
        <w:rPr>
          <w:rFonts w:ascii="Times New Roman" w:hAnsi="Times New Roman"/>
          <w:i/>
          <w:sz w:val="28"/>
          <w:szCs w:val="28"/>
          <w:lang w:val="uk-UA"/>
        </w:rPr>
        <w:t>Р</w:t>
      </w:r>
      <w:r w:rsidRPr="00CB0434">
        <w:rPr>
          <w:rFonts w:ascii="Times New Roman" w:hAnsi="Times New Roman"/>
          <w:sz w:val="28"/>
          <w:szCs w:val="28"/>
          <w:lang w:val="uk-UA"/>
        </w:rPr>
        <w:t xml:space="preserve"> деяких множин з відносинами переваги (наприклад, множин критеріїв, інтервалів між оцінками на шкалах, допустимих рішень певного виду та інших об'єктів, отриманих на основі елементів моделі).</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Побудова моделей багатокритеріальних завдань прийняття рішень є складною процедурою, що складається з формалізованих та неформалізованих етапів.</w:t>
      </w:r>
    </w:p>
    <w:p w:rsidR="00363C28" w:rsidRPr="008B6793"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w:t>
      </w:r>
      <w:r w:rsidRPr="008B6793">
        <w:rPr>
          <w:rFonts w:ascii="Times New Roman" w:hAnsi="Times New Roman"/>
          <w:sz w:val="28"/>
          <w:szCs w:val="28"/>
          <w:lang w:val="uk-UA"/>
        </w:rPr>
        <w:t xml:space="preserve">вирішення завдання вибору найкращого </w:t>
      </w:r>
      <w:r w:rsidR="00DB1F48" w:rsidRPr="008B6793">
        <w:rPr>
          <w:rFonts w:ascii="Times New Roman" w:hAnsi="Times New Roman"/>
          <w:sz w:val="28"/>
          <w:szCs w:val="28"/>
          <w:lang w:val="uk-UA"/>
        </w:rPr>
        <w:t>проєк</w:t>
      </w:r>
      <w:r w:rsidRPr="008B6793">
        <w:rPr>
          <w:rFonts w:ascii="Times New Roman" w:hAnsi="Times New Roman"/>
          <w:sz w:val="28"/>
          <w:szCs w:val="28"/>
          <w:lang w:val="uk-UA"/>
        </w:rPr>
        <w:t>ту</w:t>
      </w:r>
      <w:r w:rsidR="00ED04DE" w:rsidRPr="008B6793">
        <w:rPr>
          <w:rFonts w:ascii="Times New Roman" w:hAnsi="Times New Roman"/>
          <w:sz w:val="28"/>
          <w:szCs w:val="28"/>
          <w:lang w:val="uk-UA"/>
        </w:rPr>
        <w:t xml:space="preserve"> з </w:t>
      </w:r>
      <w:r w:rsidR="00ED04DE" w:rsidRPr="008B6793">
        <w:rPr>
          <w:rStyle w:val="docdata"/>
          <w:rFonts w:ascii="Times New Roman" w:eastAsia="Aptos" w:hAnsi="Times New Roman"/>
          <w:color w:val="000000"/>
          <w:kern w:val="2"/>
          <w:sz w:val="28"/>
          <w:szCs w:val="28"/>
          <w:lang w:val="uk-UA"/>
        </w:rPr>
        <w:t>інвестиційної привабливості</w:t>
      </w:r>
      <w:r w:rsidRPr="008B6793">
        <w:rPr>
          <w:rFonts w:ascii="Times New Roman" w:hAnsi="Times New Roman"/>
          <w:sz w:val="28"/>
          <w:szCs w:val="28"/>
          <w:lang w:val="uk-UA"/>
        </w:rPr>
        <w:t xml:space="preserve"> на основі багатокритеріальної оцінки пропонується наступний алгоритм, показаний на рис. 1.</w:t>
      </w:r>
      <w:r w:rsidR="00816BAD">
        <w:rPr>
          <w:rFonts w:ascii="Times New Roman" w:hAnsi="Times New Roman"/>
          <w:sz w:val="28"/>
          <w:szCs w:val="28"/>
          <w:lang w:val="uk-UA"/>
        </w:rPr>
        <w:t>6</w:t>
      </w:r>
      <w:r w:rsidRPr="008B6793">
        <w:rPr>
          <w:rFonts w:ascii="Times New Roman" w:hAnsi="Times New Roman"/>
          <w:sz w:val="28"/>
          <w:szCs w:val="28"/>
          <w:lang w:val="uk-UA"/>
        </w:rPr>
        <w:t xml:space="preserve">, що включає </w:t>
      </w:r>
      <w:r w:rsidR="007E6D6F" w:rsidRPr="008B6793">
        <w:rPr>
          <w:rFonts w:ascii="Times New Roman" w:hAnsi="Times New Roman"/>
          <w:sz w:val="28"/>
          <w:szCs w:val="28"/>
          <w:lang w:val="uk-UA"/>
        </w:rPr>
        <w:t xml:space="preserve">наступну </w:t>
      </w:r>
      <w:r w:rsidRPr="008B6793">
        <w:rPr>
          <w:rFonts w:ascii="Times New Roman" w:hAnsi="Times New Roman"/>
          <w:sz w:val="28"/>
          <w:szCs w:val="28"/>
          <w:lang w:val="uk-UA"/>
        </w:rPr>
        <w:t>послідовність етапів</w:t>
      </w:r>
      <w:r w:rsidR="00336F0C">
        <w:rPr>
          <w:rFonts w:ascii="Times New Roman" w:hAnsi="Times New Roman"/>
          <w:sz w:val="28"/>
          <w:szCs w:val="28"/>
          <w:lang w:val="uk-UA"/>
        </w:rPr>
        <w:t>.</w:t>
      </w:r>
    </w:p>
    <w:p w:rsidR="00816BAD" w:rsidRPr="00CB0434" w:rsidRDefault="00816BAD" w:rsidP="00816BAD">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Як методи визначення коефіцієнтів відносної важливості критеріїв вибору (етапи 2 і 3 вищенаведеної методики) традиційно використовуються такі методи, як ранжування, бальні оцінки, безпосередня чисельна оцінка, метод парних порівнянь</w:t>
      </w:r>
      <w:r w:rsidRPr="009332D9">
        <w:rPr>
          <w:rFonts w:ascii="Times New Roman" w:hAnsi="Times New Roman"/>
          <w:sz w:val="28"/>
          <w:szCs w:val="28"/>
          <w:lang w:val="uk-UA"/>
        </w:rPr>
        <w:t xml:space="preserve"> </w:t>
      </w:r>
      <w:r w:rsidRPr="009332D9">
        <w:rPr>
          <w:rFonts w:ascii="Times New Roman" w:eastAsia="Times New Roman" w:hAnsi="Times New Roman"/>
          <w:sz w:val="28"/>
          <w:szCs w:val="28"/>
          <w:lang w:val="uk-UA"/>
        </w:rPr>
        <w:t>[84, c. 116]</w:t>
      </w:r>
      <w:r w:rsidRPr="00CB0434">
        <w:rPr>
          <w:rFonts w:ascii="Times New Roman" w:hAnsi="Times New Roman"/>
          <w:sz w:val="28"/>
          <w:szCs w:val="28"/>
          <w:lang w:val="uk-UA"/>
        </w:rPr>
        <w:t>.</w:t>
      </w:r>
    </w:p>
    <w:p w:rsidR="00816BAD" w:rsidRPr="00CB0434" w:rsidRDefault="00816BAD" w:rsidP="00816BAD">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36F0C" w:rsidRDefault="00336F0C" w:rsidP="00363C28">
      <w:pPr>
        <w:spacing w:after="0" w:line="360" w:lineRule="auto"/>
        <w:ind w:firstLine="709"/>
        <w:jc w:val="both"/>
        <w:rPr>
          <w:rFonts w:ascii="Times New Roman" w:hAnsi="Times New Roman"/>
          <w:sz w:val="28"/>
          <w:szCs w:val="28"/>
          <w:lang w:val="uk-UA"/>
        </w:rPr>
      </w:pPr>
    </w:p>
    <w:p w:rsidR="00363C28" w:rsidRDefault="002F389C" w:rsidP="00363C28">
      <w:pPr>
        <w:spacing w:after="0" w:line="360" w:lineRule="auto"/>
        <w:ind w:firstLine="709"/>
        <w:jc w:val="both"/>
        <w:rPr>
          <w:rFonts w:ascii="Times New Roman" w:hAnsi="Times New Roman"/>
          <w:sz w:val="28"/>
          <w:szCs w:val="28"/>
          <w:lang w:val="uk-UA"/>
        </w:rPr>
      </w:pPr>
      <w:r>
        <w:rPr>
          <w:noProof/>
          <w:lang w:val="uk-UA" w:eastAsia="uk-UA"/>
        </w:rPr>
        <mc:AlternateContent>
          <mc:Choice Requires="wpg">
            <w:drawing>
              <wp:anchor distT="0" distB="0" distL="114300" distR="114300" simplePos="0" relativeHeight="251660800" behindDoc="0" locked="0" layoutInCell="1" allowOverlap="1" wp14:anchorId="51D8C395" wp14:editId="03D414DB">
                <wp:simplePos x="0" y="0"/>
                <wp:positionH relativeFrom="column">
                  <wp:posOffset>542925</wp:posOffset>
                </wp:positionH>
                <wp:positionV relativeFrom="paragraph">
                  <wp:posOffset>-354330</wp:posOffset>
                </wp:positionV>
                <wp:extent cx="4429125" cy="6543675"/>
                <wp:effectExtent l="0" t="0" r="28575" b="28575"/>
                <wp:wrapNone/>
                <wp:docPr id="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9125" cy="6543675"/>
                          <a:chOff x="2790" y="270"/>
                          <a:chExt cx="6765" cy="10665"/>
                        </a:xfrm>
                      </wpg:grpSpPr>
                      <wps:wsp>
                        <wps:cNvPr id="2" name="Rectangle 102"/>
                        <wps:cNvSpPr>
                          <a:spLocks noChangeArrowheads="1"/>
                        </wps:cNvSpPr>
                        <wps:spPr bwMode="auto">
                          <a:xfrm>
                            <a:off x="2790" y="270"/>
                            <a:ext cx="6765" cy="780"/>
                          </a:xfrm>
                          <a:prstGeom prst="rect">
                            <a:avLst/>
                          </a:prstGeom>
                          <a:solidFill>
                            <a:srgbClr val="FFFFFF"/>
                          </a:solidFill>
                          <a:ln w="9525">
                            <a:solidFill>
                              <a:srgbClr val="000000"/>
                            </a:solidFill>
                            <a:miter lim="800000"/>
                            <a:headEnd/>
                            <a:tailEnd/>
                          </a:ln>
                        </wps:spPr>
                        <wps:txb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 xml:space="preserve">1. </w:t>
                              </w:r>
                              <w:r w:rsidRPr="001E5F5C">
                                <w:rPr>
                                  <w:rFonts w:ascii="Times New Roman" w:hAnsi="Times New Roman"/>
                                  <w:sz w:val="26"/>
                                  <w:szCs w:val="26"/>
                                  <w:lang w:val="uk-UA"/>
                                </w:rPr>
                                <w:t>Формування допустимих варіантів про</w:t>
                              </w:r>
                              <w:r>
                                <w:rPr>
                                  <w:rFonts w:ascii="Times New Roman" w:hAnsi="Times New Roman"/>
                                  <w:sz w:val="26"/>
                                  <w:szCs w:val="26"/>
                                  <w:lang w:val="uk-UA"/>
                                </w:rPr>
                                <w:t>є</w:t>
                              </w:r>
                              <w:r w:rsidRPr="001E5F5C">
                                <w:rPr>
                                  <w:rFonts w:ascii="Times New Roman" w:hAnsi="Times New Roman"/>
                                  <w:sz w:val="26"/>
                                  <w:szCs w:val="26"/>
                                  <w:lang w:val="uk-UA"/>
                                </w:rPr>
                                <w:t>ктів</w:t>
                              </w:r>
                              <w:r>
                                <w:rPr>
                                  <w:rFonts w:ascii="Times New Roman" w:hAnsi="Times New Roman"/>
                                  <w:sz w:val="26"/>
                                  <w:szCs w:val="26"/>
                                  <w:lang w:val="uk-UA"/>
                                </w:rPr>
                                <w:t xml:space="preserve"> </w:t>
                              </w:r>
                              <w:r w:rsidRPr="00ED04DE">
                                <w:rPr>
                                  <w:rFonts w:ascii="Times New Roman" w:hAnsi="Times New Roman"/>
                                  <w:sz w:val="26"/>
                                  <w:szCs w:val="26"/>
                                  <w:lang w:val="uk-UA"/>
                                </w:rPr>
                                <w:t xml:space="preserve">з </w:t>
                              </w:r>
                              <w:r w:rsidRPr="00ED04DE">
                                <w:rPr>
                                  <w:rFonts w:ascii="Times New Roman" w:hAnsi="Times New Roman"/>
                                  <w:sz w:val="26"/>
                                  <w:szCs w:val="26"/>
                                </w:rPr>
                                <w:t>інвестиційної привабливості</w:t>
                              </w:r>
                            </w:p>
                          </w:txbxContent>
                        </wps:txbx>
                        <wps:bodyPr rot="0" vert="horz" wrap="square" lIns="91440" tIns="45720" rIns="91440" bIns="45720" anchor="t" anchorCtr="0" upright="1">
                          <a:noAutofit/>
                        </wps:bodyPr>
                      </wps:wsp>
                      <wps:wsp>
                        <wps:cNvPr id="3" name="Rectangle 103"/>
                        <wps:cNvSpPr>
                          <a:spLocks noChangeArrowheads="1"/>
                        </wps:cNvSpPr>
                        <wps:spPr bwMode="auto">
                          <a:xfrm>
                            <a:off x="2790" y="1635"/>
                            <a:ext cx="6765" cy="780"/>
                          </a:xfrm>
                          <a:prstGeom prst="rect">
                            <a:avLst/>
                          </a:prstGeom>
                          <a:solidFill>
                            <a:srgbClr val="FFFFFF"/>
                          </a:solidFill>
                          <a:ln w="9525">
                            <a:solidFill>
                              <a:srgbClr val="000000"/>
                            </a:solidFill>
                            <a:miter lim="800000"/>
                            <a:headEnd/>
                            <a:tailEnd/>
                          </a:ln>
                        </wps:spPr>
                        <wps:txb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rPr>
                                <w:t xml:space="preserve">2. </w:t>
                              </w:r>
                              <w:r w:rsidRPr="00ED04DE">
                                <w:rPr>
                                  <w:rFonts w:ascii="Times New Roman" w:hAnsi="Times New Roman"/>
                                  <w:sz w:val="26"/>
                                  <w:szCs w:val="26"/>
                                  <w:lang w:val="uk-UA"/>
                                </w:rPr>
                                <w:t>Ф</w:t>
                              </w:r>
                              <w:r w:rsidRPr="001E5F5C">
                                <w:rPr>
                                  <w:rFonts w:ascii="Times New Roman" w:hAnsi="Times New Roman"/>
                                  <w:sz w:val="26"/>
                                  <w:szCs w:val="26"/>
                                  <w:lang w:val="uk-UA"/>
                                </w:rPr>
                                <w:t>ормування системи критеріїв (у формі ієрархії) для оцінки варіантів про</w:t>
                              </w:r>
                              <w:r>
                                <w:rPr>
                                  <w:rFonts w:ascii="Times New Roman" w:hAnsi="Times New Roman"/>
                                  <w:sz w:val="26"/>
                                  <w:szCs w:val="26"/>
                                  <w:lang w:val="uk-UA"/>
                                </w:rPr>
                                <w:t>є</w:t>
                              </w:r>
                              <w:r w:rsidRPr="001E5F5C">
                                <w:rPr>
                                  <w:rFonts w:ascii="Times New Roman" w:hAnsi="Times New Roman"/>
                                  <w:sz w:val="26"/>
                                  <w:szCs w:val="26"/>
                                  <w:lang w:val="uk-UA"/>
                                </w:rPr>
                                <w:t>ктів</w:t>
                              </w:r>
                              <w:r w:rsidRPr="00ED04DE">
                                <w:rPr>
                                  <w:rFonts w:ascii="Times New Roman" w:hAnsi="Times New Roman"/>
                                  <w:sz w:val="26"/>
                                  <w:szCs w:val="26"/>
                                  <w:lang w:val="uk-UA"/>
                                </w:rPr>
                                <w:t xml:space="preserve"> з інвестиційної</w:t>
                              </w:r>
                              <w:r w:rsidRPr="00ED04DE">
                                <w:rPr>
                                  <w:rFonts w:ascii="Times New Roman" w:hAnsi="Times New Roman"/>
                                  <w:sz w:val="26"/>
                                  <w:szCs w:val="26"/>
                                </w:rPr>
                                <w:t xml:space="preserve"> привабливості</w:t>
                              </w:r>
                            </w:p>
                          </w:txbxContent>
                        </wps:txbx>
                        <wps:bodyPr rot="0" vert="horz" wrap="square" lIns="91440" tIns="45720" rIns="91440" bIns="45720" anchor="t" anchorCtr="0" upright="1">
                          <a:noAutofit/>
                        </wps:bodyPr>
                      </wps:wsp>
                      <wps:wsp>
                        <wps:cNvPr id="4" name="Rectangle 104"/>
                        <wps:cNvSpPr>
                          <a:spLocks noChangeArrowheads="1"/>
                        </wps:cNvSpPr>
                        <wps:spPr bwMode="auto">
                          <a:xfrm>
                            <a:off x="2790" y="2880"/>
                            <a:ext cx="6765" cy="1445"/>
                          </a:xfrm>
                          <a:prstGeom prst="rect">
                            <a:avLst/>
                          </a:prstGeom>
                          <a:solidFill>
                            <a:srgbClr val="FFFFFF"/>
                          </a:solidFill>
                          <a:ln w="9525">
                            <a:solidFill>
                              <a:srgbClr val="000000"/>
                            </a:solidFill>
                            <a:miter lim="800000"/>
                            <a:headEnd/>
                            <a:tailEnd/>
                          </a:ln>
                        </wps:spPr>
                        <wps:txbx>
                          <w:txbxContent>
                            <w:p w:rsidR="00EB5B4E" w:rsidRPr="00AF7F70" w:rsidRDefault="00EB5B4E" w:rsidP="00363C28">
                              <w:pPr>
                                <w:jc w:val="center"/>
                                <w:rPr>
                                  <w:rFonts w:ascii="Times New Roman" w:hAnsi="Times New Roman"/>
                                  <w:sz w:val="26"/>
                                  <w:szCs w:val="26"/>
                                  <w:lang w:val="uk-UA"/>
                                </w:rPr>
                              </w:pPr>
                              <w:r>
                                <w:rPr>
                                  <w:rFonts w:ascii="Times New Roman" w:hAnsi="Times New Roman"/>
                                  <w:sz w:val="24"/>
                                  <w:szCs w:val="24"/>
                                  <w:lang w:val="uk-UA"/>
                                </w:rPr>
                                <w:t xml:space="preserve">3. </w:t>
                              </w:r>
                              <w:r w:rsidRPr="00AF7F70">
                                <w:rPr>
                                  <w:rFonts w:ascii="Times New Roman" w:hAnsi="Times New Roman"/>
                                  <w:sz w:val="26"/>
                                  <w:szCs w:val="26"/>
                                  <w:lang w:val="uk-UA"/>
                                </w:rPr>
                                <w:t>Визначення коефіцієнтів відносної важливості (ваги) кожного з критеріїв вибору, що показують</w:t>
                              </w:r>
                              <w:r>
                                <w:rPr>
                                  <w:rFonts w:ascii="Times New Roman" w:hAnsi="Times New Roman"/>
                                  <w:sz w:val="26"/>
                                  <w:szCs w:val="26"/>
                                  <w:lang w:val="uk-UA"/>
                                </w:rPr>
                                <w:t>,</w:t>
                              </w:r>
                              <w:r w:rsidRPr="00AF7F70">
                                <w:rPr>
                                  <w:rFonts w:ascii="Times New Roman" w:hAnsi="Times New Roman"/>
                                  <w:sz w:val="26"/>
                                  <w:szCs w:val="26"/>
                                  <w:lang w:val="uk-UA"/>
                                </w:rPr>
                                <w:t xml:space="preserve"> наскільки добре кожен з них відображає переваги особи, що прийма</w:t>
                              </w:r>
                              <w:r>
                                <w:rPr>
                                  <w:rFonts w:ascii="Times New Roman" w:hAnsi="Times New Roman"/>
                                  <w:sz w:val="26"/>
                                  <w:szCs w:val="26"/>
                                  <w:lang w:val="uk-UA"/>
                                </w:rPr>
                                <w:t>є</w:t>
                              </w:r>
                              <w:r w:rsidRPr="00AF7F70">
                                <w:rPr>
                                  <w:rFonts w:ascii="Times New Roman" w:hAnsi="Times New Roman"/>
                                  <w:sz w:val="26"/>
                                  <w:szCs w:val="26"/>
                                  <w:lang w:val="uk-UA"/>
                                </w:rPr>
                                <w:t xml:space="preserve"> рішення (ОПР)</w:t>
                              </w:r>
                            </w:p>
                          </w:txbxContent>
                        </wps:txbx>
                        <wps:bodyPr rot="0" vert="horz" wrap="square" lIns="91440" tIns="45720" rIns="91440" bIns="45720" anchor="t" anchorCtr="0" upright="1">
                          <a:noAutofit/>
                        </wps:bodyPr>
                      </wps:wsp>
                      <wps:wsp>
                        <wps:cNvPr id="5" name="Rectangle 105"/>
                        <wps:cNvSpPr>
                          <a:spLocks noChangeArrowheads="1"/>
                        </wps:cNvSpPr>
                        <wps:spPr bwMode="auto">
                          <a:xfrm>
                            <a:off x="2790" y="4845"/>
                            <a:ext cx="6765" cy="780"/>
                          </a:xfrm>
                          <a:prstGeom prst="rect">
                            <a:avLst/>
                          </a:prstGeom>
                          <a:solidFill>
                            <a:srgbClr val="FFFFFF"/>
                          </a:solidFill>
                          <a:ln w="9525">
                            <a:solidFill>
                              <a:srgbClr val="000000"/>
                            </a:solidFill>
                            <a:miter lim="800000"/>
                            <a:headEnd/>
                            <a:tailEnd/>
                          </a:ln>
                        </wps:spPr>
                        <wps:txb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 xml:space="preserve">4. </w:t>
                              </w:r>
                              <w:r w:rsidRPr="00086E91">
                                <w:rPr>
                                  <w:rFonts w:ascii="Times New Roman" w:hAnsi="Times New Roman"/>
                                  <w:sz w:val="26"/>
                                  <w:szCs w:val="26"/>
                                  <w:lang w:val="uk-UA"/>
                                </w:rPr>
                                <w:t>Оцінка варіантів вибору у відповідн</w:t>
                              </w:r>
                              <w:r>
                                <w:rPr>
                                  <w:rFonts w:ascii="Times New Roman" w:hAnsi="Times New Roman"/>
                                  <w:sz w:val="26"/>
                                  <w:szCs w:val="26"/>
                                  <w:lang w:val="uk-UA"/>
                                </w:rPr>
                                <w:t>о</w:t>
                              </w:r>
                              <w:r w:rsidRPr="00086E91">
                                <w:rPr>
                                  <w:rFonts w:ascii="Times New Roman" w:hAnsi="Times New Roman"/>
                                  <w:sz w:val="26"/>
                                  <w:szCs w:val="26"/>
                                  <w:lang w:val="uk-UA"/>
                                </w:rPr>
                                <w:t>ст</w:t>
                              </w:r>
                              <w:r>
                                <w:rPr>
                                  <w:rFonts w:ascii="Times New Roman" w:hAnsi="Times New Roman"/>
                                  <w:sz w:val="26"/>
                                  <w:szCs w:val="26"/>
                                  <w:lang w:val="uk-UA"/>
                                </w:rPr>
                                <w:t>і</w:t>
                              </w:r>
                              <w:r w:rsidRPr="00086E91">
                                <w:rPr>
                                  <w:rFonts w:ascii="Times New Roman" w:hAnsi="Times New Roman"/>
                                  <w:sz w:val="26"/>
                                  <w:szCs w:val="26"/>
                                  <w:lang w:val="uk-UA"/>
                                </w:rPr>
                                <w:t xml:space="preserve"> до критеріїв</w:t>
                              </w:r>
                            </w:p>
                          </w:txbxContent>
                        </wps:txbx>
                        <wps:bodyPr rot="0" vert="horz" wrap="square" lIns="91440" tIns="45720" rIns="91440" bIns="45720" anchor="t" anchorCtr="0" upright="1">
                          <a:noAutofit/>
                        </wps:bodyPr>
                      </wps:wsp>
                      <wps:wsp>
                        <wps:cNvPr id="6" name="Rectangle 106"/>
                        <wps:cNvSpPr>
                          <a:spLocks noChangeArrowheads="1"/>
                        </wps:cNvSpPr>
                        <wps:spPr bwMode="auto">
                          <a:xfrm>
                            <a:off x="2790" y="6210"/>
                            <a:ext cx="6765" cy="1455"/>
                          </a:xfrm>
                          <a:prstGeom prst="rect">
                            <a:avLst/>
                          </a:prstGeom>
                          <a:solidFill>
                            <a:srgbClr val="FFFFFF"/>
                          </a:solidFill>
                          <a:ln w="9525">
                            <a:solidFill>
                              <a:srgbClr val="000000"/>
                            </a:solidFill>
                            <a:miter lim="800000"/>
                            <a:headEnd/>
                            <a:tailEnd/>
                          </a:ln>
                        </wps:spPr>
                        <wps:txbx>
                          <w:txbxContent>
                            <w:p w:rsidR="00EB5B4E" w:rsidRPr="00086E91" w:rsidRDefault="00EB5B4E" w:rsidP="00363C28">
                              <w:pPr>
                                <w:jc w:val="center"/>
                                <w:rPr>
                                  <w:rFonts w:ascii="Times New Roman" w:hAnsi="Times New Roman"/>
                                  <w:sz w:val="26"/>
                                  <w:szCs w:val="26"/>
                                  <w:lang w:val="uk-UA"/>
                                </w:rPr>
                              </w:pPr>
                              <w:r>
                                <w:rPr>
                                  <w:rFonts w:ascii="Times New Roman" w:hAnsi="Times New Roman"/>
                                  <w:sz w:val="26"/>
                                  <w:szCs w:val="26"/>
                                  <w:lang w:val="uk-UA"/>
                                </w:rPr>
                                <w:t>5. П</w:t>
                              </w:r>
                              <w:r w:rsidRPr="00086E91">
                                <w:rPr>
                                  <w:rFonts w:ascii="Times New Roman" w:hAnsi="Times New Roman"/>
                                  <w:sz w:val="26"/>
                                  <w:szCs w:val="26"/>
                                  <w:lang w:val="uk-UA"/>
                                </w:rPr>
                                <w:t xml:space="preserve">обудова узгоджених кількісних шкал для кожного з критеріїв, що дозволяють перейти </w:t>
                              </w:r>
                              <w:r>
                                <w:rPr>
                                  <w:rFonts w:ascii="Times New Roman" w:hAnsi="Times New Roman"/>
                                  <w:sz w:val="26"/>
                                  <w:szCs w:val="26"/>
                                  <w:lang w:val="uk-UA"/>
                                </w:rPr>
                                <w:t>до</w:t>
                              </w:r>
                              <w:r w:rsidRPr="00086E91">
                                <w:rPr>
                                  <w:rFonts w:ascii="Times New Roman" w:hAnsi="Times New Roman"/>
                                  <w:sz w:val="26"/>
                                  <w:szCs w:val="26"/>
                                  <w:lang w:val="uk-UA"/>
                                </w:rPr>
                                <w:t xml:space="preserve"> різн</w:t>
                              </w:r>
                              <w:r>
                                <w:rPr>
                                  <w:rFonts w:ascii="Times New Roman" w:hAnsi="Times New Roman"/>
                                  <w:sz w:val="26"/>
                                  <w:szCs w:val="26"/>
                                  <w:lang w:val="uk-UA"/>
                                </w:rPr>
                                <w:t>их</w:t>
                              </w:r>
                              <w:r w:rsidRPr="00086E91">
                                <w:rPr>
                                  <w:rFonts w:ascii="Times New Roman" w:hAnsi="Times New Roman"/>
                                  <w:sz w:val="26"/>
                                  <w:szCs w:val="26"/>
                                  <w:lang w:val="uk-UA"/>
                                </w:rPr>
                                <w:t xml:space="preserve"> форм подання критеріїв (кількісної, якісної), одиниць виміру та спрямованості</w:t>
                              </w:r>
                            </w:p>
                          </w:txbxContent>
                        </wps:txbx>
                        <wps:bodyPr rot="0" vert="horz" wrap="square" lIns="91440" tIns="45720" rIns="91440" bIns="45720" anchor="t" anchorCtr="0" upright="1">
                          <a:noAutofit/>
                        </wps:bodyPr>
                      </wps:wsp>
                      <wps:wsp>
                        <wps:cNvPr id="7" name="Rectangle 107"/>
                        <wps:cNvSpPr>
                          <a:spLocks noChangeArrowheads="1"/>
                        </wps:cNvSpPr>
                        <wps:spPr bwMode="auto">
                          <a:xfrm>
                            <a:off x="2790" y="8190"/>
                            <a:ext cx="6765" cy="1455"/>
                          </a:xfrm>
                          <a:prstGeom prst="rect">
                            <a:avLst/>
                          </a:prstGeom>
                          <a:solidFill>
                            <a:srgbClr val="FFFFFF"/>
                          </a:solidFill>
                          <a:ln w="9525">
                            <a:solidFill>
                              <a:srgbClr val="000000"/>
                            </a:solidFill>
                            <a:miter lim="800000"/>
                            <a:headEnd/>
                            <a:tailEnd/>
                          </a:ln>
                        </wps:spPr>
                        <wps:txbx>
                          <w:txbxContent>
                            <w:p w:rsidR="00EB5B4E" w:rsidRPr="00ED04DE" w:rsidRDefault="00EB5B4E" w:rsidP="00363C28">
                              <w:pPr>
                                <w:jc w:val="center"/>
                                <w:rPr>
                                  <w:rFonts w:ascii="Times New Roman" w:hAnsi="Times New Roman"/>
                                  <w:sz w:val="24"/>
                                  <w:szCs w:val="24"/>
                                  <w:lang w:val="uk-UA"/>
                                </w:rPr>
                              </w:pPr>
                              <w:r w:rsidRPr="00ED04DE">
                                <w:rPr>
                                  <w:rFonts w:ascii="Times New Roman" w:hAnsi="Times New Roman"/>
                                  <w:sz w:val="24"/>
                                  <w:szCs w:val="24"/>
                                  <w:lang w:val="uk-UA"/>
                                </w:rPr>
                                <w:t>6.</w:t>
                              </w:r>
                              <w:r w:rsidRPr="00ED04DE">
                                <w:rPr>
                                  <w:sz w:val="24"/>
                                  <w:szCs w:val="24"/>
                                </w:rPr>
                                <w:t xml:space="preserve"> </w:t>
                              </w:r>
                              <w:r w:rsidRPr="00ED04DE">
                                <w:rPr>
                                  <w:rFonts w:ascii="Times New Roman" w:hAnsi="Times New Roman"/>
                                  <w:sz w:val="24"/>
                                  <w:szCs w:val="24"/>
                                  <w:lang w:val="uk-UA"/>
                                </w:rPr>
                                <w:t>Багатокритеріальний згорток або визначення агрегованих значень (</w:t>
                              </w:r>
                              <w:r w:rsidRPr="00ED04DE">
                                <w:rPr>
                                  <w:rFonts w:ascii="Times New Roman" w:hAnsi="Times New Roman"/>
                                  <w:i/>
                                  <w:sz w:val="24"/>
                                  <w:szCs w:val="24"/>
                                  <w:lang w:val="uk-UA"/>
                                </w:rPr>
                                <w:t>А</w:t>
                              </w:r>
                              <w:r w:rsidRPr="00ED04DE">
                                <w:rPr>
                                  <w:rFonts w:ascii="Times New Roman" w:hAnsi="Times New Roman"/>
                                  <w:sz w:val="24"/>
                                  <w:szCs w:val="24"/>
                                  <w:lang w:val="uk-UA"/>
                                </w:rPr>
                                <w:t xml:space="preserve">) варіантів проєктів з </w:t>
                              </w:r>
                              <w:r w:rsidRPr="00ED04DE">
                                <w:rPr>
                                  <w:rFonts w:ascii="Times New Roman" w:hAnsi="Times New Roman"/>
                                  <w:sz w:val="24"/>
                                  <w:szCs w:val="24"/>
                                </w:rPr>
                                <w:t>інвестиційної привабливості</w:t>
                              </w:r>
                              <w:r w:rsidRPr="00ED04DE">
                                <w:rPr>
                                  <w:rFonts w:ascii="Times New Roman" w:hAnsi="Times New Roman"/>
                                  <w:sz w:val="24"/>
                                  <w:szCs w:val="24"/>
                                  <w:lang w:val="uk-UA"/>
                                </w:rPr>
                                <w:t>, як суми утворених оцінок, отриманих за узгодженими кількісними шкалами, та коефіцієнтами</w:t>
                              </w:r>
                            </w:p>
                          </w:txbxContent>
                        </wps:txbx>
                        <wps:bodyPr rot="0" vert="horz" wrap="square" lIns="91440" tIns="45720" rIns="91440" bIns="45720" anchor="t" anchorCtr="0" upright="1">
                          <a:noAutofit/>
                        </wps:bodyPr>
                      </wps:wsp>
                      <wps:wsp>
                        <wps:cNvPr id="8" name="Rectangle 108"/>
                        <wps:cNvSpPr>
                          <a:spLocks noChangeArrowheads="1"/>
                        </wps:cNvSpPr>
                        <wps:spPr bwMode="auto">
                          <a:xfrm>
                            <a:off x="2790" y="10155"/>
                            <a:ext cx="6765" cy="780"/>
                          </a:xfrm>
                          <a:prstGeom prst="rect">
                            <a:avLst/>
                          </a:prstGeom>
                          <a:solidFill>
                            <a:srgbClr val="FFFFFF"/>
                          </a:solidFill>
                          <a:ln w="9525">
                            <a:solidFill>
                              <a:srgbClr val="000000"/>
                            </a:solidFill>
                            <a:miter lim="800000"/>
                            <a:headEnd/>
                            <a:tailEnd/>
                          </a:ln>
                        </wps:spPr>
                        <wps:txb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7.</w:t>
                              </w:r>
                              <w:r w:rsidRPr="00086E91">
                                <w:t xml:space="preserve"> </w:t>
                              </w:r>
                              <w:r>
                                <w:rPr>
                                  <w:rFonts w:ascii="Times New Roman" w:hAnsi="Times New Roman"/>
                                  <w:sz w:val="26"/>
                                  <w:szCs w:val="26"/>
                                </w:rPr>
                                <w:t>В</w:t>
                              </w:r>
                              <w:r w:rsidRPr="00086E91">
                                <w:rPr>
                                  <w:rFonts w:ascii="Times New Roman" w:hAnsi="Times New Roman"/>
                                  <w:sz w:val="26"/>
                                  <w:szCs w:val="26"/>
                                  <w:lang w:val="uk-UA"/>
                                </w:rPr>
                                <w:t xml:space="preserve">ибір найкращого варіанта, що відповідає максимальному значенню </w:t>
                              </w:r>
                              <w:r w:rsidRPr="00AF7F70">
                                <w:rPr>
                                  <w:rFonts w:ascii="Times New Roman" w:hAnsi="Times New Roman"/>
                                  <w:i/>
                                  <w:sz w:val="26"/>
                                  <w:szCs w:val="26"/>
                                  <w:lang w:val="uk-UA"/>
                                </w:rPr>
                                <w:t>А</w:t>
                              </w:r>
                            </w:p>
                          </w:txbxContent>
                        </wps:txbx>
                        <wps:bodyPr rot="0" vert="horz" wrap="square" lIns="91440" tIns="45720" rIns="91440" bIns="45720" anchor="t" anchorCtr="0" upright="1">
                          <a:noAutofit/>
                        </wps:bodyPr>
                      </wps:wsp>
                      <wps:wsp>
                        <wps:cNvPr id="9" name="AutoShape 109"/>
                        <wps:cNvCnPr>
                          <a:cxnSpLocks noChangeShapeType="1"/>
                        </wps:cNvCnPr>
                        <wps:spPr bwMode="auto">
                          <a:xfrm>
                            <a:off x="6090" y="1050"/>
                            <a:ext cx="1"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AutoShape 110"/>
                        <wps:cNvCnPr>
                          <a:cxnSpLocks noChangeShapeType="1"/>
                        </wps:cNvCnPr>
                        <wps:spPr bwMode="auto">
                          <a:xfrm>
                            <a:off x="6090" y="2415"/>
                            <a:ext cx="0" cy="4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11"/>
                        <wps:cNvCnPr>
                          <a:cxnSpLocks noChangeShapeType="1"/>
                        </wps:cNvCnPr>
                        <wps:spPr bwMode="auto">
                          <a:xfrm>
                            <a:off x="6091" y="4230"/>
                            <a:ext cx="0" cy="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12"/>
                        <wps:cNvCnPr>
                          <a:cxnSpLocks noChangeShapeType="1"/>
                        </wps:cNvCnPr>
                        <wps:spPr bwMode="auto">
                          <a:xfrm>
                            <a:off x="6090" y="5625"/>
                            <a:ext cx="0"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113"/>
                        <wps:cNvCnPr>
                          <a:cxnSpLocks noChangeShapeType="1"/>
                        </wps:cNvCnPr>
                        <wps:spPr bwMode="auto">
                          <a:xfrm>
                            <a:off x="6090" y="7665"/>
                            <a:ext cx="0" cy="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14"/>
                        <wps:cNvCnPr>
                          <a:cxnSpLocks noChangeShapeType="1"/>
                        </wps:cNvCnPr>
                        <wps:spPr bwMode="auto">
                          <a:xfrm>
                            <a:off x="6090" y="9645"/>
                            <a:ext cx="0" cy="5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1" o:spid="_x0000_s1123" style="position:absolute;left:0;text-align:left;margin-left:42.75pt;margin-top:-27.9pt;width:348.75pt;height:515.25pt;z-index:251660800;mso-position-horizontal-relative:text;mso-position-vertical-relative:text" coordorigin="2790,270" coordsize="6765,10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">
                <v:rect id="Rectangle 102" o:spid="_x0000_s1124" style="position:absolute;left:2790;top:270;width:676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 xml:space="preserve">1. </w:t>
                        </w:r>
                        <w:r w:rsidRPr="001E5F5C">
                          <w:rPr>
                            <w:rFonts w:ascii="Times New Roman" w:hAnsi="Times New Roman"/>
                            <w:sz w:val="26"/>
                            <w:szCs w:val="26"/>
                            <w:lang w:val="uk-UA"/>
                          </w:rPr>
                          <w:t>Формування допустимих варіантів про</w:t>
                        </w:r>
                        <w:r>
                          <w:rPr>
                            <w:rFonts w:ascii="Times New Roman" w:hAnsi="Times New Roman"/>
                            <w:sz w:val="26"/>
                            <w:szCs w:val="26"/>
                            <w:lang w:val="uk-UA"/>
                          </w:rPr>
                          <w:t>є</w:t>
                        </w:r>
                        <w:r w:rsidRPr="001E5F5C">
                          <w:rPr>
                            <w:rFonts w:ascii="Times New Roman" w:hAnsi="Times New Roman"/>
                            <w:sz w:val="26"/>
                            <w:szCs w:val="26"/>
                            <w:lang w:val="uk-UA"/>
                          </w:rPr>
                          <w:t>ктів</w:t>
                        </w:r>
                        <w:r>
                          <w:rPr>
                            <w:rFonts w:ascii="Times New Roman" w:hAnsi="Times New Roman"/>
                            <w:sz w:val="26"/>
                            <w:szCs w:val="26"/>
                            <w:lang w:val="uk-UA"/>
                          </w:rPr>
                          <w:t xml:space="preserve"> </w:t>
                        </w:r>
                        <w:r w:rsidRPr="00ED04DE">
                          <w:rPr>
                            <w:rFonts w:ascii="Times New Roman" w:hAnsi="Times New Roman"/>
                            <w:sz w:val="26"/>
                            <w:szCs w:val="26"/>
                            <w:lang w:val="uk-UA"/>
                          </w:rPr>
                          <w:t xml:space="preserve">з </w:t>
                        </w:r>
                        <w:r w:rsidRPr="00ED04DE">
                          <w:rPr>
                            <w:rFonts w:ascii="Times New Roman" w:hAnsi="Times New Roman"/>
                            <w:sz w:val="26"/>
                            <w:szCs w:val="26"/>
                          </w:rPr>
                          <w:t>інвестиційної привабливості</w:t>
                        </w:r>
                      </w:p>
                    </w:txbxContent>
                  </v:textbox>
                </v:rect>
                <v:rect id="Rectangle 103" o:spid="_x0000_s1125" style="position:absolute;left:2790;top:1635;width:676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rPr>
                          <w:t xml:space="preserve">2. </w:t>
                        </w:r>
                        <w:r w:rsidRPr="00ED04DE">
                          <w:rPr>
                            <w:rFonts w:ascii="Times New Roman" w:hAnsi="Times New Roman"/>
                            <w:sz w:val="26"/>
                            <w:szCs w:val="26"/>
                            <w:lang w:val="uk-UA"/>
                          </w:rPr>
                          <w:t>Ф</w:t>
                        </w:r>
                        <w:r w:rsidRPr="001E5F5C">
                          <w:rPr>
                            <w:rFonts w:ascii="Times New Roman" w:hAnsi="Times New Roman"/>
                            <w:sz w:val="26"/>
                            <w:szCs w:val="26"/>
                            <w:lang w:val="uk-UA"/>
                          </w:rPr>
                          <w:t>ормування системи критеріїв (у формі ієрархії) для оцінки варіантів про</w:t>
                        </w:r>
                        <w:r>
                          <w:rPr>
                            <w:rFonts w:ascii="Times New Roman" w:hAnsi="Times New Roman"/>
                            <w:sz w:val="26"/>
                            <w:szCs w:val="26"/>
                            <w:lang w:val="uk-UA"/>
                          </w:rPr>
                          <w:t>є</w:t>
                        </w:r>
                        <w:r w:rsidRPr="001E5F5C">
                          <w:rPr>
                            <w:rFonts w:ascii="Times New Roman" w:hAnsi="Times New Roman"/>
                            <w:sz w:val="26"/>
                            <w:szCs w:val="26"/>
                            <w:lang w:val="uk-UA"/>
                          </w:rPr>
                          <w:t>ктів</w:t>
                        </w:r>
                        <w:r w:rsidRPr="00ED04DE">
                          <w:rPr>
                            <w:rFonts w:ascii="Times New Roman" w:hAnsi="Times New Roman"/>
                            <w:sz w:val="26"/>
                            <w:szCs w:val="26"/>
                            <w:lang w:val="uk-UA"/>
                          </w:rPr>
                          <w:t xml:space="preserve"> з інвестиційної</w:t>
                        </w:r>
                        <w:r w:rsidRPr="00ED04DE">
                          <w:rPr>
                            <w:rFonts w:ascii="Times New Roman" w:hAnsi="Times New Roman"/>
                            <w:sz w:val="26"/>
                            <w:szCs w:val="26"/>
                          </w:rPr>
                          <w:t xml:space="preserve"> привабливості</w:t>
                        </w:r>
                      </w:p>
                    </w:txbxContent>
                  </v:textbox>
                </v:rect>
                <v:rect id="Rectangle 104" o:spid="_x0000_s1126" style="position:absolute;left:2790;top:2880;width:6765;height:1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EB5B4E" w:rsidRPr="00AF7F70" w:rsidRDefault="00EB5B4E" w:rsidP="00363C28">
                        <w:pPr>
                          <w:jc w:val="center"/>
                          <w:rPr>
                            <w:rFonts w:ascii="Times New Roman" w:hAnsi="Times New Roman"/>
                            <w:sz w:val="26"/>
                            <w:szCs w:val="26"/>
                            <w:lang w:val="uk-UA"/>
                          </w:rPr>
                        </w:pPr>
                        <w:r>
                          <w:rPr>
                            <w:rFonts w:ascii="Times New Roman" w:hAnsi="Times New Roman"/>
                            <w:sz w:val="24"/>
                            <w:szCs w:val="24"/>
                            <w:lang w:val="uk-UA"/>
                          </w:rPr>
                          <w:t xml:space="preserve">3. </w:t>
                        </w:r>
                        <w:r w:rsidRPr="00AF7F70">
                          <w:rPr>
                            <w:rFonts w:ascii="Times New Roman" w:hAnsi="Times New Roman"/>
                            <w:sz w:val="26"/>
                            <w:szCs w:val="26"/>
                            <w:lang w:val="uk-UA"/>
                          </w:rPr>
                          <w:t>Визначення коефіцієнтів відносної важливості (ваги) кожного з критеріїв вибору, що показують</w:t>
                        </w:r>
                        <w:r>
                          <w:rPr>
                            <w:rFonts w:ascii="Times New Roman" w:hAnsi="Times New Roman"/>
                            <w:sz w:val="26"/>
                            <w:szCs w:val="26"/>
                            <w:lang w:val="uk-UA"/>
                          </w:rPr>
                          <w:t>,</w:t>
                        </w:r>
                        <w:r w:rsidRPr="00AF7F70">
                          <w:rPr>
                            <w:rFonts w:ascii="Times New Roman" w:hAnsi="Times New Roman"/>
                            <w:sz w:val="26"/>
                            <w:szCs w:val="26"/>
                            <w:lang w:val="uk-UA"/>
                          </w:rPr>
                          <w:t xml:space="preserve"> наскільки добре кожен з них відображає переваги особи, що прийма</w:t>
                        </w:r>
                        <w:r>
                          <w:rPr>
                            <w:rFonts w:ascii="Times New Roman" w:hAnsi="Times New Roman"/>
                            <w:sz w:val="26"/>
                            <w:szCs w:val="26"/>
                            <w:lang w:val="uk-UA"/>
                          </w:rPr>
                          <w:t>є</w:t>
                        </w:r>
                        <w:r w:rsidRPr="00AF7F70">
                          <w:rPr>
                            <w:rFonts w:ascii="Times New Roman" w:hAnsi="Times New Roman"/>
                            <w:sz w:val="26"/>
                            <w:szCs w:val="26"/>
                            <w:lang w:val="uk-UA"/>
                          </w:rPr>
                          <w:t xml:space="preserve"> рішення (ОПР)</w:t>
                        </w:r>
                      </w:p>
                    </w:txbxContent>
                  </v:textbox>
                </v:rect>
                <v:rect id="Rectangle 105" o:spid="_x0000_s1127" style="position:absolute;left:2790;top:4845;width:676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 xml:space="preserve">4. </w:t>
                        </w:r>
                        <w:r w:rsidRPr="00086E91">
                          <w:rPr>
                            <w:rFonts w:ascii="Times New Roman" w:hAnsi="Times New Roman"/>
                            <w:sz w:val="26"/>
                            <w:szCs w:val="26"/>
                            <w:lang w:val="uk-UA"/>
                          </w:rPr>
                          <w:t>Оцінка варіантів вибору у відповідн</w:t>
                        </w:r>
                        <w:r>
                          <w:rPr>
                            <w:rFonts w:ascii="Times New Roman" w:hAnsi="Times New Roman"/>
                            <w:sz w:val="26"/>
                            <w:szCs w:val="26"/>
                            <w:lang w:val="uk-UA"/>
                          </w:rPr>
                          <w:t>о</w:t>
                        </w:r>
                        <w:r w:rsidRPr="00086E91">
                          <w:rPr>
                            <w:rFonts w:ascii="Times New Roman" w:hAnsi="Times New Roman"/>
                            <w:sz w:val="26"/>
                            <w:szCs w:val="26"/>
                            <w:lang w:val="uk-UA"/>
                          </w:rPr>
                          <w:t>ст</w:t>
                        </w:r>
                        <w:r>
                          <w:rPr>
                            <w:rFonts w:ascii="Times New Roman" w:hAnsi="Times New Roman"/>
                            <w:sz w:val="26"/>
                            <w:szCs w:val="26"/>
                            <w:lang w:val="uk-UA"/>
                          </w:rPr>
                          <w:t>і</w:t>
                        </w:r>
                        <w:r w:rsidRPr="00086E91">
                          <w:rPr>
                            <w:rFonts w:ascii="Times New Roman" w:hAnsi="Times New Roman"/>
                            <w:sz w:val="26"/>
                            <w:szCs w:val="26"/>
                            <w:lang w:val="uk-UA"/>
                          </w:rPr>
                          <w:t xml:space="preserve"> до критеріїв</w:t>
                        </w:r>
                      </w:p>
                    </w:txbxContent>
                  </v:textbox>
                </v:rect>
                <v:rect id="Rectangle 106" o:spid="_x0000_s1128" style="position:absolute;left:2790;top:6210;width:6765;height:1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EB5B4E" w:rsidRPr="00086E91" w:rsidRDefault="00EB5B4E" w:rsidP="00363C28">
                        <w:pPr>
                          <w:jc w:val="center"/>
                          <w:rPr>
                            <w:rFonts w:ascii="Times New Roman" w:hAnsi="Times New Roman"/>
                            <w:sz w:val="26"/>
                            <w:szCs w:val="26"/>
                            <w:lang w:val="uk-UA"/>
                          </w:rPr>
                        </w:pPr>
                        <w:r>
                          <w:rPr>
                            <w:rFonts w:ascii="Times New Roman" w:hAnsi="Times New Roman"/>
                            <w:sz w:val="26"/>
                            <w:szCs w:val="26"/>
                            <w:lang w:val="uk-UA"/>
                          </w:rPr>
                          <w:t>5. П</w:t>
                        </w:r>
                        <w:r w:rsidRPr="00086E91">
                          <w:rPr>
                            <w:rFonts w:ascii="Times New Roman" w:hAnsi="Times New Roman"/>
                            <w:sz w:val="26"/>
                            <w:szCs w:val="26"/>
                            <w:lang w:val="uk-UA"/>
                          </w:rPr>
                          <w:t xml:space="preserve">обудова узгоджених кількісних шкал для кожного з критеріїв, що дозволяють перейти </w:t>
                        </w:r>
                        <w:r>
                          <w:rPr>
                            <w:rFonts w:ascii="Times New Roman" w:hAnsi="Times New Roman"/>
                            <w:sz w:val="26"/>
                            <w:szCs w:val="26"/>
                            <w:lang w:val="uk-UA"/>
                          </w:rPr>
                          <w:t>до</w:t>
                        </w:r>
                        <w:r w:rsidRPr="00086E91">
                          <w:rPr>
                            <w:rFonts w:ascii="Times New Roman" w:hAnsi="Times New Roman"/>
                            <w:sz w:val="26"/>
                            <w:szCs w:val="26"/>
                            <w:lang w:val="uk-UA"/>
                          </w:rPr>
                          <w:t xml:space="preserve"> різн</w:t>
                        </w:r>
                        <w:r>
                          <w:rPr>
                            <w:rFonts w:ascii="Times New Roman" w:hAnsi="Times New Roman"/>
                            <w:sz w:val="26"/>
                            <w:szCs w:val="26"/>
                            <w:lang w:val="uk-UA"/>
                          </w:rPr>
                          <w:t>их</w:t>
                        </w:r>
                        <w:r w:rsidRPr="00086E91">
                          <w:rPr>
                            <w:rFonts w:ascii="Times New Roman" w:hAnsi="Times New Roman"/>
                            <w:sz w:val="26"/>
                            <w:szCs w:val="26"/>
                            <w:lang w:val="uk-UA"/>
                          </w:rPr>
                          <w:t xml:space="preserve"> форм подання критеріїв (кількісної, якісної), одиниць виміру та спрямованості</w:t>
                        </w:r>
                      </w:p>
                    </w:txbxContent>
                  </v:textbox>
                </v:rect>
                <v:rect id="Rectangle 107" o:spid="_x0000_s1129" style="position:absolute;left:2790;top:8190;width:6765;height:1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EB5B4E" w:rsidRPr="00ED04DE" w:rsidRDefault="00EB5B4E" w:rsidP="00363C28">
                        <w:pPr>
                          <w:jc w:val="center"/>
                          <w:rPr>
                            <w:rFonts w:ascii="Times New Roman" w:hAnsi="Times New Roman"/>
                            <w:sz w:val="24"/>
                            <w:szCs w:val="24"/>
                            <w:lang w:val="uk-UA"/>
                          </w:rPr>
                        </w:pPr>
                        <w:r w:rsidRPr="00ED04DE">
                          <w:rPr>
                            <w:rFonts w:ascii="Times New Roman" w:hAnsi="Times New Roman"/>
                            <w:sz w:val="24"/>
                            <w:szCs w:val="24"/>
                            <w:lang w:val="uk-UA"/>
                          </w:rPr>
                          <w:t>6.</w:t>
                        </w:r>
                        <w:r w:rsidRPr="00ED04DE">
                          <w:rPr>
                            <w:sz w:val="24"/>
                            <w:szCs w:val="24"/>
                          </w:rPr>
                          <w:t xml:space="preserve"> </w:t>
                        </w:r>
                        <w:r w:rsidRPr="00ED04DE">
                          <w:rPr>
                            <w:rFonts w:ascii="Times New Roman" w:hAnsi="Times New Roman"/>
                            <w:sz w:val="24"/>
                            <w:szCs w:val="24"/>
                            <w:lang w:val="uk-UA"/>
                          </w:rPr>
                          <w:t>Багатокритеріальний згорток або визначення агрегованих значень (</w:t>
                        </w:r>
                        <w:r w:rsidRPr="00ED04DE">
                          <w:rPr>
                            <w:rFonts w:ascii="Times New Roman" w:hAnsi="Times New Roman"/>
                            <w:i/>
                            <w:sz w:val="24"/>
                            <w:szCs w:val="24"/>
                            <w:lang w:val="uk-UA"/>
                          </w:rPr>
                          <w:t>А</w:t>
                        </w:r>
                        <w:r w:rsidRPr="00ED04DE">
                          <w:rPr>
                            <w:rFonts w:ascii="Times New Roman" w:hAnsi="Times New Roman"/>
                            <w:sz w:val="24"/>
                            <w:szCs w:val="24"/>
                            <w:lang w:val="uk-UA"/>
                          </w:rPr>
                          <w:t xml:space="preserve">) варіантів проєктів з </w:t>
                        </w:r>
                        <w:r w:rsidRPr="00ED04DE">
                          <w:rPr>
                            <w:rFonts w:ascii="Times New Roman" w:hAnsi="Times New Roman"/>
                            <w:sz w:val="24"/>
                            <w:szCs w:val="24"/>
                          </w:rPr>
                          <w:t>інвестиційної привабливості</w:t>
                        </w:r>
                        <w:r w:rsidRPr="00ED04DE">
                          <w:rPr>
                            <w:rFonts w:ascii="Times New Roman" w:hAnsi="Times New Roman"/>
                            <w:sz w:val="24"/>
                            <w:szCs w:val="24"/>
                            <w:lang w:val="uk-UA"/>
                          </w:rPr>
                          <w:t>, як суми утворених оцінок, отриманих за узгодженими кількісними шкалами, та коефіцієнтами</w:t>
                        </w:r>
                      </w:p>
                    </w:txbxContent>
                  </v:textbox>
                </v:rect>
                <v:rect id="Rectangle 108" o:spid="_x0000_s1130" style="position:absolute;left:2790;top:10155;width:6765;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EB5B4E" w:rsidRPr="001E5F5C" w:rsidRDefault="00EB5B4E" w:rsidP="00363C28">
                        <w:pPr>
                          <w:jc w:val="center"/>
                          <w:rPr>
                            <w:rFonts w:ascii="Times New Roman" w:hAnsi="Times New Roman"/>
                            <w:sz w:val="26"/>
                            <w:szCs w:val="26"/>
                            <w:lang w:val="uk-UA"/>
                          </w:rPr>
                        </w:pPr>
                        <w:r>
                          <w:rPr>
                            <w:rFonts w:ascii="Times New Roman" w:hAnsi="Times New Roman"/>
                            <w:sz w:val="26"/>
                            <w:szCs w:val="26"/>
                            <w:lang w:val="uk-UA"/>
                          </w:rPr>
                          <w:t>7.</w:t>
                        </w:r>
                        <w:r w:rsidRPr="00086E91">
                          <w:t xml:space="preserve"> </w:t>
                        </w:r>
                        <w:r>
                          <w:rPr>
                            <w:rFonts w:ascii="Times New Roman" w:hAnsi="Times New Roman"/>
                            <w:sz w:val="26"/>
                            <w:szCs w:val="26"/>
                          </w:rPr>
                          <w:t>В</w:t>
                        </w:r>
                        <w:r w:rsidRPr="00086E91">
                          <w:rPr>
                            <w:rFonts w:ascii="Times New Roman" w:hAnsi="Times New Roman"/>
                            <w:sz w:val="26"/>
                            <w:szCs w:val="26"/>
                            <w:lang w:val="uk-UA"/>
                          </w:rPr>
                          <w:t xml:space="preserve">ибір найкращого варіанта, що відповідає максимальному значенню </w:t>
                        </w:r>
                        <w:r w:rsidRPr="00AF7F70">
                          <w:rPr>
                            <w:rFonts w:ascii="Times New Roman" w:hAnsi="Times New Roman"/>
                            <w:i/>
                            <w:sz w:val="26"/>
                            <w:szCs w:val="26"/>
                            <w:lang w:val="uk-UA"/>
                          </w:rPr>
                          <w:t>А</w:t>
                        </w:r>
                      </w:p>
                    </w:txbxContent>
                  </v:textbox>
                </v:rect>
                <v:shape id="AutoShape 109" o:spid="_x0000_s1131" type="#_x0000_t32" style="position:absolute;left:6090;top:1050;width:1;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110" o:spid="_x0000_s1132" type="#_x0000_t32" style="position:absolute;left:6090;top:2415;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11" o:spid="_x0000_s1133" type="#_x0000_t32" style="position:absolute;left:6091;top:4230;width:0;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112" o:spid="_x0000_s1134" type="#_x0000_t32" style="position:absolute;left:6090;top:5625;width:0;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113" o:spid="_x0000_s1135" type="#_x0000_t32" style="position:absolute;left:6090;top:7665;width:0;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114" o:spid="_x0000_s1136" type="#_x0000_t32" style="position:absolute;left:6090;top:9645;width:0;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group>
            </w:pict>
          </mc:Fallback>
        </mc:AlternateContent>
      </w: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363C28" w:rsidRDefault="00363C28" w:rsidP="00363C28">
      <w:pPr>
        <w:spacing w:after="0" w:line="360" w:lineRule="auto"/>
        <w:ind w:firstLine="709"/>
        <w:jc w:val="both"/>
        <w:rPr>
          <w:rFonts w:ascii="Times New Roman" w:hAnsi="Times New Roman"/>
          <w:sz w:val="28"/>
          <w:szCs w:val="28"/>
          <w:highlight w:val="yellow"/>
          <w:lang w:val="uk-UA"/>
        </w:rPr>
      </w:pPr>
    </w:p>
    <w:p w:rsidR="002F389C" w:rsidRDefault="002F389C" w:rsidP="00816BAD">
      <w:pPr>
        <w:spacing w:after="0" w:line="240" w:lineRule="auto"/>
        <w:ind w:firstLine="709"/>
        <w:jc w:val="both"/>
        <w:rPr>
          <w:rFonts w:ascii="Times New Roman" w:hAnsi="Times New Roman"/>
          <w:sz w:val="28"/>
          <w:szCs w:val="28"/>
          <w:lang w:val="uk-UA"/>
        </w:rPr>
      </w:pPr>
    </w:p>
    <w:p w:rsidR="00363C28" w:rsidRPr="00CB0434" w:rsidRDefault="00363C28" w:rsidP="00816BAD">
      <w:pPr>
        <w:keepNext/>
        <w:spacing w:after="0" w:line="240" w:lineRule="auto"/>
        <w:ind w:firstLine="709"/>
        <w:jc w:val="both"/>
        <w:rPr>
          <w:rFonts w:ascii="Times New Roman" w:hAnsi="Times New Roman"/>
          <w:sz w:val="28"/>
          <w:szCs w:val="28"/>
          <w:lang w:val="uk-UA"/>
        </w:rPr>
      </w:pPr>
      <w:r w:rsidRPr="00D66988">
        <w:rPr>
          <w:rFonts w:ascii="Times New Roman" w:hAnsi="Times New Roman"/>
          <w:sz w:val="28"/>
          <w:szCs w:val="28"/>
          <w:lang w:val="uk-UA"/>
        </w:rPr>
        <w:t>Рис</w:t>
      </w:r>
      <w:r w:rsidR="007A1A33">
        <w:rPr>
          <w:rFonts w:ascii="Times New Roman" w:hAnsi="Times New Roman"/>
          <w:sz w:val="28"/>
          <w:szCs w:val="28"/>
          <w:lang w:val="uk-UA"/>
        </w:rPr>
        <w:t>.</w:t>
      </w:r>
      <w:r w:rsidRPr="00D66988">
        <w:rPr>
          <w:rFonts w:ascii="Times New Roman" w:hAnsi="Times New Roman"/>
          <w:sz w:val="28"/>
          <w:szCs w:val="28"/>
          <w:lang w:val="uk-UA"/>
        </w:rPr>
        <w:t xml:space="preserve"> 1.</w:t>
      </w:r>
      <w:r w:rsidR="00816BAD">
        <w:rPr>
          <w:rFonts w:ascii="Times New Roman" w:hAnsi="Times New Roman"/>
          <w:sz w:val="28"/>
          <w:szCs w:val="28"/>
          <w:lang w:val="uk-UA"/>
        </w:rPr>
        <w:t>6</w:t>
      </w:r>
      <w:r w:rsidRPr="00D66988">
        <w:rPr>
          <w:rFonts w:ascii="Times New Roman" w:hAnsi="Times New Roman"/>
          <w:sz w:val="28"/>
          <w:szCs w:val="28"/>
          <w:lang w:val="uk-UA"/>
        </w:rPr>
        <w:t>. Алгоритм багатокритеріальної оцінки прийняття рішень у процесі формування інвестиційної привабливості підприємств</w:t>
      </w:r>
    </w:p>
    <w:p w:rsidR="009332D9" w:rsidRPr="00864B2F" w:rsidRDefault="009332D9" w:rsidP="00816BAD">
      <w:pPr>
        <w:pStyle w:val="a5"/>
        <w:spacing w:before="0" w:beforeAutospacing="0" w:after="0" w:afterAutospacing="0"/>
        <w:ind w:left="709"/>
        <w:jc w:val="both"/>
        <w:rPr>
          <w:i/>
          <w:iCs/>
          <w:color w:val="000000"/>
          <w:lang w:val="uk-UA"/>
        </w:rPr>
      </w:pPr>
      <w:r>
        <w:rPr>
          <w:i/>
          <w:iCs/>
          <w:color w:val="000000"/>
          <w:lang w:val="uk-UA"/>
        </w:rPr>
        <w:t>Джерело: розроблено автором</w:t>
      </w:r>
    </w:p>
    <w:p w:rsidR="002F389C" w:rsidRDefault="002F389C" w:rsidP="00363C28">
      <w:pPr>
        <w:spacing w:after="0" w:line="360" w:lineRule="auto"/>
        <w:ind w:firstLine="709"/>
        <w:jc w:val="both"/>
        <w:rPr>
          <w:rFonts w:ascii="Times New Roman" w:hAnsi="Times New Roman"/>
          <w:sz w:val="28"/>
          <w:szCs w:val="28"/>
          <w:lang w:val="uk-UA"/>
        </w:rPr>
      </w:pPr>
    </w:p>
    <w:p w:rsidR="0055571B" w:rsidRPr="00CB0434" w:rsidRDefault="0055571B"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 силу простоти та хороших можливостей інтерпретації результатів експертних оцінок, як метод визначення коефіцієнтів відносної важливості (ваг</w:t>
      </w:r>
      <w:r>
        <w:rPr>
          <w:rFonts w:ascii="Times New Roman" w:hAnsi="Times New Roman"/>
          <w:sz w:val="28"/>
          <w:szCs w:val="28"/>
          <w:lang w:val="uk-UA"/>
        </w:rPr>
        <w:t>и</w:t>
      </w:r>
      <w:r w:rsidRPr="00CB0434">
        <w:rPr>
          <w:rFonts w:ascii="Times New Roman" w:hAnsi="Times New Roman"/>
          <w:sz w:val="28"/>
          <w:szCs w:val="28"/>
          <w:lang w:val="uk-UA"/>
        </w:rPr>
        <w:t>) доцільно використовувати метод безпосереднього експертного оцінювання з використанням бальної шкали від 1 до 10, де 10 відповідає найбільшій важливості критерію, а 1</w:t>
      </w:r>
      <w:r>
        <w:rPr>
          <w:rFonts w:ascii="Times New Roman" w:hAnsi="Times New Roman"/>
          <w:sz w:val="28"/>
          <w:szCs w:val="28"/>
          <w:lang w:val="uk-UA"/>
        </w:rPr>
        <w:t xml:space="preserve"> – </w:t>
      </w:r>
      <w:r w:rsidRPr="00CB0434">
        <w:rPr>
          <w:rFonts w:ascii="Times New Roman" w:hAnsi="Times New Roman"/>
          <w:sz w:val="28"/>
          <w:szCs w:val="28"/>
          <w:lang w:val="uk-UA"/>
        </w:rPr>
        <w:t>найменш</w:t>
      </w:r>
      <w:r>
        <w:rPr>
          <w:rFonts w:ascii="Times New Roman" w:hAnsi="Times New Roman"/>
          <w:sz w:val="28"/>
          <w:szCs w:val="28"/>
          <w:lang w:val="uk-UA"/>
        </w:rPr>
        <w:t>ій</w:t>
      </w:r>
      <w:r w:rsidRPr="00CB0434">
        <w:rPr>
          <w:rFonts w:ascii="Times New Roman" w:hAnsi="Times New Roman"/>
          <w:sz w:val="28"/>
          <w:szCs w:val="28"/>
          <w:lang w:val="uk-UA"/>
        </w:rPr>
        <w:t>.</w:t>
      </w:r>
    </w:p>
    <w:p w:rsidR="0055571B" w:rsidRPr="00CB0434" w:rsidRDefault="0055571B"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Більш складним та трудомістким етапом є побудова кількісних узгоджених шкал (функцій корисності), що дозволяють привести різнорідні критерії до єдиної шкали, що вимірюється на інтервалі від 0 до 1.</w:t>
      </w:r>
    </w:p>
    <w:p w:rsidR="0055571B" w:rsidRDefault="0055571B"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Основне призначення даного етапу </w:t>
      </w:r>
      <w:r>
        <w:rPr>
          <w:rFonts w:ascii="Times New Roman" w:hAnsi="Times New Roman"/>
          <w:sz w:val="28"/>
          <w:szCs w:val="28"/>
          <w:lang w:val="uk-UA"/>
        </w:rPr>
        <w:t xml:space="preserve">– </w:t>
      </w:r>
      <w:r w:rsidRPr="00CB0434">
        <w:rPr>
          <w:rFonts w:ascii="Times New Roman" w:hAnsi="Times New Roman"/>
          <w:sz w:val="28"/>
          <w:szCs w:val="28"/>
          <w:lang w:val="uk-UA"/>
        </w:rPr>
        <w:t>це</w:t>
      </w:r>
      <w:r>
        <w:rPr>
          <w:rFonts w:ascii="Times New Roman" w:hAnsi="Times New Roman"/>
          <w:sz w:val="28"/>
          <w:szCs w:val="28"/>
          <w:lang w:val="uk-UA"/>
        </w:rPr>
        <w:t>,</w:t>
      </w:r>
      <w:r w:rsidRPr="00CB0434">
        <w:rPr>
          <w:rFonts w:ascii="Times New Roman" w:hAnsi="Times New Roman"/>
          <w:sz w:val="28"/>
          <w:szCs w:val="28"/>
          <w:lang w:val="uk-UA"/>
        </w:rPr>
        <w:t xml:space="preserve"> по-перше</w:t>
      </w:r>
      <w:r>
        <w:rPr>
          <w:rFonts w:ascii="Times New Roman" w:hAnsi="Times New Roman"/>
          <w:sz w:val="28"/>
          <w:szCs w:val="28"/>
          <w:lang w:val="uk-UA"/>
        </w:rPr>
        <w:t>,</w:t>
      </w:r>
      <w:r w:rsidRPr="00CB0434">
        <w:rPr>
          <w:rFonts w:ascii="Times New Roman" w:hAnsi="Times New Roman"/>
          <w:sz w:val="28"/>
          <w:szCs w:val="28"/>
          <w:lang w:val="uk-UA"/>
        </w:rPr>
        <w:t xml:space="preserve"> приведення вихідних даних до порівняльного виду, а по-друге, облік особливостей визначення переваги (вирішальних правил) варіантів вибору за кожним із критеріїв.</w:t>
      </w:r>
    </w:p>
    <w:p w:rsidR="00336F0C" w:rsidRPr="00CB0434" w:rsidRDefault="00336F0C" w:rsidP="0055571B">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побудови подібних шкал, що представляються зазвичай у вигляді функцій корисності (інтервальних або безперервних), що ставлять у відповідність будь-якому </w:t>
      </w:r>
      <w:r>
        <w:rPr>
          <w:rFonts w:ascii="Times New Roman" w:hAnsi="Times New Roman"/>
          <w:sz w:val="28"/>
          <w:szCs w:val="28"/>
          <w:lang w:val="uk-UA"/>
        </w:rPr>
        <w:t>і</w:t>
      </w:r>
      <w:r w:rsidRPr="00CB0434">
        <w:rPr>
          <w:rFonts w:ascii="Times New Roman" w:hAnsi="Times New Roman"/>
          <w:sz w:val="28"/>
          <w:szCs w:val="28"/>
          <w:lang w:val="uk-UA"/>
        </w:rPr>
        <w:t xml:space="preserve">з значень критеріїв у кількісній або якісній формі числову оцінку за єдиною шкалою (зазвичай від 0 до 1), зазвичай використовуються методи </w:t>
      </w:r>
      <w:r>
        <w:rPr>
          <w:rFonts w:ascii="Times New Roman" w:hAnsi="Times New Roman"/>
          <w:sz w:val="28"/>
          <w:szCs w:val="28"/>
          <w:lang w:val="uk-UA"/>
        </w:rPr>
        <w:t>«</w:t>
      </w:r>
      <w:r w:rsidRPr="00CB0434">
        <w:rPr>
          <w:rFonts w:ascii="Times New Roman" w:hAnsi="Times New Roman"/>
          <w:sz w:val="28"/>
          <w:szCs w:val="28"/>
          <w:lang w:val="uk-UA"/>
        </w:rPr>
        <w:t>поділу навпіл</w:t>
      </w:r>
      <w:r>
        <w:rPr>
          <w:rFonts w:ascii="Times New Roman" w:hAnsi="Times New Roman"/>
          <w:sz w:val="28"/>
          <w:szCs w:val="28"/>
          <w:lang w:val="uk-UA"/>
        </w:rPr>
        <w:t>»</w:t>
      </w:r>
      <w:r w:rsidRPr="00CB0434">
        <w:rPr>
          <w:rFonts w:ascii="Times New Roman" w:hAnsi="Times New Roman"/>
          <w:sz w:val="28"/>
          <w:szCs w:val="28"/>
          <w:lang w:val="uk-UA"/>
        </w:rPr>
        <w:t>, лінійна інтерполя</w:t>
      </w:r>
      <w:r>
        <w:rPr>
          <w:rFonts w:ascii="Times New Roman" w:hAnsi="Times New Roman"/>
          <w:sz w:val="28"/>
          <w:szCs w:val="28"/>
          <w:lang w:val="uk-UA"/>
        </w:rPr>
        <w:t>ція</w:t>
      </w:r>
      <w:r w:rsidRPr="00CB0434">
        <w:rPr>
          <w:rFonts w:ascii="Times New Roman" w:hAnsi="Times New Roman"/>
          <w:sz w:val="28"/>
          <w:szCs w:val="28"/>
          <w:lang w:val="uk-UA"/>
        </w:rPr>
        <w:t xml:space="preserve"> використання типових функцій корисності у вигляді кривих</w:t>
      </w:r>
      <w:r w:rsidRPr="006246CD">
        <w:rPr>
          <w:rFonts w:ascii="Times New Roman" w:hAnsi="Times New Roman"/>
          <w:sz w:val="28"/>
          <w:szCs w:val="28"/>
          <w:lang w:val="uk-UA"/>
        </w:rPr>
        <w:t xml:space="preserve"> </w:t>
      </w:r>
      <w:r w:rsidRPr="00CB0434">
        <w:rPr>
          <w:rFonts w:ascii="Times New Roman" w:hAnsi="Times New Roman"/>
          <w:sz w:val="28"/>
          <w:szCs w:val="28"/>
          <w:lang w:val="uk-UA"/>
        </w:rPr>
        <w:t>бажаності Харрінгтона чи Гау</w:t>
      </w:r>
      <w:r>
        <w:rPr>
          <w:rFonts w:ascii="Times New Roman" w:hAnsi="Times New Roman"/>
          <w:sz w:val="28"/>
          <w:szCs w:val="28"/>
          <w:lang w:val="uk-UA"/>
        </w:rPr>
        <w:t>с</w:t>
      </w:r>
      <w:r w:rsidRPr="00CB0434">
        <w:rPr>
          <w:rFonts w:ascii="Times New Roman" w:hAnsi="Times New Roman"/>
          <w:sz w:val="28"/>
          <w:szCs w:val="28"/>
          <w:lang w:val="uk-UA"/>
        </w:rPr>
        <w:t xml:space="preserve">са. </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Найбільш поширеним способом побудови узгодженої шкали для окремого критерію чи функції корисності є процедура лінійної інтерполяції, суть якої полягає у наступному.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Варіанту зі значенням критерію, яке є найменш переважним (</w:t>
      </w:r>
      <w:r w:rsidRPr="00AF7F70">
        <w:rPr>
          <w:rFonts w:ascii="Times New Roman" w:hAnsi="Times New Roman"/>
          <w:i/>
          <w:sz w:val="28"/>
          <w:szCs w:val="28"/>
          <w:lang w:val="uk-UA"/>
        </w:rPr>
        <w:t>Х</w:t>
      </w:r>
      <w:r w:rsidRPr="00AF7F70">
        <w:rPr>
          <w:rFonts w:ascii="Times New Roman" w:hAnsi="Times New Roman"/>
          <w:sz w:val="28"/>
          <w:szCs w:val="28"/>
          <w:vertAlign w:val="subscript"/>
          <w:lang w:val="uk-UA"/>
        </w:rPr>
        <w:t>0</w:t>
      </w:r>
      <w:r w:rsidRPr="00CB0434">
        <w:rPr>
          <w:rFonts w:ascii="Times New Roman" w:hAnsi="Times New Roman"/>
          <w:sz w:val="28"/>
          <w:szCs w:val="28"/>
          <w:lang w:val="uk-UA"/>
        </w:rPr>
        <w:t xml:space="preserve">) присвоюється 0: </w:t>
      </w:r>
      <w:r w:rsidRPr="00AF7F70">
        <w:rPr>
          <w:rFonts w:ascii="Times New Roman" w:hAnsi="Times New Roman"/>
          <w:i/>
          <w:sz w:val="28"/>
          <w:szCs w:val="28"/>
          <w:lang w:val="en-US"/>
        </w:rPr>
        <w:t>Y</w:t>
      </w:r>
      <w:r w:rsidRPr="00AF7F70">
        <w:rPr>
          <w:rFonts w:ascii="Times New Roman" w:hAnsi="Times New Roman"/>
          <w:sz w:val="28"/>
          <w:szCs w:val="28"/>
          <w:vertAlign w:val="subscript"/>
          <w:lang w:val="uk-UA"/>
        </w:rPr>
        <w:t>0</w:t>
      </w:r>
      <w:r w:rsidRPr="00CB0434">
        <w:rPr>
          <w:rFonts w:ascii="Times New Roman" w:hAnsi="Times New Roman"/>
          <w:sz w:val="28"/>
          <w:szCs w:val="28"/>
          <w:lang w:val="uk-UA"/>
        </w:rPr>
        <w:t>(</w:t>
      </w:r>
      <w:r w:rsidRPr="00AF7F70">
        <w:rPr>
          <w:rFonts w:ascii="Times New Roman" w:hAnsi="Times New Roman"/>
          <w:i/>
          <w:sz w:val="28"/>
          <w:szCs w:val="28"/>
          <w:lang w:val="uk-UA"/>
        </w:rPr>
        <w:t>Х</w:t>
      </w:r>
      <w:r w:rsidRPr="00AF7F70">
        <w:rPr>
          <w:rFonts w:ascii="Times New Roman" w:hAnsi="Times New Roman"/>
          <w:sz w:val="28"/>
          <w:szCs w:val="28"/>
          <w:vertAlign w:val="subscript"/>
          <w:lang w:val="uk-UA"/>
        </w:rPr>
        <w:t>0</w:t>
      </w:r>
      <w:r w:rsidRPr="00CB0434">
        <w:rPr>
          <w:rFonts w:ascii="Times New Roman" w:hAnsi="Times New Roman"/>
          <w:sz w:val="28"/>
          <w:szCs w:val="28"/>
          <w:lang w:val="uk-UA"/>
        </w:rPr>
        <w:t>)</w:t>
      </w:r>
      <w:r w:rsidR="00071E8A">
        <w:rPr>
          <w:rFonts w:ascii="Times New Roman" w:hAnsi="Times New Roman"/>
          <w:sz w:val="28"/>
          <w:szCs w:val="28"/>
          <w:lang w:val="uk-UA"/>
        </w:rPr>
        <w:t> </w:t>
      </w:r>
      <w:r w:rsidRPr="00CB0434">
        <w:rPr>
          <w:rFonts w:ascii="Times New Roman" w:hAnsi="Times New Roman"/>
          <w:sz w:val="28"/>
          <w:szCs w:val="28"/>
          <w:lang w:val="uk-UA"/>
        </w:rPr>
        <w:t>=</w:t>
      </w:r>
      <w:r w:rsidR="00071E8A">
        <w:rPr>
          <w:rFonts w:ascii="Times New Roman" w:hAnsi="Times New Roman"/>
          <w:sz w:val="28"/>
          <w:szCs w:val="28"/>
          <w:lang w:val="uk-UA"/>
        </w:rPr>
        <w:t> </w:t>
      </w:r>
      <w:r w:rsidRPr="00CB0434">
        <w:rPr>
          <w:rFonts w:ascii="Times New Roman" w:hAnsi="Times New Roman"/>
          <w:sz w:val="28"/>
          <w:szCs w:val="28"/>
          <w:lang w:val="uk-UA"/>
        </w:rPr>
        <w:t>0, відповідно</w:t>
      </w:r>
      <w:r w:rsidR="00071E8A">
        <w:rPr>
          <w:rFonts w:ascii="Times New Roman" w:hAnsi="Times New Roman"/>
          <w:sz w:val="28"/>
          <w:szCs w:val="28"/>
          <w:lang w:val="uk-UA"/>
        </w:rPr>
        <w:t xml:space="preserve"> </w:t>
      </w:r>
      <w:r w:rsidRPr="00CB0434">
        <w:rPr>
          <w:rFonts w:ascii="Times New Roman" w:hAnsi="Times New Roman"/>
          <w:sz w:val="28"/>
          <w:szCs w:val="28"/>
          <w:lang w:val="uk-UA"/>
        </w:rPr>
        <w:t>вар</w:t>
      </w:r>
      <w:r>
        <w:rPr>
          <w:rFonts w:ascii="Times New Roman" w:hAnsi="Times New Roman"/>
          <w:sz w:val="28"/>
          <w:szCs w:val="28"/>
          <w:lang w:val="uk-UA"/>
        </w:rPr>
        <w:t>іант</w:t>
      </w:r>
      <w:r w:rsidR="00071E8A">
        <w:rPr>
          <w:rFonts w:ascii="Times New Roman" w:hAnsi="Times New Roman"/>
          <w:sz w:val="28"/>
          <w:szCs w:val="28"/>
          <w:lang w:val="uk-UA"/>
        </w:rPr>
        <w:t>у</w:t>
      </w:r>
      <w:r>
        <w:rPr>
          <w:rFonts w:ascii="Times New Roman" w:hAnsi="Times New Roman"/>
          <w:sz w:val="28"/>
          <w:szCs w:val="28"/>
          <w:lang w:val="uk-UA"/>
        </w:rPr>
        <w:t xml:space="preserve"> з найбільшою перевагою (</w:t>
      </w:r>
      <w:r w:rsidRPr="00AF7F70">
        <w:rPr>
          <w:rFonts w:ascii="Times New Roman" w:hAnsi="Times New Roman"/>
          <w:i/>
          <w:sz w:val="28"/>
          <w:szCs w:val="28"/>
          <w:lang w:val="uk-UA"/>
        </w:rPr>
        <w:t>X</w:t>
      </w:r>
      <w:r w:rsidRPr="00AF7F70">
        <w:rPr>
          <w:rFonts w:ascii="Times New Roman" w:hAnsi="Times New Roman"/>
          <w:sz w:val="28"/>
          <w:szCs w:val="28"/>
          <w:vertAlign w:val="subscript"/>
          <w:lang w:val="uk-UA"/>
        </w:rPr>
        <w:t>1</w:t>
      </w:r>
      <w:r>
        <w:rPr>
          <w:rFonts w:ascii="Times New Roman" w:hAnsi="Times New Roman"/>
          <w:sz w:val="28"/>
          <w:szCs w:val="28"/>
          <w:lang w:val="uk-UA"/>
        </w:rPr>
        <w:t xml:space="preserve">) присвоюється 1: </w:t>
      </w:r>
      <w:r w:rsidRPr="00AF7F70">
        <w:rPr>
          <w:rFonts w:ascii="Times New Roman" w:hAnsi="Times New Roman"/>
          <w:i/>
          <w:sz w:val="28"/>
          <w:szCs w:val="28"/>
          <w:lang w:val="en-US"/>
        </w:rPr>
        <w:t>Y</w:t>
      </w:r>
      <w:r w:rsidRPr="00AF7F70">
        <w:rPr>
          <w:rFonts w:ascii="Times New Roman" w:hAnsi="Times New Roman"/>
          <w:sz w:val="28"/>
          <w:szCs w:val="28"/>
          <w:vertAlign w:val="subscript"/>
          <w:lang w:val="uk-UA"/>
        </w:rPr>
        <w:t>1</w:t>
      </w:r>
      <w:r w:rsidRPr="00CB0434">
        <w:rPr>
          <w:rFonts w:ascii="Times New Roman" w:hAnsi="Times New Roman"/>
          <w:sz w:val="28"/>
          <w:szCs w:val="28"/>
          <w:lang w:val="uk-UA"/>
        </w:rPr>
        <w:t>(</w:t>
      </w:r>
      <w:r w:rsidRPr="00AF7F70">
        <w:rPr>
          <w:rFonts w:ascii="Times New Roman" w:hAnsi="Times New Roman"/>
          <w:i/>
          <w:sz w:val="28"/>
          <w:szCs w:val="28"/>
          <w:lang w:val="uk-UA"/>
        </w:rPr>
        <w:t>Х</w:t>
      </w:r>
      <w:r w:rsidRPr="00AF7F70">
        <w:rPr>
          <w:rFonts w:ascii="Times New Roman" w:hAnsi="Times New Roman"/>
          <w:sz w:val="28"/>
          <w:szCs w:val="28"/>
          <w:vertAlign w:val="subscript"/>
          <w:lang w:val="uk-UA"/>
        </w:rPr>
        <w:t>1</w:t>
      </w:r>
      <w:r w:rsidRPr="00CB0434">
        <w:rPr>
          <w:rFonts w:ascii="Times New Roman" w:hAnsi="Times New Roman"/>
          <w:sz w:val="28"/>
          <w:szCs w:val="28"/>
          <w:lang w:val="uk-UA"/>
        </w:rPr>
        <w:t>)</w:t>
      </w:r>
      <w:r w:rsidR="00071E8A">
        <w:rPr>
          <w:rFonts w:ascii="Times New Roman" w:hAnsi="Times New Roman"/>
          <w:sz w:val="28"/>
          <w:szCs w:val="28"/>
          <w:lang w:val="uk-UA"/>
        </w:rPr>
        <w:t> </w:t>
      </w:r>
      <w:r w:rsidRPr="00CB0434">
        <w:rPr>
          <w:rFonts w:ascii="Times New Roman" w:hAnsi="Times New Roman"/>
          <w:sz w:val="28"/>
          <w:szCs w:val="28"/>
          <w:lang w:val="uk-UA"/>
        </w:rPr>
        <w:t>=</w:t>
      </w:r>
      <w:r w:rsidR="00071E8A">
        <w:rPr>
          <w:rFonts w:ascii="Times New Roman" w:hAnsi="Times New Roman"/>
          <w:sz w:val="28"/>
          <w:szCs w:val="28"/>
          <w:lang w:val="uk-UA"/>
        </w:rPr>
        <w:t> </w:t>
      </w:r>
      <w:r w:rsidRPr="00CB0434">
        <w:rPr>
          <w:rFonts w:ascii="Times New Roman" w:hAnsi="Times New Roman"/>
          <w:sz w:val="28"/>
          <w:szCs w:val="28"/>
          <w:lang w:val="uk-UA"/>
        </w:rPr>
        <w:t>1.</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Визначається функція корисності як система рівнянь:</w:t>
      </w:r>
    </w:p>
    <w:p w:rsidR="00363C28" w:rsidRPr="00CA1235"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Y</w:t>
      </w:r>
      <w:r w:rsidRPr="00AF7F70">
        <w:rPr>
          <w:rFonts w:ascii="Times New Roman" w:hAnsi="Times New Roman"/>
          <w:sz w:val="28"/>
          <w:szCs w:val="28"/>
          <w:vertAlign w:val="subscript"/>
          <w:lang w:val="en-US"/>
        </w:rPr>
        <w:t>0</w:t>
      </w:r>
      <w:r w:rsidR="00116012">
        <w:rPr>
          <w:rFonts w:ascii="Times New Roman" w:hAnsi="Times New Roman"/>
          <w:sz w:val="28"/>
          <w:szCs w:val="28"/>
          <w:lang w:val="uk-UA"/>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a</w:t>
      </w:r>
      <w:r w:rsidRPr="00AF7F70">
        <w:rPr>
          <w:rFonts w:ascii="Times New Roman" w:hAnsi="Times New Roman"/>
          <w:sz w:val="28"/>
          <w:szCs w:val="28"/>
          <w:vertAlign w:val="subscript"/>
          <w:lang w:val="en-US"/>
        </w:rPr>
        <w:t>0</w:t>
      </w:r>
      <w:r w:rsidR="00116012" w:rsidRPr="00AF7F70">
        <w:rPr>
          <w:rFonts w:ascii="Times New Roman" w:hAnsi="Times New Roman"/>
          <w:sz w:val="28"/>
          <w:szCs w:val="28"/>
          <w:lang w:val="en-US"/>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a</w:t>
      </w:r>
      <w:r w:rsidRPr="00AF7F70">
        <w:rPr>
          <w:rFonts w:ascii="Times New Roman" w:hAnsi="Times New Roman"/>
          <w:sz w:val="28"/>
          <w:szCs w:val="28"/>
          <w:vertAlign w:val="subscript"/>
          <w:lang w:val="uk-UA"/>
        </w:rPr>
        <w:t>l</w:t>
      </w:r>
      <w:r w:rsidR="00116012">
        <w:rPr>
          <w:rFonts w:ascii="Times New Roman" w:hAnsi="Times New Roman"/>
          <w:sz w:val="28"/>
          <w:szCs w:val="28"/>
          <w:lang w:val="uk-UA"/>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X</w:t>
      </w:r>
      <w:r w:rsidRPr="00AF7F70">
        <w:rPr>
          <w:rFonts w:ascii="Times New Roman" w:hAnsi="Times New Roman"/>
          <w:sz w:val="28"/>
          <w:szCs w:val="28"/>
          <w:vertAlign w:val="subscript"/>
          <w:lang w:val="en-US"/>
        </w:rPr>
        <w:t>0</w:t>
      </w:r>
      <w:r w:rsidR="00116012" w:rsidRPr="00AF7F70">
        <w:rPr>
          <w:rFonts w:ascii="Times New Roman" w:hAnsi="Times New Roman"/>
          <w:sz w:val="28"/>
          <w:szCs w:val="28"/>
          <w:lang w:val="en-US"/>
        </w:rPr>
        <w:t>,</w:t>
      </w:r>
      <w:r w:rsidRPr="00CA1235">
        <w:rPr>
          <w:rFonts w:ascii="Times New Roman" w:hAnsi="Times New Roman"/>
          <w:sz w:val="28"/>
          <w:szCs w:val="28"/>
          <w:lang w:val="uk-UA"/>
        </w:rPr>
        <w:t xml:space="preserve"> </w:t>
      </w:r>
    </w:p>
    <w:p w:rsidR="00363C28" w:rsidRPr="00CA1235"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Y</w:t>
      </w:r>
      <w:r w:rsidRPr="00AF7F70">
        <w:rPr>
          <w:rFonts w:ascii="Times New Roman" w:hAnsi="Times New Roman"/>
          <w:sz w:val="28"/>
          <w:szCs w:val="28"/>
          <w:vertAlign w:val="subscript"/>
          <w:lang w:val="uk-UA"/>
        </w:rPr>
        <w:t>l</w:t>
      </w:r>
      <w:r w:rsidR="00116012">
        <w:rPr>
          <w:rFonts w:ascii="Times New Roman" w:hAnsi="Times New Roman"/>
          <w:sz w:val="28"/>
          <w:szCs w:val="28"/>
          <w:lang w:val="uk-UA"/>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a</w:t>
      </w:r>
      <w:r w:rsidRPr="00AF7F70">
        <w:rPr>
          <w:rFonts w:ascii="Times New Roman" w:hAnsi="Times New Roman"/>
          <w:sz w:val="28"/>
          <w:szCs w:val="28"/>
          <w:vertAlign w:val="subscript"/>
          <w:lang w:val="uk-UA"/>
        </w:rPr>
        <w:t>0</w:t>
      </w:r>
      <w:r w:rsidR="00116012">
        <w:rPr>
          <w:rFonts w:ascii="Times New Roman" w:hAnsi="Times New Roman"/>
          <w:sz w:val="28"/>
          <w:szCs w:val="28"/>
          <w:lang w:val="uk-UA"/>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a</w:t>
      </w:r>
      <w:r w:rsidRPr="00AF7F70">
        <w:rPr>
          <w:rFonts w:ascii="Times New Roman" w:hAnsi="Times New Roman"/>
          <w:sz w:val="28"/>
          <w:szCs w:val="28"/>
          <w:vertAlign w:val="subscript"/>
          <w:lang w:val="uk-UA"/>
        </w:rPr>
        <w:t>l</w:t>
      </w:r>
      <w:r w:rsidR="00116012">
        <w:rPr>
          <w:rFonts w:ascii="Times New Roman" w:hAnsi="Times New Roman"/>
          <w:sz w:val="28"/>
          <w:szCs w:val="28"/>
          <w:lang w:val="uk-UA"/>
        </w:rPr>
        <w:t> </w:t>
      </w:r>
      <w:r w:rsidRPr="00CA1235">
        <w:rPr>
          <w:rFonts w:ascii="Times New Roman" w:hAnsi="Times New Roman"/>
          <w:sz w:val="28"/>
          <w:szCs w:val="28"/>
          <w:lang w:val="uk-UA"/>
        </w:rPr>
        <w:t>*</w:t>
      </w:r>
      <w:r w:rsidR="00116012">
        <w:rPr>
          <w:rFonts w:ascii="Times New Roman" w:hAnsi="Times New Roman"/>
          <w:sz w:val="28"/>
          <w:szCs w:val="28"/>
          <w:lang w:val="uk-UA"/>
        </w:rPr>
        <w:t> </w:t>
      </w:r>
      <w:r w:rsidRPr="00AF7F70">
        <w:rPr>
          <w:rFonts w:ascii="Times New Roman" w:hAnsi="Times New Roman"/>
          <w:i/>
          <w:sz w:val="28"/>
          <w:szCs w:val="28"/>
          <w:lang w:val="uk-UA"/>
        </w:rPr>
        <w:t>X</w:t>
      </w:r>
      <w:r w:rsidRPr="00AF7F70">
        <w:rPr>
          <w:rFonts w:ascii="Times New Roman" w:hAnsi="Times New Roman"/>
          <w:sz w:val="28"/>
          <w:szCs w:val="28"/>
          <w:vertAlign w:val="subscript"/>
          <w:lang w:val="uk-UA"/>
        </w:rPr>
        <w:t>l</w:t>
      </w:r>
      <w:r w:rsidR="00116012">
        <w:rPr>
          <w:rFonts w:ascii="Times New Roman" w:hAnsi="Times New Roman"/>
          <w:sz w:val="28"/>
          <w:szCs w:val="28"/>
          <w:lang w:val="uk-UA"/>
        </w:rPr>
        <w:t>.</w:t>
      </w:r>
      <w:r w:rsidRPr="00CA1235">
        <w:rPr>
          <w:rFonts w:ascii="Times New Roman" w:hAnsi="Times New Roman"/>
          <w:sz w:val="28"/>
          <w:szCs w:val="28"/>
          <w:lang w:val="uk-UA"/>
        </w:rPr>
        <w:t xml:space="preserve"> </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Тоді коефіцієнти </w:t>
      </w:r>
      <w:r w:rsidRPr="00AF7F70">
        <w:rPr>
          <w:rFonts w:ascii="Times New Roman" w:hAnsi="Times New Roman"/>
          <w:i/>
          <w:sz w:val="28"/>
          <w:szCs w:val="28"/>
          <w:lang w:val="uk-UA"/>
        </w:rPr>
        <w:t>а</w:t>
      </w:r>
      <w:r w:rsidRPr="00AF7F70">
        <w:rPr>
          <w:rFonts w:ascii="Times New Roman" w:hAnsi="Times New Roman"/>
          <w:sz w:val="28"/>
          <w:szCs w:val="28"/>
          <w:vertAlign w:val="subscript"/>
        </w:rPr>
        <w:t>0</w:t>
      </w:r>
      <w:r w:rsidRPr="00CB0434">
        <w:rPr>
          <w:rFonts w:ascii="Times New Roman" w:hAnsi="Times New Roman"/>
          <w:sz w:val="28"/>
          <w:szCs w:val="28"/>
          <w:lang w:val="uk-UA"/>
        </w:rPr>
        <w:t xml:space="preserve"> та </w:t>
      </w:r>
      <w:r w:rsidRPr="00AF7F70">
        <w:rPr>
          <w:rFonts w:ascii="Times New Roman" w:hAnsi="Times New Roman"/>
          <w:i/>
          <w:sz w:val="28"/>
          <w:szCs w:val="28"/>
          <w:lang w:val="uk-UA"/>
        </w:rPr>
        <w:t>а</w:t>
      </w:r>
      <w:r w:rsidRPr="00AF7F70">
        <w:rPr>
          <w:rFonts w:ascii="Times New Roman" w:hAnsi="Times New Roman"/>
          <w:sz w:val="28"/>
          <w:szCs w:val="28"/>
          <w:vertAlign w:val="subscript"/>
          <w:lang w:val="uk-UA"/>
        </w:rPr>
        <w:t>1</w:t>
      </w:r>
      <w:r w:rsidRPr="00CB0434">
        <w:rPr>
          <w:rFonts w:ascii="Times New Roman" w:hAnsi="Times New Roman"/>
          <w:sz w:val="28"/>
          <w:szCs w:val="28"/>
          <w:lang w:val="uk-UA"/>
        </w:rPr>
        <w:t xml:space="preserve"> можуть бути визначені як:</w:t>
      </w:r>
    </w:p>
    <w:p w:rsidR="00363C28" w:rsidRPr="00CB0434" w:rsidRDefault="006A2BE5"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en-US"/>
        </w:rPr>
        <w:t>a</w:t>
      </w:r>
      <w:r w:rsidR="00363C28" w:rsidRPr="00AF7F70">
        <w:rPr>
          <w:rFonts w:ascii="Times New Roman" w:hAnsi="Times New Roman"/>
          <w:sz w:val="28"/>
          <w:szCs w:val="28"/>
          <w:vertAlign w:val="subscript"/>
          <w:lang w:val="en-US"/>
        </w:rPr>
        <w:t>0</w:t>
      </w:r>
      <w:r w:rsidRPr="00AF7F70">
        <w:rPr>
          <w:rFonts w:ascii="Times New Roman" w:hAnsi="Times New Roman"/>
          <w:sz w:val="28"/>
          <w:szCs w:val="28"/>
          <w:lang w:val="en-US"/>
        </w:rPr>
        <w:t> </w:t>
      </w:r>
      <w:r w:rsidR="00363C28" w:rsidRPr="00CA1235">
        <w:rPr>
          <w:rFonts w:ascii="Times New Roman" w:hAnsi="Times New Roman"/>
          <w:sz w:val="28"/>
          <w:szCs w:val="28"/>
          <w:lang w:val="uk-UA"/>
        </w:rPr>
        <w:t>=</w:t>
      </w:r>
      <w:r>
        <w:rPr>
          <w:rFonts w:ascii="Times New Roman" w:hAnsi="Times New Roman"/>
          <w:sz w:val="28"/>
          <w:szCs w:val="28"/>
          <w:lang w:val="uk-UA"/>
        </w:rPr>
        <w:t> </w:t>
      </w:r>
      <w:r w:rsidR="00363C28" w:rsidRPr="00CA1235">
        <w:rPr>
          <w:rFonts w:ascii="Times New Roman" w:hAnsi="Times New Roman"/>
          <w:sz w:val="28"/>
          <w:szCs w:val="28"/>
          <w:lang w:val="uk-UA"/>
        </w:rPr>
        <w:t>(</w:t>
      </w:r>
      <w:r w:rsidR="00363C28" w:rsidRPr="00AF7F70">
        <w:rPr>
          <w:rFonts w:ascii="Times New Roman" w:hAnsi="Times New Roman"/>
          <w:i/>
          <w:sz w:val="28"/>
          <w:szCs w:val="28"/>
          <w:lang w:val="uk-UA"/>
        </w:rPr>
        <w:t>X</w:t>
      </w:r>
      <w:r w:rsidR="00363C28" w:rsidRPr="00AF7F70">
        <w:rPr>
          <w:rFonts w:ascii="Times New Roman" w:hAnsi="Times New Roman"/>
          <w:sz w:val="28"/>
          <w:szCs w:val="28"/>
          <w:vertAlign w:val="subscript"/>
          <w:lang w:val="en-US"/>
        </w:rPr>
        <w:t>0</w:t>
      </w:r>
      <w:r w:rsidRPr="00AF7F70">
        <w:rPr>
          <w:rFonts w:ascii="Times New Roman" w:hAnsi="Times New Roman"/>
          <w:sz w:val="28"/>
          <w:szCs w:val="28"/>
          <w:lang w:val="en-US"/>
        </w:rPr>
        <w:t> </w:t>
      </w:r>
      <w:r w:rsidR="00363C28" w:rsidRPr="00CA1235">
        <w:rPr>
          <w:rFonts w:ascii="Times New Roman" w:hAnsi="Times New Roman"/>
          <w:sz w:val="28"/>
          <w:szCs w:val="28"/>
          <w:lang w:val="uk-UA"/>
        </w:rPr>
        <w:t>*</w:t>
      </w:r>
      <w:r>
        <w:rPr>
          <w:rFonts w:ascii="Times New Roman" w:hAnsi="Times New Roman"/>
          <w:sz w:val="28"/>
          <w:szCs w:val="28"/>
          <w:lang w:val="uk-UA"/>
        </w:rPr>
        <w:t> </w:t>
      </w:r>
      <w:r w:rsidR="00363C28" w:rsidRPr="00AF7F70">
        <w:rPr>
          <w:rFonts w:ascii="Times New Roman" w:hAnsi="Times New Roman"/>
          <w:i/>
          <w:sz w:val="28"/>
          <w:szCs w:val="28"/>
          <w:lang w:val="uk-UA"/>
        </w:rPr>
        <w:t>Y</w:t>
      </w:r>
      <w:r w:rsidR="00363C28" w:rsidRPr="00AF7F70">
        <w:rPr>
          <w:rFonts w:ascii="Times New Roman" w:hAnsi="Times New Roman"/>
          <w:sz w:val="28"/>
          <w:szCs w:val="28"/>
          <w:vertAlign w:val="subscript"/>
          <w:lang w:val="uk-UA"/>
        </w:rPr>
        <w:t>l</w:t>
      </w:r>
      <w:r>
        <w:rPr>
          <w:rFonts w:ascii="Times New Roman" w:hAnsi="Times New Roman"/>
          <w:sz w:val="28"/>
          <w:szCs w:val="28"/>
          <w:lang w:val="uk-UA"/>
        </w:rPr>
        <w:t xml:space="preserve"> – </w:t>
      </w:r>
      <w:r w:rsidR="00363C28" w:rsidRPr="00AF7F70">
        <w:rPr>
          <w:rFonts w:ascii="Times New Roman" w:hAnsi="Times New Roman"/>
          <w:i/>
          <w:sz w:val="28"/>
          <w:szCs w:val="28"/>
          <w:lang w:val="uk-UA"/>
        </w:rPr>
        <w:t>X</w:t>
      </w:r>
      <w:r w:rsidR="00363C28" w:rsidRPr="00AF7F70">
        <w:rPr>
          <w:rFonts w:ascii="Times New Roman" w:hAnsi="Times New Roman"/>
          <w:sz w:val="28"/>
          <w:szCs w:val="28"/>
          <w:vertAlign w:val="subscript"/>
          <w:lang w:val="uk-UA"/>
        </w:rPr>
        <w:t>l</w:t>
      </w:r>
      <w:r>
        <w:rPr>
          <w:rFonts w:ascii="Times New Roman" w:hAnsi="Times New Roman"/>
          <w:sz w:val="28"/>
          <w:szCs w:val="28"/>
          <w:lang w:val="uk-UA"/>
        </w:rPr>
        <w:t> </w:t>
      </w:r>
      <w:r w:rsidR="00363C28" w:rsidRPr="00CA1235">
        <w:rPr>
          <w:rFonts w:ascii="Times New Roman" w:hAnsi="Times New Roman"/>
          <w:sz w:val="28"/>
          <w:szCs w:val="28"/>
          <w:lang w:val="uk-UA"/>
        </w:rPr>
        <w:t>*</w:t>
      </w:r>
      <w:r>
        <w:rPr>
          <w:rFonts w:ascii="Times New Roman" w:hAnsi="Times New Roman"/>
          <w:sz w:val="28"/>
          <w:szCs w:val="28"/>
          <w:lang w:val="uk-UA"/>
        </w:rPr>
        <w:t> </w:t>
      </w:r>
      <w:r w:rsidR="00363C28" w:rsidRPr="00AF7F70">
        <w:rPr>
          <w:rFonts w:ascii="Times New Roman" w:hAnsi="Times New Roman"/>
          <w:i/>
          <w:sz w:val="28"/>
          <w:szCs w:val="28"/>
          <w:lang w:val="uk-UA"/>
        </w:rPr>
        <w:t>Y</w:t>
      </w:r>
      <w:r w:rsidR="00363C28" w:rsidRPr="00AF7F70">
        <w:rPr>
          <w:rFonts w:ascii="Times New Roman" w:hAnsi="Times New Roman"/>
          <w:sz w:val="28"/>
          <w:szCs w:val="28"/>
          <w:vertAlign w:val="subscript"/>
          <w:lang w:val="en-US"/>
        </w:rPr>
        <w:t>0</w:t>
      </w:r>
      <w:r w:rsidR="00363C28" w:rsidRPr="00CA1235">
        <w:rPr>
          <w:rFonts w:ascii="Times New Roman" w:hAnsi="Times New Roman"/>
          <w:sz w:val="28"/>
          <w:szCs w:val="28"/>
          <w:lang w:val="uk-UA"/>
        </w:rPr>
        <w:t>)</w:t>
      </w:r>
      <w:r>
        <w:rPr>
          <w:rFonts w:ascii="Times New Roman" w:hAnsi="Times New Roman"/>
          <w:sz w:val="28"/>
          <w:szCs w:val="28"/>
          <w:lang w:val="uk-UA"/>
        </w:rPr>
        <w:t> </w:t>
      </w:r>
      <w:r w:rsidR="00363C28" w:rsidRPr="00CA1235">
        <w:rPr>
          <w:rFonts w:ascii="Times New Roman" w:hAnsi="Times New Roman"/>
          <w:sz w:val="28"/>
          <w:szCs w:val="28"/>
          <w:lang w:val="uk-UA"/>
        </w:rPr>
        <w:t>/</w:t>
      </w:r>
      <w:r>
        <w:rPr>
          <w:rFonts w:ascii="Times New Roman" w:hAnsi="Times New Roman"/>
          <w:sz w:val="28"/>
          <w:szCs w:val="28"/>
          <w:lang w:val="uk-UA"/>
        </w:rPr>
        <w:t> </w:t>
      </w:r>
      <w:r w:rsidR="00363C28" w:rsidRPr="00CA1235">
        <w:rPr>
          <w:rFonts w:ascii="Times New Roman" w:hAnsi="Times New Roman"/>
          <w:sz w:val="28"/>
          <w:szCs w:val="28"/>
          <w:lang w:val="uk-UA"/>
        </w:rPr>
        <w:t>(</w:t>
      </w:r>
      <w:r w:rsidR="00363C28" w:rsidRPr="00AF7F70">
        <w:rPr>
          <w:rFonts w:ascii="Times New Roman" w:hAnsi="Times New Roman"/>
          <w:i/>
          <w:sz w:val="28"/>
          <w:szCs w:val="28"/>
          <w:lang w:val="uk-UA"/>
        </w:rPr>
        <w:t>X</w:t>
      </w:r>
      <w:r w:rsidR="00363C28" w:rsidRPr="00AF7F70">
        <w:rPr>
          <w:rFonts w:ascii="Times New Roman" w:hAnsi="Times New Roman"/>
          <w:sz w:val="28"/>
          <w:szCs w:val="28"/>
          <w:vertAlign w:val="subscript"/>
          <w:lang w:val="en-US"/>
        </w:rPr>
        <w:t>0</w:t>
      </w:r>
      <w:r w:rsidRPr="00AF7F70">
        <w:rPr>
          <w:rFonts w:ascii="Times New Roman" w:hAnsi="Times New Roman"/>
          <w:sz w:val="28"/>
          <w:szCs w:val="28"/>
          <w:lang w:val="en-US"/>
        </w:rPr>
        <w:t> </w:t>
      </w:r>
      <w:r>
        <w:rPr>
          <w:rFonts w:ascii="Times New Roman" w:hAnsi="Times New Roman"/>
          <w:sz w:val="28"/>
          <w:szCs w:val="28"/>
          <w:lang w:val="uk-UA"/>
        </w:rPr>
        <w:t xml:space="preserve">– </w:t>
      </w:r>
      <w:r w:rsidR="00363C28" w:rsidRPr="00AF7F70">
        <w:rPr>
          <w:rFonts w:ascii="Times New Roman" w:hAnsi="Times New Roman"/>
          <w:i/>
          <w:sz w:val="28"/>
          <w:szCs w:val="28"/>
          <w:lang w:val="uk-UA"/>
        </w:rPr>
        <w:t>X</w:t>
      </w:r>
      <w:r w:rsidR="00363C28" w:rsidRPr="00AF7F70">
        <w:rPr>
          <w:rFonts w:ascii="Times New Roman" w:hAnsi="Times New Roman"/>
          <w:sz w:val="28"/>
          <w:szCs w:val="28"/>
          <w:vertAlign w:val="subscript"/>
          <w:lang w:val="uk-UA"/>
        </w:rPr>
        <w:t>l</w:t>
      </w:r>
      <w:r w:rsidR="00363C28" w:rsidRPr="00CA1235">
        <w:rPr>
          <w:rFonts w:ascii="Times New Roman" w:hAnsi="Times New Roman"/>
          <w:sz w:val="28"/>
          <w:szCs w:val="28"/>
          <w:lang w:val="uk-UA"/>
        </w:rPr>
        <w:t>)</w:t>
      </w:r>
      <w:r>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a</w:t>
      </w:r>
      <w:r w:rsidRPr="00AF7F70">
        <w:rPr>
          <w:rFonts w:ascii="Times New Roman" w:hAnsi="Times New Roman"/>
          <w:sz w:val="28"/>
          <w:szCs w:val="28"/>
          <w:vertAlign w:val="subscript"/>
          <w:lang w:val="uk-UA"/>
        </w:rPr>
        <w:t>l</w:t>
      </w:r>
      <w:r w:rsidR="006A2BE5">
        <w:rPr>
          <w:rFonts w:ascii="Times New Roman" w:hAnsi="Times New Roman"/>
          <w:sz w:val="28"/>
          <w:szCs w:val="28"/>
          <w:lang w:val="uk-UA"/>
        </w:rPr>
        <w:t> </w:t>
      </w:r>
      <w:r w:rsidRPr="00CA1235">
        <w:rPr>
          <w:rFonts w:ascii="Times New Roman" w:hAnsi="Times New Roman"/>
          <w:sz w:val="28"/>
          <w:szCs w:val="28"/>
          <w:lang w:val="uk-UA"/>
        </w:rPr>
        <w:t>=</w:t>
      </w:r>
      <w:r w:rsidR="006A2BE5">
        <w:rPr>
          <w:rFonts w:ascii="Times New Roman" w:hAnsi="Times New Roman"/>
          <w:sz w:val="28"/>
          <w:szCs w:val="28"/>
          <w:lang w:val="uk-UA"/>
        </w:rPr>
        <w:t> </w:t>
      </w:r>
      <w:r w:rsidRPr="00CA1235">
        <w:rPr>
          <w:rFonts w:ascii="Times New Roman" w:hAnsi="Times New Roman"/>
          <w:sz w:val="28"/>
          <w:szCs w:val="28"/>
          <w:lang w:val="uk-UA"/>
        </w:rPr>
        <w:t>(</w:t>
      </w:r>
      <w:r w:rsidRPr="00AF7F70">
        <w:rPr>
          <w:rFonts w:ascii="Times New Roman" w:hAnsi="Times New Roman"/>
          <w:i/>
          <w:sz w:val="28"/>
          <w:szCs w:val="28"/>
          <w:lang w:val="uk-UA"/>
        </w:rPr>
        <w:t>Y</w:t>
      </w:r>
      <w:r w:rsidRPr="00AF7F70">
        <w:rPr>
          <w:rFonts w:ascii="Times New Roman" w:hAnsi="Times New Roman"/>
          <w:sz w:val="28"/>
          <w:szCs w:val="28"/>
          <w:vertAlign w:val="subscript"/>
        </w:rPr>
        <w:t>0</w:t>
      </w:r>
      <w:r w:rsidR="006A2BE5">
        <w:rPr>
          <w:rFonts w:ascii="Times New Roman" w:hAnsi="Times New Roman"/>
          <w:sz w:val="28"/>
          <w:szCs w:val="28"/>
        </w:rPr>
        <w:t> </w:t>
      </w:r>
      <w:r w:rsidR="006A2BE5">
        <w:rPr>
          <w:rFonts w:ascii="Times New Roman" w:hAnsi="Times New Roman"/>
          <w:sz w:val="28"/>
          <w:szCs w:val="28"/>
          <w:lang w:val="uk-UA"/>
        </w:rPr>
        <w:t xml:space="preserve">– </w:t>
      </w:r>
      <w:r w:rsidRPr="00AF7F70">
        <w:rPr>
          <w:rFonts w:ascii="Times New Roman" w:hAnsi="Times New Roman"/>
          <w:i/>
          <w:sz w:val="28"/>
          <w:szCs w:val="28"/>
          <w:lang w:val="uk-UA"/>
        </w:rPr>
        <w:t>Y</w:t>
      </w:r>
      <w:r w:rsidRPr="00AF7F70">
        <w:rPr>
          <w:rFonts w:ascii="Times New Roman" w:hAnsi="Times New Roman"/>
          <w:sz w:val="28"/>
          <w:szCs w:val="28"/>
          <w:vertAlign w:val="subscript"/>
          <w:lang w:val="uk-UA"/>
        </w:rPr>
        <w:t>l</w:t>
      </w:r>
      <w:r w:rsidRPr="00CA1235">
        <w:rPr>
          <w:rFonts w:ascii="Times New Roman" w:hAnsi="Times New Roman"/>
          <w:sz w:val="28"/>
          <w:szCs w:val="28"/>
          <w:lang w:val="uk-UA"/>
        </w:rPr>
        <w:t>)</w:t>
      </w:r>
      <w:r w:rsidR="006A2BE5">
        <w:rPr>
          <w:rFonts w:ascii="Times New Roman" w:hAnsi="Times New Roman"/>
          <w:sz w:val="28"/>
          <w:szCs w:val="28"/>
          <w:lang w:val="uk-UA"/>
        </w:rPr>
        <w:t> </w:t>
      </w:r>
      <w:r w:rsidRPr="00CA1235">
        <w:rPr>
          <w:rFonts w:ascii="Times New Roman" w:hAnsi="Times New Roman"/>
          <w:sz w:val="28"/>
          <w:szCs w:val="28"/>
          <w:lang w:val="uk-UA"/>
        </w:rPr>
        <w:t>/</w:t>
      </w:r>
      <w:r w:rsidR="006A2BE5">
        <w:rPr>
          <w:rFonts w:ascii="Times New Roman" w:hAnsi="Times New Roman"/>
          <w:sz w:val="28"/>
          <w:szCs w:val="28"/>
          <w:lang w:val="uk-UA"/>
        </w:rPr>
        <w:t> </w:t>
      </w:r>
      <w:r w:rsidRPr="00CA1235">
        <w:rPr>
          <w:rFonts w:ascii="Times New Roman" w:hAnsi="Times New Roman"/>
          <w:sz w:val="28"/>
          <w:szCs w:val="28"/>
          <w:lang w:val="uk-UA"/>
        </w:rPr>
        <w:t>(</w:t>
      </w:r>
      <w:r w:rsidRPr="00AF7F70">
        <w:rPr>
          <w:rFonts w:ascii="Times New Roman" w:hAnsi="Times New Roman"/>
          <w:i/>
          <w:sz w:val="28"/>
          <w:szCs w:val="28"/>
          <w:lang w:val="uk-UA"/>
        </w:rPr>
        <w:t>X</w:t>
      </w:r>
      <w:r w:rsidRPr="00AF7F70">
        <w:rPr>
          <w:rFonts w:ascii="Times New Roman" w:hAnsi="Times New Roman"/>
          <w:sz w:val="28"/>
          <w:szCs w:val="28"/>
          <w:vertAlign w:val="subscript"/>
        </w:rPr>
        <w:t>0</w:t>
      </w:r>
      <w:r w:rsidR="006A2BE5">
        <w:rPr>
          <w:rFonts w:ascii="Times New Roman" w:hAnsi="Times New Roman"/>
          <w:sz w:val="28"/>
          <w:szCs w:val="28"/>
        </w:rPr>
        <w:t xml:space="preserve"> </w:t>
      </w:r>
      <w:r w:rsidR="006A2BE5">
        <w:rPr>
          <w:rFonts w:ascii="Times New Roman" w:hAnsi="Times New Roman"/>
          <w:sz w:val="28"/>
          <w:szCs w:val="28"/>
          <w:lang w:val="uk-UA"/>
        </w:rPr>
        <w:t xml:space="preserve">– </w:t>
      </w:r>
      <w:r w:rsidRPr="00AF7F70">
        <w:rPr>
          <w:rFonts w:ascii="Times New Roman" w:hAnsi="Times New Roman"/>
          <w:i/>
          <w:sz w:val="28"/>
          <w:szCs w:val="28"/>
          <w:lang w:val="uk-UA"/>
        </w:rPr>
        <w:t>X</w:t>
      </w:r>
      <w:r w:rsidRPr="00AF7F70">
        <w:rPr>
          <w:rFonts w:ascii="Times New Roman" w:hAnsi="Times New Roman"/>
          <w:sz w:val="28"/>
          <w:szCs w:val="28"/>
          <w:vertAlign w:val="subscript"/>
          <w:lang w:val="uk-UA"/>
        </w:rPr>
        <w:t>l</w:t>
      </w:r>
      <w:r w:rsidRPr="00CA1235">
        <w:rPr>
          <w:rFonts w:ascii="Times New Roman" w:hAnsi="Times New Roman"/>
          <w:sz w:val="28"/>
          <w:szCs w:val="28"/>
          <w:lang w:val="uk-UA"/>
        </w:rPr>
        <w:t>)</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Підстановка значень </w:t>
      </w:r>
      <w:r w:rsidRPr="00D66988">
        <w:rPr>
          <w:rFonts w:ascii="Times New Roman" w:hAnsi="Times New Roman"/>
          <w:i/>
          <w:sz w:val="28"/>
          <w:szCs w:val="28"/>
          <w:lang w:val="uk-UA"/>
        </w:rPr>
        <w:t>X</w:t>
      </w:r>
      <w:r w:rsidRPr="00AF7F70">
        <w:rPr>
          <w:rFonts w:ascii="Times New Roman" w:hAnsi="Times New Roman"/>
          <w:i/>
          <w:sz w:val="28"/>
          <w:szCs w:val="28"/>
          <w:vertAlign w:val="subscript"/>
          <w:lang w:val="en-US"/>
        </w:rPr>
        <w:t>i</w:t>
      </w:r>
      <w:r w:rsidRPr="00CB0434">
        <w:rPr>
          <w:rFonts w:ascii="Times New Roman" w:hAnsi="Times New Roman"/>
          <w:sz w:val="28"/>
          <w:szCs w:val="28"/>
          <w:lang w:val="uk-UA"/>
        </w:rPr>
        <w:t xml:space="preserve"> </w:t>
      </w:r>
      <w:r w:rsidR="006A2BE5">
        <w:rPr>
          <w:rFonts w:ascii="Times New Roman" w:hAnsi="Times New Roman"/>
          <w:sz w:val="28"/>
          <w:szCs w:val="28"/>
          <w:lang w:val="uk-UA"/>
        </w:rPr>
        <w:t xml:space="preserve">у </w:t>
      </w:r>
      <w:r w:rsidRPr="00CB0434">
        <w:rPr>
          <w:rFonts w:ascii="Times New Roman" w:hAnsi="Times New Roman"/>
          <w:sz w:val="28"/>
          <w:szCs w:val="28"/>
          <w:lang w:val="uk-UA"/>
        </w:rPr>
        <w:t xml:space="preserve">рівняння </w:t>
      </w:r>
      <w:r w:rsidRPr="00D66988">
        <w:rPr>
          <w:rFonts w:ascii="Times New Roman" w:hAnsi="Times New Roman"/>
          <w:i/>
          <w:sz w:val="28"/>
          <w:szCs w:val="28"/>
          <w:lang w:val="en-US"/>
        </w:rPr>
        <w:t>Y</w:t>
      </w:r>
      <w:r w:rsidR="006A2BE5">
        <w:rPr>
          <w:rFonts w:ascii="Times New Roman" w:hAnsi="Times New Roman"/>
          <w:i/>
          <w:sz w:val="28"/>
          <w:szCs w:val="28"/>
        </w:rPr>
        <w:t> </w:t>
      </w:r>
      <w:r w:rsidRPr="00D66988">
        <w:rPr>
          <w:rFonts w:ascii="Times New Roman" w:hAnsi="Times New Roman"/>
          <w:i/>
          <w:sz w:val="28"/>
          <w:szCs w:val="28"/>
          <w:lang w:val="uk-UA"/>
        </w:rPr>
        <w:t>=</w:t>
      </w:r>
      <w:r w:rsidR="006A2BE5">
        <w:rPr>
          <w:rFonts w:ascii="Times New Roman" w:hAnsi="Times New Roman"/>
          <w:i/>
          <w:sz w:val="28"/>
          <w:szCs w:val="28"/>
          <w:lang w:val="uk-UA"/>
        </w:rPr>
        <w:t> </w:t>
      </w:r>
      <w:r w:rsidRPr="00D66988">
        <w:rPr>
          <w:rFonts w:ascii="Times New Roman" w:hAnsi="Times New Roman"/>
          <w:i/>
          <w:sz w:val="28"/>
          <w:szCs w:val="28"/>
          <w:lang w:val="uk-UA"/>
        </w:rPr>
        <w:t>а</w:t>
      </w:r>
      <w:r w:rsidRPr="00AF7F70">
        <w:rPr>
          <w:rFonts w:ascii="Times New Roman" w:hAnsi="Times New Roman"/>
          <w:i/>
          <w:sz w:val="28"/>
          <w:szCs w:val="28"/>
          <w:vertAlign w:val="subscript"/>
          <w:lang w:val="uk-UA"/>
        </w:rPr>
        <w:t>0</w:t>
      </w:r>
      <w:r w:rsidR="006A2BE5">
        <w:rPr>
          <w:rFonts w:ascii="Times New Roman" w:hAnsi="Times New Roman"/>
          <w:i/>
          <w:sz w:val="28"/>
          <w:szCs w:val="28"/>
          <w:lang w:val="uk-UA"/>
        </w:rPr>
        <w:t> </w:t>
      </w:r>
      <w:r w:rsidRPr="00D66988">
        <w:rPr>
          <w:rFonts w:ascii="Times New Roman" w:hAnsi="Times New Roman"/>
          <w:i/>
          <w:sz w:val="28"/>
          <w:szCs w:val="28"/>
          <w:lang w:val="uk-UA"/>
        </w:rPr>
        <w:t>+</w:t>
      </w:r>
      <w:r w:rsidR="006A2BE5">
        <w:rPr>
          <w:rFonts w:ascii="Times New Roman" w:hAnsi="Times New Roman"/>
          <w:i/>
          <w:sz w:val="28"/>
          <w:szCs w:val="28"/>
          <w:lang w:val="uk-UA"/>
        </w:rPr>
        <w:t> </w:t>
      </w:r>
      <w:r w:rsidRPr="00D66988">
        <w:rPr>
          <w:rFonts w:ascii="Times New Roman" w:hAnsi="Times New Roman"/>
          <w:i/>
          <w:sz w:val="28"/>
          <w:szCs w:val="28"/>
          <w:lang w:val="uk-UA"/>
        </w:rPr>
        <w:t>а</w:t>
      </w:r>
      <w:r w:rsidRPr="00AF7F70">
        <w:rPr>
          <w:rFonts w:ascii="Times New Roman" w:hAnsi="Times New Roman"/>
          <w:sz w:val="28"/>
          <w:szCs w:val="28"/>
          <w:vertAlign w:val="subscript"/>
          <w:lang w:val="uk-UA"/>
        </w:rPr>
        <w:t>1</w:t>
      </w:r>
      <w:r w:rsidR="006A2BE5">
        <w:rPr>
          <w:rFonts w:ascii="Times New Roman" w:hAnsi="Times New Roman"/>
          <w:i/>
          <w:sz w:val="28"/>
          <w:szCs w:val="28"/>
          <w:lang w:val="uk-UA"/>
        </w:rPr>
        <w:t> </w:t>
      </w:r>
      <w:r w:rsidRPr="00D66988">
        <w:rPr>
          <w:rFonts w:ascii="Times New Roman" w:hAnsi="Times New Roman"/>
          <w:i/>
          <w:sz w:val="28"/>
          <w:szCs w:val="28"/>
          <w:lang w:val="uk-UA"/>
        </w:rPr>
        <w:t>*</w:t>
      </w:r>
      <w:r w:rsidR="006A2BE5">
        <w:rPr>
          <w:rFonts w:ascii="Times New Roman" w:hAnsi="Times New Roman"/>
          <w:i/>
          <w:sz w:val="28"/>
          <w:szCs w:val="28"/>
          <w:lang w:val="uk-UA"/>
        </w:rPr>
        <w:t> </w:t>
      </w:r>
      <w:r w:rsidRPr="00D66988">
        <w:rPr>
          <w:rFonts w:ascii="Times New Roman" w:hAnsi="Times New Roman"/>
          <w:i/>
          <w:sz w:val="28"/>
          <w:szCs w:val="28"/>
          <w:lang w:val="uk-UA"/>
        </w:rPr>
        <w:t>Х</w:t>
      </w:r>
      <w:r w:rsidRPr="00CB0434">
        <w:rPr>
          <w:rFonts w:ascii="Times New Roman" w:hAnsi="Times New Roman"/>
          <w:sz w:val="28"/>
          <w:szCs w:val="28"/>
          <w:lang w:val="uk-UA"/>
        </w:rPr>
        <w:t xml:space="preserve"> дає можливість визначити узгоджені кількісні значення корисності інших значень критерію.</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 xml:space="preserve">Агрегування (згортання) отриманих зіставних оцінок переваги критеріїв та коефіцієнтів відносної важливості (ваг) критеріїв для кожного з варіантів </w:t>
      </w:r>
      <w:r w:rsidR="00DB1F48">
        <w:rPr>
          <w:rFonts w:ascii="Times New Roman" w:hAnsi="Times New Roman"/>
          <w:sz w:val="28"/>
          <w:szCs w:val="28"/>
          <w:lang w:val="uk-UA"/>
        </w:rPr>
        <w:t>проєк</w:t>
      </w:r>
      <w:r w:rsidRPr="00CB0434">
        <w:rPr>
          <w:rFonts w:ascii="Times New Roman" w:hAnsi="Times New Roman"/>
          <w:sz w:val="28"/>
          <w:szCs w:val="28"/>
          <w:lang w:val="uk-UA"/>
        </w:rPr>
        <w:t>ту здійснюється на основі наступного співвідношення:</w:t>
      </w:r>
    </w:p>
    <w:p w:rsidR="00363C28" w:rsidRPr="00CB0434"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lang w:val="en-US"/>
          </w:rPr>
          <m:t>Aj</m:t>
        </m:r>
        <m:r>
          <w:rPr>
            <w:rFonts w:ascii="Cambria Math" w:hAnsi="Cambria Math"/>
            <w:lang w:val="uk-UA"/>
          </w:rPr>
          <m:t>=</m:t>
        </m:r>
        <m:nary>
          <m:naryPr>
            <m:chr m:val="∑"/>
            <m:limLoc m:val="undOvr"/>
            <m:ctrlPr>
              <w:rPr>
                <w:rFonts w:ascii="Cambria Math" w:hAnsi="Cambria Math"/>
                <w:i/>
                <w:lang w:val="uk-UA"/>
              </w:rPr>
            </m:ctrlPr>
          </m:naryPr>
          <m:sub>
            <m:r>
              <w:rPr>
                <w:rFonts w:ascii="Cambria Math" w:hAnsi="Cambria Math"/>
                <w:lang w:val="uk-UA"/>
              </w:rPr>
              <m:t>i=1</m:t>
            </m:r>
          </m:sub>
          <m:sup>
            <m:r>
              <w:rPr>
                <w:rFonts w:ascii="Cambria Math" w:hAnsi="Cambria Math"/>
                <w:lang w:val="uk-UA"/>
              </w:rPr>
              <m:t>K</m:t>
            </m:r>
          </m:sup>
          <m:e>
            <m:sSub>
              <m:sSubPr>
                <m:ctrlPr>
                  <w:rPr>
                    <w:rFonts w:ascii="Cambria Math" w:hAnsi="Cambria Math"/>
                    <w:i/>
                    <w:lang w:val="uk-UA"/>
                  </w:rPr>
                </m:ctrlPr>
              </m:sSubPr>
              <m:e>
                <m:r>
                  <w:rPr>
                    <w:rFonts w:ascii="Cambria Math" w:hAnsi="Cambria Math"/>
                    <w:lang w:val="uk-UA"/>
                  </w:rPr>
                  <m:t>μ</m:t>
                </m:r>
              </m:e>
              <m:sub/>
            </m:sSub>
            <m:r>
              <w:rPr>
                <w:rFonts w:ascii="Cambria Math" w:hAnsi="Cambria Math"/>
                <w:lang w:val="uk-UA"/>
              </w:rPr>
              <m:t>coτij</m:t>
            </m:r>
          </m:e>
        </m:nary>
        <m:r>
          <w:rPr>
            <w:rFonts w:ascii="Cambria Math" w:hAnsi="Cambria Math"/>
            <w:lang w:val="uk-UA"/>
          </w:rPr>
          <m:t>*Kввi</m:t>
        </m:r>
      </m:oMath>
      <w:r w:rsidR="00363C28" w:rsidRPr="002A68CD">
        <w:rPr>
          <w:rFonts w:ascii="Times New Roman" w:hAnsi="Times New Roman"/>
          <w:sz w:val="28"/>
          <w:szCs w:val="28"/>
          <w:lang w:val="uk-UA"/>
        </w:rPr>
        <w:fldChar w:fldCharType="begin"/>
      </w:r>
      <w:r w:rsidR="00363C28" w:rsidRPr="002A68CD">
        <w:rPr>
          <w:rFonts w:ascii="Times New Roman" w:hAnsi="Times New Roman"/>
          <w:sz w:val="28"/>
          <w:szCs w:val="28"/>
          <w:lang w:val="uk-UA"/>
        </w:rPr>
        <w:instrText xml:space="preserve"> QUOTE </w:instrText>
      </w:r>
      <w:r w:rsidR="00466589" w:rsidRPr="0028566A">
        <w:rPr>
          <w:rFonts w:ascii="Cambria Math" w:hAnsi="Cambria Math"/>
          <w:lang w:val="en-US"/>
        </w:rPr>
        <w:instrText>Aj</w:instrText>
      </w:r>
      <w:r w:rsidR="00466589" w:rsidRPr="0028566A">
        <w:rPr>
          <w:rFonts w:ascii="Cambria Math" w:hAnsi="Cambria Math"/>
          <w:lang w:val="uk-UA"/>
        </w:rPr>
        <w:instrText>=</w:instrText>
      </w:r>
      <w:r w:rsidR="00466589" w:rsidRPr="000C3066">
        <w:rPr>
          <w:rFonts w:ascii="Cambria Math" w:hAnsi="Cambria Math"/>
          <w:lang w:val="uk-UA"/>
        </w:rPr>
        <w:instrText>i=1Kμcoτij</w:instrText>
      </w:r>
      <w:r w:rsidR="00466589" w:rsidRPr="0028566A">
        <w:rPr>
          <w:rFonts w:ascii="Cambria Math" w:hAnsi="Cambria Math"/>
          <w:lang w:val="uk-UA"/>
        </w:rPr>
        <w:instrText>*Koвi</w:instrText>
      </w:r>
      <w:r w:rsidR="00363C28" w:rsidRPr="002A68CD">
        <w:rPr>
          <w:rFonts w:ascii="Times New Roman" w:hAnsi="Times New Roman"/>
          <w:sz w:val="28"/>
          <w:szCs w:val="28"/>
          <w:lang w:val="uk-UA"/>
        </w:rPr>
        <w:instrText xml:space="preserve"> </w:instrText>
      </w:r>
      <w:r w:rsidR="00363C28" w:rsidRPr="002A68CD">
        <w:rPr>
          <w:rFonts w:ascii="Times New Roman" w:hAnsi="Times New Roman"/>
          <w:sz w:val="28"/>
          <w:szCs w:val="28"/>
          <w:lang w:val="uk-UA"/>
        </w:rPr>
        <w:fldChar w:fldCharType="end"/>
      </w:r>
      <w:r w:rsidR="00363C28"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w:p>
    <w:p w:rsidR="00363C28" w:rsidRPr="002A68CD" w:rsidRDefault="00363C28" w:rsidP="00363C28">
      <w:pPr>
        <w:spacing w:after="0" w:line="360" w:lineRule="auto"/>
        <w:ind w:firstLine="709"/>
        <w:jc w:val="both"/>
        <w:rPr>
          <w:rFonts w:ascii="Times New Roman" w:hAnsi="Times New Roman"/>
          <w:sz w:val="28"/>
          <w:szCs w:val="28"/>
        </w:rPr>
      </w:pPr>
      <w:r w:rsidRPr="00D66988">
        <w:rPr>
          <w:rFonts w:ascii="Times New Roman" w:hAnsi="Times New Roman"/>
          <w:i/>
          <w:sz w:val="28"/>
          <w:szCs w:val="28"/>
          <w:lang w:val="uk-UA"/>
        </w:rPr>
        <w:t>А</w:t>
      </w:r>
      <w:r w:rsidRPr="00D66988">
        <w:rPr>
          <w:rFonts w:ascii="Times New Roman" w:hAnsi="Times New Roman"/>
          <w:i/>
          <w:sz w:val="28"/>
          <w:szCs w:val="28"/>
          <w:lang w:val="en-US"/>
        </w:rPr>
        <w:t>j</w:t>
      </w:r>
      <w:r w:rsidR="00DB1F48">
        <w:rPr>
          <w:rFonts w:ascii="Times New Roman" w:hAnsi="Times New Roman"/>
          <w:sz w:val="28"/>
          <w:szCs w:val="28"/>
          <w:lang w:val="uk-UA"/>
        </w:rPr>
        <w:t xml:space="preserve"> – </w:t>
      </w:r>
      <w:r w:rsidRPr="00CB0434">
        <w:rPr>
          <w:rFonts w:ascii="Times New Roman" w:hAnsi="Times New Roman"/>
          <w:sz w:val="28"/>
          <w:szCs w:val="28"/>
          <w:lang w:val="uk-UA"/>
        </w:rPr>
        <w:t>агрегована перевага варіанту вибору</w:t>
      </w:r>
      <w:r w:rsidRPr="002A68CD">
        <w:rPr>
          <w:rFonts w:ascii="Times New Roman" w:hAnsi="Times New Roman"/>
          <w:sz w:val="28"/>
          <w:szCs w:val="28"/>
        </w:rPr>
        <w:t>;</w:t>
      </w:r>
    </w:p>
    <w:p w:rsidR="00363C28" w:rsidRDefault="00363C28" w:rsidP="00363C28">
      <w:pPr>
        <w:spacing w:after="0" w:line="360" w:lineRule="auto"/>
        <w:ind w:firstLine="709"/>
        <w:jc w:val="both"/>
        <w:rPr>
          <w:rFonts w:ascii="Times New Roman" w:hAnsi="Times New Roman"/>
          <w:sz w:val="28"/>
          <w:szCs w:val="28"/>
          <w:lang w:val="uk-UA"/>
        </w:rPr>
      </w:pPr>
      <w:r w:rsidRPr="00D66988">
        <w:rPr>
          <w:rFonts w:ascii="Times New Roman" w:hAnsi="Times New Roman"/>
          <w:i/>
          <w:sz w:val="28"/>
          <w:szCs w:val="28"/>
          <w:lang w:val="en-US"/>
        </w:rPr>
        <w:t>K</w:t>
      </w:r>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число критеріїв, за якими оцінюються варіанти вибору; </w:t>
      </w:r>
    </w:p>
    <w:p w:rsidR="00363C28" w:rsidRPr="00CB0434"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lang w:val="uk-UA"/>
          </w:rPr>
          <m:t>μcoτij</m:t>
        </m:r>
      </m:oMath>
      <w:r w:rsidR="00DB1F48">
        <w:rPr>
          <w:rFonts w:ascii="Times New Roman" w:hAnsi="Times New Roman"/>
          <w:sz w:val="28"/>
          <w:szCs w:val="28"/>
          <w:lang w:val="uk-UA"/>
        </w:rPr>
        <w:t xml:space="preserve"> – </w:t>
      </w:r>
      <w:r w:rsidR="00363C28" w:rsidRPr="00CB0434">
        <w:rPr>
          <w:rFonts w:ascii="Times New Roman" w:hAnsi="Times New Roman"/>
          <w:sz w:val="28"/>
          <w:szCs w:val="28"/>
          <w:lang w:val="uk-UA"/>
        </w:rPr>
        <w:t xml:space="preserve">значення узгодженої кількісної шкали критерію </w:t>
      </w:r>
      <w:r w:rsidR="006A2BE5" w:rsidRPr="00AF7F70">
        <w:rPr>
          <w:rFonts w:ascii="Times New Roman" w:hAnsi="Times New Roman"/>
          <w:i/>
          <w:sz w:val="28"/>
          <w:szCs w:val="28"/>
          <w:lang w:val="en-US"/>
        </w:rPr>
        <w:t>i</w:t>
      </w:r>
      <w:r w:rsidR="00363C28" w:rsidRPr="00CB0434">
        <w:rPr>
          <w:rFonts w:ascii="Times New Roman" w:hAnsi="Times New Roman"/>
          <w:sz w:val="28"/>
          <w:szCs w:val="28"/>
          <w:lang w:val="uk-UA"/>
        </w:rPr>
        <w:t xml:space="preserve"> для варіанту вибору); </w:t>
      </w:r>
    </w:p>
    <w:p w:rsidR="00363C28" w:rsidRPr="00CB0434"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lang w:val="uk-UA"/>
          </w:rPr>
          <m:t>Kвв</m:t>
        </m:r>
        <m:r>
          <w:rPr>
            <w:rFonts w:ascii="Cambria Math" w:hAnsi="Cambria Math"/>
            <w:lang w:val="en-US"/>
          </w:rPr>
          <m:t>i</m:t>
        </m:r>
      </m:oMath>
      <w:r w:rsidR="00DB1F48">
        <w:rPr>
          <w:rFonts w:ascii="Times New Roman" w:hAnsi="Times New Roman"/>
          <w:sz w:val="28"/>
          <w:szCs w:val="28"/>
          <w:lang w:val="uk-UA"/>
        </w:rPr>
        <w:t xml:space="preserve"> – </w:t>
      </w:r>
      <w:r w:rsidR="006A2BE5">
        <w:rPr>
          <w:rFonts w:ascii="Times New Roman" w:hAnsi="Times New Roman"/>
          <w:sz w:val="28"/>
          <w:szCs w:val="28"/>
          <w:lang w:val="uk-UA"/>
        </w:rPr>
        <w:t>к</w:t>
      </w:r>
      <w:r w:rsidR="00363C28" w:rsidRPr="00CB0434">
        <w:rPr>
          <w:rFonts w:ascii="Times New Roman" w:hAnsi="Times New Roman"/>
          <w:sz w:val="28"/>
          <w:szCs w:val="28"/>
          <w:lang w:val="uk-UA"/>
        </w:rPr>
        <w:t>оефіцієнт відносної важливості критерію</w:t>
      </w:r>
      <w:r w:rsidR="006A2BE5">
        <w:rPr>
          <w:rFonts w:ascii="Times New Roman" w:hAnsi="Times New Roman"/>
          <w:sz w:val="28"/>
          <w:szCs w:val="28"/>
          <w:lang w:val="uk-UA"/>
        </w:rPr>
        <w:t xml:space="preserve"> </w:t>
      </w:r>
      <w:r w:rsidR="006A2BE5" w:rsidRPr="00AF7F70">
        <w:rPr>
          <w:rFonts w:ascii="Times New Roman" w:hAnsi="Times New Roman"/>
          <w:i/>
          <w:sz w:val="28"/>
          <w:szCs w:val="28"/>
          <w:lang w:val="en-US"/>
        </w:rPr>
        <w:t>i</w:t>
      </w:r>
      <w:r w:rsidR="006A2BE5">
        <w:rPr>
          <w:rFonts w:ascii="Times New Roman" w:hAnsi="Times New Roman"/>
          <w:sz w:val="28"/>
          <w:szCs w:val="28"/>
          <w:lang w:val="uk-UA"/>
        </w:rPr>
        <w:t>.</w:t>
      </w:r>
    </w:p>
    <w:p w:rsidR="00363C28" w:rsidRPr="00816BAD"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Отримані на </w:t>
      </w:r>
      <w:r w:rsidRPr="00816BAD">
        <w:rPr>
          <w:rFonts w:ascii="Times New Roman" w:hAnsi="Times New Roman"/>
          <w:sz w:val="28"/>
          <w:szCs w:val="28"/>
          <w:lang w:val="uk-UA"/>
        </w:rPr>
        <w:t xml:space="preserve">підставі даного співвідношення агреговані значення переваг ОПР дозволяють упорядкувати варіанти вибору </w:t>
      </w:r>
      <w:r w:rsidR="00DB1F48" w:rsidRPr="00816BAD">
        <w:rPr>
          <w:rFonts w:ascii="Times New Roman" w:hAnsi="Times New Roman"/>
          <w:sz w:val="28"/>
          <w:szCs w:val="28"/>
          <w:lang w:val="uk-UA"/>
        </w:rPr>
        <w:t>проєк</w:t>
      </w:r>
      <w:r w:rsidRPr="00816BAD">
        <w:rPr>
          <w:rFonts w:ascii="Times New Roman" w:hAnsi="Times New Roman"/>
          <w:sz w:val="28"/>
          <w:szCs w:val="28"/>
          <w:lang w:val="uk-UA"/>
        </w:rPr>
        <w:t xml:space="preserve">тів </w:t>
      </w:r>
      <w:r w:rsidR="00271089" w:rsidRPr="00816BAD">
        <w:rPr>
          <w:rFonts w:ascii="Times New Roman" w:hAnsi="Times New Roman"/>
          <w:sz w:val="28"/>
          <w:szCs w:val="28"/>
          <w:lang w:val="uk-UA"/>
        </w:rPr>
        <w:t xml:space="preserve">з </w:t>
      </w:r>
      <w:r w:rsidR="00271089" w:rsidRPr="00816BAD">
        <w:rPr>
          <w:rStyle w:val="docdata"/>
          <w:rFonts w:ascii="Times New Roman" w:eastAsia="Aptos" w:hAnsi="Times New Roman"/>
          <w:color w:val="000000"/>
          <w:kern w:val="2"/>
          <w:sz w:val="28"/>
          <w:szCs w:val="28"/>
          <w:lang w:val="uk-UA"/>
        </w:rPr>
        <w:t>інвестиційної привабливості</w:t>
      </w:r>
      <w:r w:rsidR="00271089" w:rsidRPr="00816BAD">
        <w:rPr>
          <w:rFonts w:ascii="Times New Roman" w:hAnsi="Times New Roman"/>
          <w:sz w:val="28"/>
          <w:szCs w:val="28"/>
          <w:lang w:val="uk-UA"/>
        </w:rPr>
        <w:t xml:space="preserve"> </w:t>
      </w:r>
      <w:r w:rsidRPr="00816BAD">
        <w:rPr>
          <w:rFonts w:ascii="Times New Roman" w:hAnsi="Times New Roman"/>
          <w:sz w:val="28"/>
          <w:szCs w:val="28"/>
          <w:lang w:val="uk-UA"/>
        </w:rPr>
        <w:t xml:space="preserve">і здійснити вибір </w:t>
      </w:r>
      <w:r w:rsidR="006A2BE5" w:rsidRPr="00816BAD">
        <w:rPr>
          <w:rFonts w:ascii="Times New Roman" w:hAnsi="Times New Roman"/>
          <w:sz w:val="28"/>
          <w:szCs w:val="28"/>
          <w:lang w:val="uk-UA"/>
        </w:rPr>
        <w:t>най</w:t>
      </w:r>
      <w:r w:rsidRPr="00816BAD">
        <w:rPr>
          <w:rFonts w:ascii="Times New Roman" w:hAnsi="Times New Roman"/>
          <w:sz w:val="28"/>
          <w:szCs w:val="28"/>
          <w:lang w:val="uk-UA"/>
        </w:rPr>
        <w:t>кращого з позиції ОПР варіанта.</w:t>
      </w:r>
    </w:p>
    <w:p w:rsidR="00363C28" w:rsidRPr="00CB0434" w:rsidRDefault="00363C28" w:rsidP="00363C28">
      <w:pPr>
        <w:spacing w:after="0" w:line="360" w:lineRule="auto"/>
        <w:ind w:firstLine="709"/>
        <w:jc w:val="both"/>
        <w:rPr>
          <w:rFonts w:ascii="Times New Roman" w:hAnsi="Times New Roman"/>
          <w:sz w:val="28"/>
          <w:szCs w:val="28"/>
          <w:lang w:val="uk-UA"/>
        </w:rPr>
      </w:pPr>
      <w:r w:rsidRPr="00816BAD">
        <w:rPr>
          <w:rFonts w:ascii="Times New Roman" w:hAnsi="Times New Roman"/>
          <w:sz w:val="28"/>
          <w:szCs w:val="28"/>
          <w:lang w:val="uk-UA"/>
        </w:rPr>
        <w:t xml:space="preserve">Як уже зазначалося вище, будь-який </w:t>
      </w:r>
      <w:r w:rsidR="00DB1F48" w:rsidRPr="00816BAD">
        <w:rPr>
          <w:rFonts w:ascii="Times New Roman" w:hAnsi="Times New Roman"/>
          <w:sz w:val="28"/>
          <w:szCs w:val="28"/>
          <w:lang w:val="uk-UA"/>
        </w:rPr>
        <w:t>проєк</w:t>
      </w:r>
      <w:r w:rsidRPr="00816BAD">
        <w:rPr>
          <w:rFonts w:ascii="Times New Roman" w:hAnsi="Times New Roman"/>
          <w:sz w:val="28"/>
          <w:szCs w:val="28"/>
          <w:lang w:val="uk-UA"/>
        </w:rPr>
        <w:t xml:space="preserve">т </w:t>
      </w:r>
      <w:r w:rsidR="00271089" w:rsidRPr="00816BAD">
        <w:rPr>
          <w:rFonts w:ascii="Times New Roman" w:hAnsi="Times New Roman"/>
          <w:sz w:val="28"/>
          <w:szCs w:val="28"/>
          <w:lang w:val="uk-UA"/>
        </w:rPr>
        <w:t xml:space="preserve">з </w:t>
      </w:r>
      <w:r w:rsidR="00271089" w:rsidRPr="00816BAD">
        <w:rPr>
          <w:rStyle w:val="docdata"/>
          <w:rFonts w:ascii="Times New Roman" w:eastAsia="Aptos" w:hAnsi="Times New Roman"/>
          <w:color w:val="000000"/>
          <w:kern w:val="2"/>
          <w:sz w:val="28"/>
          <w:szCs w:val="28"/>
          <w:lang w:val="uk-UA"/>
        </w:rPr>
        <w:t>інвестиційної привабливості</w:t>
      </w:r>
      <w:r w:rsidR="00271089" w:rsidRPr="00816BAD">
        <w:rPr>
          <w:rFonts w:ascii="Times New Roman" w:hAnsi="Times New Roman"/>
          <w:sz w:val="28"/>
          <w:szCs w:val="28"/>
          <w:lang w:val="uk-UA"/>
        </w:rPr>
        <w:t xml:space="preserve"> </w:t>
      </w:r>
      <w:r w:rsidR="00336F0C">
        <w:rPr>
          <w:rFonts w:ascii="Times New Roman" w:hAnsi="Times New Roman"/>
          <w:sz w:val="28"/>
          <w:szCs w:val="28"/>
          <w:lang w:val="uk-UA"/>
        </w:rPr>
        <w:t>пов’</w:t>
      </w:r>
      <w:r w:rsidRPr="00816BAD">
        <w:rPr>
          <w:rFonts w:ascii="Times New Roman" w:hAnsi="Times New Roman"/>
          <w:sz w:val="28"/>
          <w:szCs w:val="28"/>
          <w:lang w:val="uk-UA"/>
        </w:rPr>
        <w:t>язаний з</w:t>
      </w:r>
      <w:r w:rsidRPr="00816BAD">
        <w:rPr>
          <w:rFonts w:ascii="Times New Roman" w:hAnsi="Times New Roman"/>
          <w:sz w:val="28"/>
          <w:szCs w:val="28"/>
        </w:rPr>
        <w:t xml:space="preserve"> </w:t>
      </w:r>
      <w:r w:rsidRPr="00816BAD">
        <w:rPr>
          <w:rFonts w:ascii="Times New Roman" w:hAnsi="Times New Roman"/>
          <w:sz w:val="28"/>
          <w:szCs w:val="28"/>
          <w:lang w:val="uk-UA"/>
        </w:rPr>
        <w:t>певним ризиком, який у свою чергу може мати різний вираз і відповідно вимір</w:t>
      </w:r>
      <w:r w:rsidRPr="00CB0434">
        <w:rPr>
          <w:rFonts w:ascii="Times New Roman" w:hAnsi="Times New Roman"/>
          <w:sz w:val="28"/>
          <w:szCs w:val="28"/>
          <w:lang w:val="uk-UA"/>
        </w:rPr>
        <w:t>.</w:t>
      </w:r>
      <w:r w:rsidRPr="002A68CD">
        <w:rPr>
          <w:rFonts w:ascii="Times New Roman" w:hAnsi="Times New Roman"/>
          <w:sz w:val="28"/>
          <w:szCs w:val="28"/>
        </w:rPr>
        <w:t xml:space="preserve"> </w:t>
      </w:r>
      <w:r w:rsidRPr="00CB0434">
        <w:rPr>
          <w:rFonts w:ascii="Times New Roman" w:hAnsi="Times New Roman"/>
          <w:sz w:val="28"/>
          <w:szCs w:val="28"/>
          <w:lang w:val="uk-UA"/>
        </w:rPr>
        <w:t>Від того, наскільки правильно оцінено ступінь ризикованості інвестицій, багато в чому залежить їх ефективність.</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Ризик, пов’</w:t>
      </w:r>
      <w:r w:rsidR="00363C28" w:rsidRPr="00CB0434">
        <w:rPr>
          <w:rFonts w:ascii="Times New Roman" w:hAnsi="Times New Roman"/>
          <w:sz w:val="28"/>
          <w:szCs w:val="28"/>
          <w:lang w:val="uk-UA"/>
        </w:rPr>
        <w:t xml:space="preserve">язаний із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том, характеризуєть</w:t>
      </w:r>
      <w:r>
        <w:rPr>
          <w:rFonts w:ascii="Times New Roman" w:hAnsi="Times New Roman"/>
          <w:sz w:val="28"/>
          <w:szCs w:val="28"/>
          <w:lang w:val="uk-UA"/>
        </w:rPr>
        <w:t>ся трьома факторами: подія, пов’</w:t>
      </w:r>
      <w:r w:rsidR="00363C28" w:rsidRPr="00CB0434">
        <w:rPr>
          <w:rFonts w:ascii="Times New Roman" w:hAnsi="Times New Roman"/>
          <w:sz w:val="28"/>
          <w:szCs w:val="28"/>
          <w:lang w:val="uk-UA"/>
        </w:rPr>
        <w:t>язана з ризиком; ймовірність ризику; сума, що наражається на ризик. Щоб кількісно оцінити ризик, необхідно знати всі можливі наслідки прийнятого рішення та ймовірність наслідків цього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eastAsia="Times New Roman" w:hAnsi="Times New Roman"/>
          <w:sz w:val="28"/>
          <w:szCs w:val="28"/>
          <w:lang w:val="uk-UA"/>
        </w:rPr>
        <w:t>Поняття визначеності, невизначеності та ризику різняться між собою. Імовірнісний інструментарій дозволяє чіткіше розмежувати їх. Відповідно до цього, в теорії прийняття рішень виділяються три типи моделей [70]:</w:t>
      </w:r>
      <w:r w:rsidRPr="005670E0">
        <w:rPr>
          <w:lang w:val="uk-UA"/>
        </w:rPr>
        <w:t xml:space="preserve"> </w:t>
      </w:r>
      <w:r w:rsidRPr="005670E0">
        <w:rPr>
          <w:rFonts w:ascii="Times New Roman" w:eastAsia="Times New Roman" w:hAnsi="Times New Roman"/>
          <w:sz w:val="28"/>
          <w:szCs w:val="28"/>
          <w:lang w:val="uk-UA"/>
        </w:rPr>
        <w:t>[113]</w:t>
      </w:r>
      <w:r w:rsidRPr="005670E0">
        <w:rPr>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1. Прийняття рішень в умовах визначеності</w:t>
      </w:r>
      <w:r w:rsidR="00DB1F48">
        <w:rPr>
          <w:rFonts w:ascii="Times New Roman" w:hAnsi="Times New Roman"/>
          <w:sz w:val="28"/>
          <w:szCs w:val="28"/>
          <w:lang w:val="uk-UA"/>
        </w:rPr>
        <w:t xml:space="preserve"> – </w:t>
      </w:r>
      <w:r w:rsidRPr="00CB0434">
        <w:rPr>
          <w:rFonts w:ascii="Times New Roman" w:hAnsi="Times New Roman"/>
          <w:sz w:val="28"/>
          <w:szCs w:val="28"/>
          <w:lang w:val="uk-UA"/>
        </w:rPr>
        <w:t>особа, яка приймає рішення (</w:t>
      </w:r>
      <w:r>
        <w:rPr>
          <w:rFonts w:ascii="Times New Roman" w:hAnsi="Times New Roman"/>
          <w:sz w:val="28"/>
          <w:szCs w:val="28"/>
          <w:lang w:val="uk-UA"/>
        </w:rPr>
        <w:t>ОПР</w:t>
      </w:r>
      <w:r w:rsidRPr="00CB0434">
        <w:rPr>
          <w:rFonts w:ascii="Times New Roman" w:hAnsi="Times New Roman"/>
          <w:sz w:val="28"/>
          <w:szCs w:val="28"/>
          <w:lang w:val="uk-UA"/>
        </w:rPr>
        <w:t>) точно знає наслідки та результати будь-якої альтернативи чи вибору рішення. Ця модель нереалістична у разі ухвалення рішення про довгострокове вкладення капіталу.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2. Прийняття рішень за умов ризику</w:t>
      </w:r>
      <w:r w:rsidR="00DB1F48">
        <w:rPr>
          <w:rFonts w:ascii="Times New Roman" w:hAnsi="Times New Roman"/>
          <w:sz w:val="28"/>
          <w:szCs w:val="28"/>
          <w:lang w:val="uk-UA"/>
        </w:rPr>
        <w:t xml:space="preserve"> – </w:t>
      </w:r>
      <w:r>
        <w:rPr>
          <w:rFonts w:ascii="Times New Roman" w:hAnsi="Times New Roman"/>
          <w:sz w:val="28"/>
          <w:szCs w:val="28"/>
          <w:lang w:val="uk-UA"/>
        </w:rPr>
        <w:t>ОПР</w:t>
      </w:r>
      <w:r w:rsidRPr="00CB0434">
        <w:rPr>
          <w:rFonts w:ascii="Times New Roman" w:hAnsi="Times New Roman"/>
          <w:sz w:val="28"/>
          <w:szCs w:val="28"/>
          <w:lang w:val="uk-UA"/>
        </w:rPr>
        <w:t xml:space="preserve"> знає ймовірності настання результатів чи наслідків кожному за рішення.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3. Ухвалення рішення в умовах невизначеності</w:t>
      </w:r>
      <w:r w:rsidR="00DB1F48">
        <w:rPr>
          <w:rFonts w:ascii="Times New Roman" w:hAnsi="Times New Roman"/>
          <w:sz w:val="28"/>
          <w:szCs w:val="28"/>
          <w:lang w:val="uk-UA"/>
        </w:rPr>
        <w:t xml:space="preserve"> – </w:t>
      </w:r>
      <w:r>
        <w:rPr>
          <w:rFonts w:ascii="Times New Roman" w:hAnsi="Times New Roman"/>
          <w:sz w:val="28"/>
          <w:szCs w:val="28"/>
          <w:lang w:val="uk-UA"/>
        </w:rPr>
        <w:t>ОПР</w:t>
      </w:r>
      <w:r w:rsidRPr="00CB0434">
        <w:rPr>
          <w:rFonts w:ascii="Times New Roman" w:hAnsi="Times New Roman"/>
          <w:sz w:val="28"/>
          <w:szCs w:val="28"/>
          <w:lang w:val="uk-UA"/>
        </w:rPr>
        <w:t xml:space="preserve"> не знає ймовірності настання результатів для кожного рішення.</w:t>
      </w:r>
    </w:p>
    <w:p w:rsidR="00363C28"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Ризик має математично виражену ймовірність настання втрати, яка спирається на статистичні дані та може бути розрахована. Щоб кількісно визначити величину ризику, необхідно знати всі можливі наслідки якоїсь окремої дії та ймовірність самих наслідків</w:t>
      </w:r>
      <w:r w:rsidR="000A5361" w:rsidRPr="000A5361">
        <w:rPr>
          <w:rFonts w:ascii="Times New Roman" w:hAnsi="Times New Roman"/>
          <w:sz w:val="28"/>
          <w:szCs w:val="28"/>
          <w:lang w:val="uk-UA"/>
        </w:rPr>
        <w:t xml:space="preserve"> </w:t>
      </w:r>
      <w:r w:rsidR="000A5361" w:rsidRPr="000A5361">
        <w:rPr>
          <w:rFonts w:ascii="Times New Roman" w:eastAsia="Times New Roman" w:hAnsi="Times New Roman"/>
          <w:sz w:val="28"/>
          <w:szCs w:val="28"/>
          <w:lang w:val="uk-UA"/>
        </w:rPr>
        <w:t>[82, c. 126]</w:t>
      </w:r>
      <w:r w:rsidRPr="00CB0434">
        <w:rPr>
          <w:rFonts w:ascii="Times New Roman" w:hAnsi="Times New Roman"/>
          <w:sz w:val="28"/>
          <w:szCs w:val="28"/>
          <w:lang w:val="uk-UA"/>
        </w:rPr>
        <w:t xml:space="preserve">. Імовірність означає можливість отримання певного результату. Стосовно економічних завдань методи теорії ймовірності зводяться до визначення значень ймовірності настання подій і вибору з можливих подій </w:t>
      </w:r>
      <w:r w:rsidR="00CE7F94">
        <w:rPr>
          <w:rFonts w:ascii="Times New Roman" w:hAnsi="Times New Roman"/>
          <w:sz w:val="28"/>
          <w:szCs w:val="28"/>
          <w:lang w:val="uk-UA"/>
        </w:rPr>
        <w:t>най</w:t>
      </w:r>
      <w:r w:rsidRPr="00CB0434">
        <w:rPr>
          <w:rFonts w:ascii="Times New Roman" w:hAnsi="Times New Roman"/>
          <w:sz w:val="28"/>
          <w:szCs w:val="28"/>
          <w:lang w:val="uk-UA"/>
        </w:rPr>
        <w:t>кращо</w:t>
      </w:r>
      <w:r w:rsidR="00CE7F94">
        <w:rPr>
          <w:rFonts w:ascii="Times New Roman" w:hAnsi="Times New Roman"/>
          <w:sz w:val="28"/>
          <w:szCs w:val="28"/>
          <w:lang w:val="uk-UA"/>
        </w:rPr>
        <w:t>ї</w:t>
      </w:r>
      <w:r w:rsidRPr="00CB0434">
        <w:rPr>
          <w:rFonts w:ascii="Times New Roman" w:hAnsi="Times New Roman"/>
          <w:sz w:val="28"/>
          <w:szCs w:val="28"/>
          <w:lang w:val="uk-UA"/>
        </w:rPr>
        <w:t xml:space="preserve"> події</w:t>
      </w:r>
      <w:r w:rsidR="00CE7F94">
        <w:rPr>
          <w:rFonts w:ascii="Times New Roman" w:hAnsi="Times New Roman"/>
          <w:sz w:val="28"/>
          <w:szCs w:val="28"/>
          <w:lang w:val="uk-UA"/>
        </w:rPr>
        <w:t>,</w:t>
      </w:r>
      <w:r w:rsidRPr="00CB0434">
        <w:rPr>
          <w:rFonts w:ascii="Times New Roman" w:hAnsi="Times New Roman"/>
          <w:sz w:val="28"/>
          <w:szCs w:val="28"/>
          <w:lang w:val="uk-UA"/>
        </w:rPr>
        <w:t xml:space="preserve"> виходячи з найбільшої величини математичного очікування.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Інакше висловлюючись, математичне очікування будь-яко</w:t>
      </w:r>
      <w:r w:rsidR="00CE7F94">
        <w:rPr>
          <w:rFonts w:ascii="Times New Roman" w:hAnsi="Times New Roman"/>
          <w:sz w:val="28"/>
          <w:szCs w:val="28"/>
          <w:lang w:val="uk-UA"/>
        </w:rPr>
        <w:t>ї</w:t>
      </w:r>
      <w:r w:rsidRPr="00CB0434">
        <w:rPr>
          <w:rFonts w:ascii="Times New Roman" w:hAnsi="Times New Roman"/>
          <w:sz w:val="28"/>
          <w:szCs w:val="28"/>
          <w:lang w:val="uk-UA"/>
        </w:rPr>
        <w:t xml:space="preserve"> події дорівнює абсолютн</w:t>
      </w:r>
      <w:r w:rsidR="00CE7F94">
        <w:rPr>
          <w:rFonts w:ascii="Times New Roman" w:hAnsi="Times New Roman"/>
          <w:sz w:val="28"/>
          <w:szCs w:val="28"/>
          <w:lang w:val="uk-UA"/>
        </w:rPr>
        <w:t>ій</w:t>
      </w:r>
      <w:r w:rsidRPr="00CB0434">
        <w:rPr>
          <w:rFonts w:ascii="Times New Roman" w:hAnsi="Times New Roman"/>
          <w:sz w:val="28"/>
          <w:szCs w:val="28"/>
          <w:lang w:val="uk-UA"/>
        </w:rPr>
        <w:t xml:space="preserve"> величині цієї події, помножен</w:t>
      </w:r>
      <w:r w:rsidR="00CE7F94">
        <w:rPr>
          <w:rFonts w:ascii="Times New Roman" w:hAnsi="Times New Roman"/>
          <w:sz w:val="28"/>
          <w:szCs w:val="28"/>
          <w:lang w:val="uk-UA"/>
        </w:rPr>
        <w:t>ій на</w:t>
      </w:r>
      <w:r w:rsidRPr="00CB0434">
        <w:rPr>
          <w:rFonts w:ascii="Times New Roman" w:hAnsi="Times New Roman"/>
          <w:sz w:val="28"/>
          <w:szCs w:val="28"/>
          <w:lang w:val="uk-UA"/>
        </w:rPr>
        <w:t xml:space="preserve"> ймовірність </w:t>
      </w:r>
      <w:r w:rsidR="00CE7F94">
        <w:rPr>
          <w:rFonts w:ascii="Times New Roman" w:hAnsi="Times New Roman"/>
          <w:sz w:val="28"/>
          <w:szCs w:val="28"/>
          <w:lang w:val="uk-UA"/>
        </w:rPr>
        <w:t>її</w:t>
      </w:r>
      <w:r w:rsidRPr="00CB0434">
        <w:rPr>
          <w:rFonts w:ascii="Times New Roman" w:hAnsi="Times New Roman"/>
          <w:sz w:val="28"/>
          <w:szCs w:val="28"/>
          <w:lang w:val="uk-UA"/>
        </w:rPr>
        <w:t xml:space="preserve"> </w:t>
      </w:r>
      <w:r w:rsidR="00CE7F94">
        <w:rPr>
          <w:rFonts w:ascii="Times New Roman" w:hAnsi="Times New Roman"/>
          <w:sz w:val="28"/>
          <w:szCs w:val="28"/>
          <w:lang w:val="uk-UA"/>
        </w:rPr>
        <w:t>настання</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У загальному випадку величина ризику (ступінь ризику) вимірюється двома критеріями:</w:t>
      </w:r>
    </w:p>
    <w:p w:rsidR="00363C28" w:rsidRPr="00CB0434" w:rsidRDefault="00336F0C" w:rsidP="00336F0C">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середньоочікуван</w:t>
      </w:r>
      <w:r w:rsidR="00CE7F94">
        <w:rPr>
          <w:rFonts w:ascii="Times New Roman" w:hAnsi="Times New Roman"/>
          <w:sz w:val="28"/>
          <w:szCs w:val="28"/>
          <w:lang w:val="uk-UA"/>
        </w:rPr>
        <w:t>е</w:t>
      </w:r>
      <w:r w:rsidR="00363C28" w:rsidRPr="00CB0434">
        <w:rPr>
          <w:rFonts w:ascii="Times New Roman" w:hAnsi="Times New Roman"/>
          <w:sz w:val="28"/>
          <w:szCs w:val="28"/>
          <w:lang w:val="uk-UA"/>
        </w:rPr>
        <w:t xml:space="preserve"> значення результату;</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коливання (мінливість) можливого результату.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Найчастіше використовуваний показник </w:t>
      </w:r>
      <w:r w:rsidR="00CE7F94">
        <w:rPr>
          <w:rFonts w:ascii="Times New Roman" w:hAnsi="Times New Roman"/>
          <w:sz w:val="28"/>
          <w:szCs w:val="28"/>
          <w:lang w:val="uk-UA"/>
        </w:rPr>
        <w:t>–</w:t>
      </w:r>
      <w:r w:rsidRPr="00CB0434">
        <w:rPr>
          <w:rFonts w:ascii="Times New Roman" w:hAnsi="Times New Roman"/>
          <w:sz w:val="28"/>
          <w:szCs w:val="28"/>
          <w:lang w:val="uk-UA"/>
        </w:rPr>
        <w:t xml:space="preserve"> середня арифметична, яка визначається за такою формулою:</w:t>
      </w:r>
    </w:p>
    <w:p w:rsidR="00363C28" w:rsidRDefault="00EB5B4E" w:rsidP="00363C28">
      <w:pPr>
        <w:spacing w:after="0" w:line="360" w:lineRule="auto"/>
        <w:ind w:firstLine="709"/>
        <w:jc w:val="both"/>
        <w:rPr>
          <w:rFonts w:ascii="Times New Roman" w:hAnsi="Times New Roman"/>
          <w:sz w:val="28"/>
          <w:szCs w:val="28"/>
          <w:lang w:val="uk-UA"/>
        </w:rPr>
      </w:pPr>
      <m:oMath>
        <m:acc>
          <m:accPr>
            <m:chr m:val="̅"/>
            <m:ctrlPr>
              <w:rPr>
                <w:rFonts w:ascii="Cambria Math" w:hAnsi="Cambria Math"/>
                <w:i/>
                <w:sz w:val="28"/>
                <w:szCs w:val="28"/>
                <w:lang w:val="uk-UA" w:eastAsia="ru-RU"/>
              </w:rPr>
            </m:ctrlPr>
          </m:accPr>
          <m:e>
            <m:r>
              <w:rPr>
                <w:rFonts w:ascii="Cambria Math" w:hAnsi="Cambria Math"/>
                <w:sz w:val="28"/>
                <w:szCs w:val="28"/>
                <w:lang w:val="uk-UA"/>
              </w:rPr>
              <m:t>X</m:t>
            </m:r>
          </m:e>
        </m:acc>
        <m:r>
          <w:rPr>
            <w:rFonts w:ascii="Cambria Math" w:hAnsi="Cambria Math"/>
            <w:sz w:val="28"/>
            <w:szCs w:val="28"/>
            <w:lang w:val="uk-UA"/>
          </w:rPr>
          <m:t>=</m:t>
        </m:r>
        <m:f>
          <m:fPr>
            <m:ctrlPr>
              <w:rPr>
                <w:rFonts w:ascii="Cambria Math" w:hAnsi="Cambria Math"/>
                <w:i/>
                <w:sz w:val="28"/>
                <w:szCs w:val="28"/>
                <w:lang w:val="uk-UA"/>
              </w:rPr>
            </m:ctrlPr>
          </m:fPr>
          <m:num>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i=1</m:t>
                </m:r>
              </m:sub>
              <m:sup>
                <m:r>
                  <w:rPr>
                    <w:rFonts w:ascii="Cambria Math" w:hAnsi="Cambria Math"/>
                    <w:sz w:val="28"/>
                    <w:szCs w:val="28"/>
                    <w:lang w:val="uk-UA"/>
                  </w:rPr>
                  <m:t>n</m:t>
                </m:r>
              </m:sup>
              <m:e>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m:t>
                    </m:r>
                  </m:sub>
                </m:sSub>
              </m:e>
            </m:nary>
          </m:num>
          <m:den>
            <m:r>
              <w:rPr>
                <w:rFonts w:ascii="Cambria Math" w:hAnsi="Cambria Math"/>
                <w:sz w:val="28"/>
                <w:szCs w:val="28"/>
                <w:lang w:val="uk-UA"/>
              </w:rPr>
              <m:t>n</m:t>
            </m:r>
          </m:den>
        </m:f>
      </m:oMath>
      <w:r w:rsidR="00363C28">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m:oMath>
        <m:r>
          <w:rPr>
            <w:rFonts w:ascii="Cambria Math" w:hAnsi="Cambria Math"/>
            <w:sz w:val="28"/>
            <w:szCs w:val="28"/>
            <w:lang w:val="uk-UA" w:eastAsia="ru-RU"/>
          </w:rPr>
          <m:t xml:space="preserve"> </m:t>
        </m:r>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m:t>
            </m:r>
          </m:sub>
        </m:sSub>
      </m:oMath>
      <w:r w:rsidR="00DB1F48">
        <w:rPr>
          <w:rFonts w:ascii="Times New Roman" w:hAnsi="Times New Roman"/>
          <w:sz w:val="28"/>
          <w:szCs w:val="28"/>
          <w:lang w:val="uk-UA"/>
        </w:rPr>
        <w:t xml:space="preserve"> – </w:t>
      </w:r>
      <w:r w:rsidRPr="00CB0434">
        <w:rPr>
          <w:rFonts w:ascii="Times New Roman" w:hAnsi="Times New Roman"/>
          <w:sz w:val="28"/>
          <w:szCs w:val="28"/>
          <w:lang w:val="uk-UA"/>
        </w:rPr>
        <w:t>значення результату, що спостерігаються</w:t>
      </w:r>
      <w:r w:rsidR="00CE7F9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D66988">
        <w:rPr>
          <w:rFonts w:ascii="Times New Roman" w:hAnsi="Times New Roman"/>
          <w:i/>
          <w:sz w:val="28"/>
          <w:szCs w:val="28"/>
          <w:lang w:val="en-US"/>
        </w:rPr>
        <w:t>n</w:t>
      </w:r>
      <w:r w:rsidR="00DB1F48">
        <w:rPr>
          <w:rFonts w:ascii="Times New Roman" w:hAnsi="Times New Roman"/>
          <w:sz w:val="28"/>
          <w:szCs w:val="28"/>
          <w:lang w:val="uk-UA"/>
        </w:rPr>
        <w:t xml:space="preserve"> – </w:t>
      </w:r>
      <w:r w:rsidRPr="00CB0434">
        <w:rPr>
          <w:rFonts w:ascii="Times New Roman" w:hAnsi="Times New Roman"/>
          <w:sz w:val="28"/>
          <w:szCs w:val="28"/>
          <w:lang w:val="uk-UA"/>
        </w:rPr>
        <w:t>число значень, що спостерігаються.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Середня величина є узагальненою кількісною характеристикою і не дозволяє прийняти рішення на користь будь-якого варіанту вкладення капіталу.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остаточного ухвалення рішення необхідно виміряти коливання показників, тобто визначити міру зміни можливого результату. Коливання </w:t>
      </w:r>
      <w:r w:rsidRPr="00CB0434">
        <w:rPr>
          <w:rFonts w:ascii="Times New Roman" w:hAnsi="Times New Roman"/>
          <w:sz w:val="28"/>
          <w:szCs w:val="28"/>
          <w:lang w:val="uk-UA"/>
        </w:rPr>
        <w:lastRenderedPageBreak/>
        <w:t>можливого результату є ступенем відхилення очікуваного значення від середньої величини</w:t>
      </w:r>
      <w:r w:rsidR="000A5361" w:rsidRPr="000A5361">
        <w:rPr>
          <w:rFonts w:ascii="Times New Roman" w:hAnsi="Times New Roman"/>
          <w:sz w:val="28"/>
          <w:szCs w:val="28"/>
        </w:rPr>
        <w:t xml:space="preserve"> </w:t>
      </w:r>
      <w:r w:rsidR="000A5361" w:rsidRPr="000A5361">
        <w:rPr>
          <w:rFonts w:ascii="Times New Roman" w:eastAsia="Times New Roman" w:hAnsi="Times New Roman"/>
          <w:sz w:val="28"/>
          <w:szCs w:val="28"/>
        </w:rPr>
        <w:t>[43, c. 28]</w:t>
      </w:r>
      <w:r w:rsidRPr="00CB0434">
        <w:rPr>
          <w:rFonts w:ascii="Times New Roman" w:hAnsi="Times New Roman"/>
          <w:sz w:val="28"/>
          <w:szCs w:val="28"/>
          <w:lang w:val="uk-UA"/>
        </w:rPr>
        <w:t>. Для цього практично застосовують два близько пов'язаних критері</w:t>
      </w:r>
      <w:r w:rsidR="00CE7F94">
        <w:rPr>
          <w:rFonts w:ascii="Times New Roman" w:hAnsi="Times New Roman"/>
          <w:sz w:val="28"/>
          <w:szCs w:val="28"/>
          <w:lang w:val="uk-UA"/>
        </w:rPr>
        <w:t>ї</w:t>
      </w:r>
      <w:r w:rsidRPr="00CB0434">
        <w:rPr>
          <w:rFonts w:ascii="Times New Roman" w:hAnsi="Times New Roman"/>
          <w:sz w:val="28"/>
          <w:szCs w:val="28"/>
          <w:lang w:val="uk-UA"/>
        </w:rPr>
        <w:t>: дисперсію і середнє квадратичне відхилення.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Дисперсія являє собою середнє зважене із квадратів відхилень дійсних результатів від середніх очікуваних:</w:t>
      </w:r>
    </w:p>
    <w:p w:rsidR="00363C28" w:rsidRPr="00363C28" w:rsidRDefault="00EB5B4E" w:rsidP="00363C28">
      <w:pPr>
        <w:spacing w:after="0" w:line="360" w:lineRule="auto"/>
        <w:ind w:firstLine="709"/>
        <w:jc w:val="both"/>
        <w:rPr>
          <w:rFonts w:ascii="Times New Roman" w:hAnsi="Times New Roman"/>
          <w:sz w:val="28"/>
          <w:szCs w:val="28"/>
        </w:rPr>
      </w:pPr>
      <m:oMath>
        <m:sSup>
          <m:sSupPr>
            <m:ctrlPr>
              <w:rPr>
                <w:rFonts w:ascii="Cambria Math" w:eastAsia="Times New Roman" w:hAnsi="Cambria Math"/>
                <w:i/>
                <w:sz w:val="28"/>
                <w:szCs w:val="28"/>
                <w:lang w:val="uk-UA" w:eastAsia="ru-RU"/>
              </w:rPr>
            </m:ctrlPr>
          </m:sSupPr>
          <m:e>
            <m:r>
              <w:rPr>
                <w:rFonts w:ascii="Cambria Math" w:hAnsi="Cambria Math"/>
                <w:sz w:val="28"/>
                <w:szCs w:val="28"/>
                <w:lang w:val="uk-UA"/>
              </w:rPr>
              <m:t>σ</m:t>
            </m:r>
          </m:e>
          <m:sup>
            <m:r>
              <w:rPr>
                <w:rFonts w:ascii="Cambria Math" w:hAnsi="Cambria Math"/>
                <w:sz w:val="28"/>
                <w:szCs w:val="28"/>
                <w:lang w:val="uk-UA"/>
              </w:rPr>
              <m:t>2</m:t>
            </m:r>
          </m:sup>
        </m:sSup>
        <m:r>
          <w:rPr>
            <w:rFonts w:ascii="Cambria Math" w:hAnsi="Cambria Math"/>
            <w:sz w:val="28"/>
            <w:szCs w:val="28"/>
            <w:lang w:val="uk-UA"/>
          </w:rPr>
          <m:t>=</m:t>
        </m:r>
        <m:f>
          <m:fPr>
            <m:ctrlPr>
              <w:rPr>
                <w:rFonts w:ascii="Cambria Math" w:hAnsi="Cambria Math"/>
                <w:i/>
                <w:sz w:val="28"/>
                <w:szCs w:val="28"/>
                <w:lang w:val="uk-UA"/>
              </w:rPr>
            </m:ctrlPr>
          </m:fPr>
          <m:num>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i=1</m:t>
                </m:r>
              </m:sub>
              <m:sup>
                <m:r>
                  <w:rPr>
                    <w:rFonts w:ascii="Cambria Math" w:hAnsi="Cambria Math"/>
                    <w:sz w:val="28"/>
                    <w:szCs w:val="28"/>
                    <w:lang w:val="uk-UA"/>
                  </w:rPr>
                  <m:t>n</m:t>
                </m:r>
              </m:sup>
              <m:e>
                <m:sSup>
                  <m:sSupPr>
                    <m:ctrlPr>
                      <w:rPr>
                        <w:rFonts w:ascii="Cambria Math" w:hAnsi="Cambria Math"/>
                        <w:i/>
                        <w:sz w:val="28"/>
                        <w:szCs w:val="28"/>
                        <w:lang w:val="uk-UA" w:eastAsia="ru-RU"/>
                      </w:rPr>
                    </m:ctrlPr>
                  </m:sSupPr>
                  <m:e>
                    <m:r>
                      <w:rPr>
                        <w:rFonts w:ascii="Cambria Math" w:hAnsi="Cambria Math"/>
                        <w:sz w:val="28"/>
                        <w:szCs w:val="28"/>
                        <w:lang w:val="uk-UA"/>
                      </w:rPr>
                      <m:t>(</m:t>
                    </m:r>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m:t>
                        </m:r>
                      </m:sub>
                    </m:sSub>
                    <m:r>
                      <w:rPr>
                        <w:rFonts w:ascii="Cambria Math" w:hAnsi="Cambria Math"/>
                        <w:sz w:val="28"/>
                        <w:szCs w:val="28"/>
                        <w:lang w:val="uk-UA"/>
                      </w:rPr>
                      <m:t>-</m:t>
                    </m:r>
                    <m:acc>
                      <m:accPr>
                        <m:chr m:val="̅"/>
                        <m:ctrlPr>
                          <w:rPr>
                            <w:rFonts w:ascii="Cambria Math" w:hAnsi="Cambria Math"/>
                            <w:i/>
                            <w:sz w:val="28"/>
                            <w:szCs w:val="28"/>
                            <w:lang w:val="uk-UA" w:eastAsia="ru-RU"/>
                          </w:rPr>
                        </m:ctrlPr>
                      </m:accPr>
                      <m:e>
                        <m:r>
                          <w:rPr>
                            <w:rFonts w:ascii="Cambria Math" w:hAnsi="Cambria Math"/>
                            <w:sz w:val="28"/>
                            <w:szCs w:val="28"/>
                            <w:lang w:val="uk-UA"/>
                          </w:rPr>
                          <m:t>X</m:t>
                        </m:r>
                      </m:e>
                    </m:acc>
                    <m:r>
                      <w:rPr>
                        <w:rFonts w:ascii="Cambria Math" w:hAnsi="Cambria Math"/>
                        <w:sz w:val="28"/>
                        <w:szCs w:val="28"/>
                        <w:lang w:val="uk-UA"/>
                      </w:rPr>
                      <m:t>)</m:t>
                    </m:r>
                  </m:e>
                  <m:sup>
                    <m:r>
                      <w:rPr>
                        <w:rFonts w:ascii="Cambria Math" w:hAnsi="Cambria Math"/>
                        <w:sz w:val="28"/>
                        <w:szCs w:val="28"/>
                        <w:lang w:val="uk-UA"/>
                      </w:rPr>
                      <m:t>2</m:t>
                    </m:r>
                  </m:sup>
                </m:sSup>
              </m:e>
            </m:nary>
          </m:num>
          <m:den>
            <m:r>
              <w:rPr>
                <w:rFonts w:ascii="Cambria Math" w:hAnsi="Cambria Math"/>
                <w:sz w:val="28"/>
                <w:szCs w:val="28"/>
                <w:lang w:val="uk-UA"/>
              </w:rPr>
              <m:t>n-1</m:t>
            </m:r>
          </m:den>
        </m:f>
      </m:oMath>
      <w:r w:rsidR="00363C28" w:rsidRPr="00363C28">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m:oMath>
        <m:r>
          <w:rPr>
            <w:rFonts w:ascii="Cambria Math" w:hAnsi="Cambria Math"/>
            <w:sz w:val="28"/>
            <w:szCs w:val="28"/>
            <w:lang w:val="uk-UA" w:eastAsia="ru-RU"/>
          </w:rPr>
          <m:t xml:space="preserve"> </m:t>
        </m:r>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m:t>
            </m:r>
          </m:sub>
        </m:sSub>
      </m:oMath>
      <w:r w:rsidRPr="00CB0434">
        <w:rPr>
          <w:rFonts w:ascii="Times New Roman" w:hAnsi="Times New Roman"/>
          <w:sz w:val="28"/>
          <w:szCs w:val="28"/>
          <w:lang w:val="uk-UA"/>
        </w:rPr>
        <w:t xml:space="preserve"> – очікуване значення для кожного випадку;</w:t>
      </w:r>
    </w:p>
    <w:p w:rsidR="00363C28" w:rsidRDefault="00363C28" w:rsidP="00363C28">
      <w:pPr>
        <w:spacing w:after="0" w:line="360" w:lineRule="auto"/>
        <w:ind w:firstLine="709"/>
        <w:jc w:val="both"/>
        <w:rPr>
          <w:rFonts w:ascii="Times New Roman" w:hAnsi="Times New Roman"/>
          <w:sz w:val="28"/>
          <w:szCs w:val="28"/>
          <w:lang w:val="uk-UA"/>
        </w:rPr>
      </w:pPr>
      <w:r w:rsidRPr="00D66988">
        <w:rPr>
          <w:rFonts w:ascii="Times New Roman" w:hAnsi="Times New Roman"/>
          <w:i/>
          <w:sz w:val="28"/>
          <w:szCs w:val="28"/>
          <w:lang w:val="uk-UA"/>
        </w:rPr>
        <w:t>X</w:t>
      </w:r>
      <w:r w:rsidR="00CE7F94">
        <w:rPr>
          <w:rFonts w:ascii="Times New Roman" w:hAnsi="Times New Roman"/>
          <w:i/>
          <w:sz w:val="28"/>
          <w:szCs w:val="28"/>
          <w:lang w:val="uk-UA"/>
        </w:rPr>
        <w:t xml:space="preserve"> </w:t>
      </w:r>
      <w:r w:rsidR="00CE7F94">
        <w:rPr>
          <w:rFonts w:ascii="Times New Roman" w:hAnsi="Times New Roman"/>
          <w:sz w:val="28"/>
          <w:szCs w:val="28"/>
          <w:lang w:val="uk-UA"/>
        </w:rPr>
        <w:t xml:space="preserve">– </w:t>
      </w:r>
      <w:r w:rsidRPr="00CB0434">
        <w:rPr>
          <w:rFonts w:ascii="Times New Roman" w:hAnsi="Times New Roman"/>
          <w:sz w:val="28"/>
          <w:szCs w:val="28"/>
          <w:lang w:val="uk-UA"/>
        </w:rPr>
        <w:t xml:space="preserve">середнє очікуване значення; </w:t>
      </w:r>
    </w:p>
    <w:p w:rsidR="00363C28" w:rsidRPr="00CB0434" w:rsidRDefault="00363C28" w:rsidP="00363C28">
      <w:pPr>
        <w:spacing w:after="0" w:line="360" w:lineRule="auto"/>
        <w:ind w:firstLine="709"/>
        <w:jc w:val="both"/>
        <w:rPr>
          <w:rFonts w:ascii="Times New Roman" w:hAnsi="Times New Roman"/>
          <w:sz w:val="28"/>
          <w:szCs w:val="28"/>
          <w:lang w:val="uk-UA"/>
        </w:rPr>
      </w:pPr>
      <w:r w:rsidRPr="00D66988">
        <w:rPr>
          <w:rFonts w:ascii="Times New Roman" w:hAnsi="Times New Roman"/>
          <w:i/>
          <w:sz w:val="28"/>
          <w:szCs w:val="28"/>
          <w:lang w:val="en-US"/>
        </w:rPr>
        <w:t>n</w:t>
      </w:r>
      <w:r w:rsidRPr="00CB0434">
        <w:rPr>
          <w:rFonts w:ascii="Times New Roman" w:hAnsi="Times New Roman"/>
          <w:sz w:val="28"/>
          <w:szCs w:val="28"/>
          <w:lang w:val="uk-UA"/>
        </w:rPr>
        <w:t xml:space="preserve"> – число випадків спостереження (частота).</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Середнє квадратичне відхилення визначається за такою формулою:</w:t>
      </w:r>
    </w:p>
    <w:p w:rsidR="00363C28" w:rsidRPr="005357D2" w:rsidRDefault="005357D2" w:rsidP="00363C28">
      <w:pPr>
        <w:spacing w:after="0" w:line="360" w:lineRule="auto"/>
        <w:ind w:firstLine="709"/>
        <w:jc w:val="both"/>
        <w:rPr>
          <w:rFonts w:ascii="Times New Roman" w:hAnsi="Times New Roman"/>
          <w:sz w:val="28"/>
          <w:szCs w:val="28"/>
          <w:lang w:val="uk-UA"/>
        </w:rPr>
      </w:pPr>
      <m:oMathPara>
        <m:oMath>
          <m:r>
            <w:rPr>
              <w:rFonts w:ascii="Cambria Math" w:hAnsi="Cambria Math"/>
              <w:lang w:val="uk-UA"/>
            </w:rPr>
            <m:t xml:space="preserve">σ=     </m:t>
          </m:r>
          <m:rad>
            <m:radPr>
              <m:degHide m:val="1"/>
              <m:ctrlPr>
                <w:rPr>
                  <w:rFonts w:ascii="Cambria Math" w:hAnsi="Cambria Math"/>
                  <w:i/>
                  <w:lang w:val="uk-UA"/>
                </w:rPr>
              </m:ctrlPr>
            </m:radPr>
            <m:deg/>
            <m:e>
              <m:f>
                <m:fPr>
                  <m:ctrlPr>
                    <w:rPr>
                      <w:rFonts w:ascii="Cambria Math" w:eastAsia="Times New Roman" w:hAnsi="Cambria Math"/>
                      <w:i/>
                      <w:sz w:val="24"/>
                      <w:szCs w:val="24"/>
                      <w:lang w:val="uk-UA" w:eastAsia="ru-RU"/>
                    </w:rPr>
                  </m:ctrlPr>
                </m:fPr>
                <m:num>
                  <m:nary>
                    <m:naryPr>
                      <m:chr m:val="∑"/>
                      <m:limLoc m:val="undOvr"/>
                      <m:ctrlPr>
                        <w:rPr>
                          <w:rFonts w:ascii="Cambria Math" w:eastAsia="Times New Roman" w:hAnsi="Cambria Math"/>
                          <w:i/>
                          <w:sz w:val="24"/>
                          <w:szCs w:val="24"/>
                          <w:lang w:val="uk-UA" w:eastAsia="ru-RU"/>
                        </w:rPr>
                      </m:ctrlPr>
                    </m:naryPr>
                    <m:sub>
                      <m:r>
                        <w:rPr>
                          <w:rFonts w:ascii="Cambria Math" w:hAnsi="Cambria Math"/>
                          <w:lang w:val="uk-UA"/>
                        </w:rPr>
                        <m:t>i=1</m:t>
                      </m:r>
                    </m:sub>
                    <m:sup>
                      <m:r>
                        <w:rPr>
                          <w:rFonts w:ascii="Cambria Math" w:hAnsi="Cambria Math"/>
                          <w:lang w:val="uk-UA"/>
                        </w:rPr>
                        <m:t>n</m:t>
                      </m:r>
                    </m:sup>
                    <m:e>
                      <m:sSup>
                        <m:sSupPr>
                          <m:ctrlPr>
                            <w:rPr>
                              <w:rFonts w:ascii="Cambria Math" w:eastAsia="Times New Roman" w:hAnsi="Cambria Math"/>
                              <w:i/>
                              <w:sz w:val="24"/>
                              <w:szCs w:val="24"/>
                              <w:lang w:val="uk-UA" w:eastAsia="ru-RU"/>
                            </w:rPr>
                          </m:ctrlPr>
                        </m:sSupPr>
                        <m:e>
                          <m:r>
                            <w:rPr>
                              <w:rFonts w:ascii="Cambria Math" w:hAnsi="Cambria Math"/>
                              <w:lang w:val="uk-UA"/>
                            </w:rPr>
                            <m:t>(</m:t>
                          </m:r>
                          <m:sSub>
                            <m:sSubPr>
                              <m:ctrlPr>
                                <w:rPr>
                                  <w:rFonts w:ascii="Cambria Math" w:eastAsia="Times New Roman" w:hAnsi="Cambria Math"/>
                                  <w:i/>
                                  <w:sz w:val="24"/>
                                  <w:szCs w:val="24"/>
                                  <w:lang w:val="uk-UA" w:eastAsia="ru-RU"/>
                                </w:rPr>
                              </m:ctrlPr>
                            </m:sSubPr>
                            <m:e>
                              <m:r>
                                <w:rPr>
                                  <w:rFonts w:ascii="Cambria Math" w:hAnsi="Cambria Math"/>
                                  <w:lang w:val="uk-UA"/>
                                </w:rPr>
                                <m:t>X</m:t>
                              </m:r>
                            </m:e>
                            <m:sub>
                              <m:r>
                                <w:rPr>
                                  <w:rFonts w:ascii="Cambria Math" w:hAnsi="Cambria Math"/>
                                  <w:lang w:val="uk-UA"/>
                                </w:rPr>
                                <m:t>i</m:t>
                              </m:r>
                            </m:sub>
                          </m:sSub>
                          <m:r>
                            <w:rPr>
                              <w:rFonts w:ascii="Cambria Math" w:hAnsi="Cambria Math"/>
                              <w:lang w:val="uk-UA"/>
                            </w:rPr>
                            <m:t>-</m:t>
                          </m:r>
                          <m:acc>
                            <m:accPr>
                              <m:chr m:val="̅"/>
                              <m:ctrlPr>
                                <w:rPr>
                                  <w:rFonts w:ascii="Cambria Math" w:eastAsia="Times New Roman" w:hAnsi="Cambria Math"/>
                                  <w:i/>
                                  <w:sz w:val="24"/>
                                  <w:szCs w:val="24"/>
                                  <w:lang w:val="uk-UA" w:eastAsia="ru-RU"/>
                                </w:rPr>
                              </m:ctrlPr>
                            </m:accPr>
                            <m:e>
                              <m:r>
                                <w:rPr>
                                  <w:rFonts w:ascii="Cambria Math" w:hAnsi="Cambria Math"/>
                                  <w:lang w:val="uk-UA"/>
                                </w:rPr>
                                <m:t>X</m:t>
                              </m:r>
                            </m:e>
                          </m:acc>
                          <m:r>
                            <w:rPr>
                              <w:rFonts w:ascii="Cambria Math" w:hAnsi="Cambria Math"/>
                              <w:lang w:val="uk-UA"/>
                            </w:rPr>
                            <m:t>)</m:t>
                          </m:r>
                        </m:e>
                        <m:sup>
                          <m:r>
                            <w:rPr>
                              <w:rFonts w:ascii="Cambria Math" w:hAnsi="Cambria Math"/>
                              <w:lang w:val="uk-UA"/>
                            </w:rPr>
                            <m:t>2</m:t>
                          </m:r>
                        </m:sup>
                      </m:sSup>
                    </m:e>
                  </m:nary>
                </m:num>
                <m:den>
                  <m:r>
                    <w:rPr>
                      <w:rFonts w:ascii="Cambria Math" w:hAnsi="Cambria Math"/>
                      <w:lang w:val="uk-UA"/>
                    </w:rPr>
                    <m:t>n-1</m:t>
                  </m:r>
                </m:den>
              </m:f>
              <m:r>
                <w:rPr>
                  <w:rFonts w:ascii="Cambria Math" w:hAnsi="Cambria Math"/>
                  <w:lang w:val="uk-UA"/>
                </w:rPr>
                <m:t xml:space="preserve">      </m:t>
              </m:r>
            </m:e>
          </m:rad>
          <m:r>
            <w:rPr>
              <w:rFonts w:ascii="Cambria Math" w:hAnsi="Cambria Math"/>
              <w:lang w:val="uk-UA"/>
            </w:rPr>
            <m:t xml:space="preserve">  .</m:t>
          </m:r>
        </m:oMath>
      </m:oMathPara>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аналізу часто використовується коефіцієнт варіації. Він є відношенням середнього квадратичного відхилення до середньої арифметичної і показує ступінь відхилення отриманих значень, </w:t>
      </w:r>
      <w:r w:rsidR="00CE7F94">
        <w:rPr>
          <w:rFonts w:ascii="Times New Roman" w:hAnsi="Times New Roman"/>
          <w:sz w:val="28"/>
          <w:szCs w:val="28"/>
          <w:lang w:val="uk-UA"/>
        </w:rPr>
        <w:t>що</w:t>
      </w:r>
      <w:r w:rsidRPr="00CB0434">
        <w:rPr>
          <w:rFonts w:ascii="Times New Roman" w:hAnsi="Times New Roman"/>
          <w:sz w:val="28"/>
          <w:szCs w:val="28"/>
          <w:lang w:val="uk-UA"/>
        </w:rPr>
        <w:t xml:space="preserve"> вимірюється в %</w:t>
      </w:r>
      <w:r w:rsidR="00CE7F94">
        <w:rPr>
          <w:rFonts w:ascii="Times New Roman" w:hAnsi="Times New Roman"/>
          <w:sz w:val="28"/>
          <w:szCs w:val="28"/>
          <w:lang w:val="uk-UA"/>
        </w:rPr>
        <w:t>:</w:t>
      </w:r>
    </w:p>
    <w:p w:rsidR="00363C28" w:rsidRPr="00CB0434"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sz w:val="28"/>
            <w:szCs w:val="28"/>
            <w:lang w:val="uk-UA"/>
          </w:rPr>
          <m:t>V=</m:t>
        </m:r>
        <m:f>
          <m:fPr>
            <m:ctrlPr>
              <w:rPr>
                <w:rFonts w:ascii="Cambria Math" w:hAnsi="Cambria Math"/>
                <w:i/>
                <w:sz w:val="28"/>
                <w:szCs w:val="28"/>
                <w:lang w:val="uk-UA"/>
              </w:rPr>
            </m:ctrlPr>
          </m:fPr>
          <m:num>
            <m:r>
              <w:rPr>
                <w:rFonts w:ascii="Cambria Math" w:hAnsi="Cambria Math"/>
                <w:sz w:val="28"/>
                <w:szCs w:val="28"/>
                <w:lang w:val="uk-UA"/>
              </w:rPr>
              <m:t>±σ</m:t>
            </m:r>
          </m:num>
          <m:den>
            <m:acc>
              <m:accPr>
                <m:chr m:val="̅"/>
                <m:ctrlPr>
                  <w:rPr>
                    <w:rFonts w:ascii="Cambria Math" w:hAnsi="Cambria Math"/>
                    <w:i/>
                    <w:sz w:val="28"/>
                    <w:szCs w:val="28"/>
                    <w:lang w:val="uk-UA" w:eastAsia="ru-RU"/>
                  </w:rPr>
                </m:ctrlPr>
              </m:accPr>
              <m:e>
                <m:r>
                  <w:rPr>
                    <w:rFonts w:ascii="Cambria Math" w:hAnsi="Cambria Math"/>
                    <w:sz w:val="28"/>
                    <w:szCs w:val="28"/>
                    <w:lang w:val="uk-UA"/>
                  </w:rPr>
                  <m:t>X</m:t>
                </m:r>
              </m:e>
            </m:acc>
          </m:den>
        </m:f>
      </m:oMath>
      <w:r w:rsidR="00363C28"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Коефіцієнт варіації – відносна величина. Тому на його розмір не впливають абсолютні значення досліджуваного показника. За допомогою коефіцієнта варіації можна порівнювати навіть коливання ознак, виражених у різних одиницях виміру. Коефіцієнт варіації може змінюватися від 0 до 100%. Чим більший коефіцієнт, тим сильніше коливання. Встановлено наступну якісну оцінку різних значень коефіцієнта варіації:</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до 10</w:t>
      </w:r>
      <w:r w:rsidR="00336F0C">
        <w:rPr>
          <w:rFonts w:ascii="Times New Roman" w:hAnsi="Times New Roman"/>
          <w:sz w:val="28"/>
          <w:szCs w:val="28"/>
          <w:lang w:val="uk-UA"/>
        </w:rPr>
        <w:t xml:space="preserve"> </w:t>
      </w:r>
      <w:r w:rsidRPr="00CB0434">
        <w:rPr>
          <w:rFonts w:ascii="Times New Roman" w:hAnsi="Times New Roman"/>
          <w:sz w:val="28"/>
          <w:szCs w:val="28"/>
          <w:lang w:val="uk-UA"/>
        </w:rPr>
        <w:t>%</w:t>
      </w:r>
      <w:r w:rsidR="00DB1F48">
        <w:rPr>
          <w:rFonts w:ascii="Times New Roman" w:hAnsi="Times New Roman"/>
          <w:sz w:val="28"/>
          <w:szCs w:val="28"/>
          <w:lang w:val="uk-UA"/>
        </w:rPr>
        <w:t xml:space="preserve"> – </w:t>
      </w:r>
      <w:r w:rsidRPr="00CB0434">
        <w:rPr>
          <w:rFonts w:ascii="Times New Roman" w:hAnsi="Times New Roman"/>
          <w:sz w:val="28"/>
          <w:szCs w:val="28"/>
          <w:lang w:val="uk-UA"/>
        </w:rPr>
        <w:t>слабке коливання;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D8406D">
        <w:rPr>
          <w:rFonts w:ascii="Times New Roman" w:hAnsi="Times New Roman"/>
          <w:sz w:val="28"/>
          <w:szCs w:val="28"/>
        </w:rPr>
        <w:t>10</w:t>
      </w:r>
      <w:r w:rsidRPr="00CB0434">
        <w:rPr>
          <w:rFonts w:ascii="Times New Roman" w:hAnsi="Times New Roman"/>
          <w:sz w:val="28"/>
          <w:szCs w:val="28"/>
          <w:lang w:val="uk-UA"/>
        </w:rPr>
        <w:t>-25</w:t>
      </w:r>
      <w:r w:rsidR="00336F0C">
        <w:rPr>
          <w:rFonts w:ascii="Times New Roman" w:hAnsi="Times New Roman"/>
          <w:sz w:val="28"/>
          <w:szCs w:val="28"/>
          <w:lang w:val="uk-UA"/>
        </w:rPr>
        <w:t xml:space="preserve"> </w:t>
      </w:r>
      <w:r w:rsidRPr="00CB0434">
        <w:rPr>
          <w:rFonts w:ascii="Times New Roman" w:hAnsi="Times New Roman"/>
          <w:sz w:val="28"/>
          <w:szCs w:val="28"/>
          <w:lang w:val="uk-UA"/>
        </w:rPr>
        <w:t>%</w:t>
      </w:r>
      <w:r w:rsidR="00DB1F48">
        <w:rPr>
          <w:rFonts w:ascii="Times New Roman" w:hAnsi="Times New Roman"/>
          <w:sz w:val="28"/>
          <w:szCs w:val="28"/>
          <w:lang w:val="uk-UA"/>
        </w:rPr>
        <w:t xml:space="preserve"> – </w:t>
      </w:r>
      <w:r w:rsidRPr="00CB0434">
        <w:rPr>
          <w:rFonts w:ascii="Times New Roman" w:hAnsi="Times New Roman"/>
          <w:sz w:val="28"/>
          <w:szCs w:val="28"/>
          <w:lang w:val="uk-UA"/>
        </w:rPr>
        <w:t>помірне коливання;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понад 25</w:t>
      </w:r>
      <w:r w:rsidR="00336F0C">
        <w:rPr>
          <w:rFonts w:ascii="Times New Roman" w:hAnsi="Times New Roman"/>
          <w:sz w:val="28"/>
          <w:szCs w:val="28"/>
          <w:lang w:val="uk-UA"/>
        </w:rPr>
        <w:t xml:space="preserve"> </w:t>
      </w:r>
      <w:r w:rsidRPr="00CB0434">
        <w:rPr>
          <w:rFonts w:ascii="Times New Roman" w:hAnsi="Times New Roman"/>
          <w:sz w:val="28"/>
          <w:szCs w:val="28"/>
          <w:lang w:val="uk-UA"/>
        </w:rPr>
        <w:t>% – високе коливання.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Для обґрунтованого прийняття рішень в умовах ризику розроблено велику кількість методів, серед яких стосовно прийняття інвестиційних рішень можна виділити такі </w:t>
      </w:r>
      <w:r w:rsidRPr="00CB0434">
        <w:rPr>
          <w:rFonts w:ascii="Times New Roman" w:eastAsia="Times New Roman" w:hAnsi="Times New Roman"/>
          <w:sz w:val="28"/>
          <w:szCs w:val="28"/>
          <w:lang w:val="uk-UA"/>
        </w:rPr>
        <w:t>[13, c. 131, 36, 140]</w:t>
      </w:r>
      <w:r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w:t>
      </w:r>
      <w:r w:rsidR="00363C28" w:rsidRPr="00CB0434">
        <w:rPr>
          <w:rFonts w:ascii="Times New Roman" w:hAnsi="Times New Roman"/>
          <w:sz w:val="28"/>
          <w:szCs w:val="28"/>
          <w:lang w:val="uk-UA"/>
        </w:rPr>
        <w:t xml:space="preserve"> метод очікуваної корисності (</w:t>
      </w:r>
      <w:r w:rsidR="00977333">
        <w:rPr>
          <w:rFonts w:ascii="Times New Roman" w:hAnsi="Times New Roman"/>
          <w:sz w:val="28"/>
          <w:szCs w:val="28"/>
          <w:lang w:val="uk-UA"/>
        </w:rPr>
        <w:t>«</w:t>
      </w:r>
      <w:r w:rsidR="00363C28" w:rsidRPr="00CB0434">
        <w:rPr>
          <w:rFonts w:ascii="Times New Roman" w:hAnsi="Times New Roman"/>
          <w:sz w:val="28"/>
          <w:szCs w:val="28"/>
          <w:lang w:val="uk-UA"/>
        </w:rPr>
        <w:t>платіжна матриця</w:t>
      </w:r>
      <w:r w:rsidR="00977333">
        <w:rPr>
          <w:rFonts w:ascii="Times New Roman" w:hAnsi="Times New Roman"/>
          <w:sz w:val="28"/>
          <w:szCs w:val="28"/>
          <w:lang w:val="uk-UA"/>
        </w:rPr>
        <w:t>»</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метод </w:t>
      </w:r>
      <w:r w:rsidR="00977333">
        <w:rPr>
          <w:rFonts w:ascii="Times New Roman" w:hAnsi="Times New Roman"/>
          <w:sz w:val="28"/>
          <w:szCs w:val="28"/>
          <w:lang w:val="uk-UA"/>
        </w:rPr>
        <w:t>«</w:t>
      </w:r>
      <w:r w:rsidR="00363C28" w:rsidRPr="00CB0434">
        <w:rPr>
          <w:rFonts w:ascii="Times New Roman" w:hAnsi="Times New Roman"/>
          <w:sz w:val="28"/>
          <w:szCs w:val="28"/>
          <w:lang w:val="uk-UA"/>
        </w:rPr>
        <w:t>дерева рішень</w:t>
      </w:r>
      <w:r w:rsidR="00977333">
        <w:rPr>
          <w:rFonts w:ascii="Times New Roman" w:hAnsi="Times New Roman"/>
          <w:sz w:val="28"/>
          <w:szCs w:val="28"/>
          <w:lang w:val="uk-UA"/>
        </w:rPr>
        <w:t>»</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метод сценаріїв;</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метод імітаційного моделювання (метод </w:t>
      </w:r>
      <w:r w:rsidR="00977333">
        <w:rPr>
          <w:rFonts w:ascii="Times New Roman" w:hAnsi="Times New Roman"/>
          <w:sz w:val="28"/>
          <w:szCs w:val="28"/>
          <w:lang w:val="uk-UA"/>
        </w:rPr>
        <w:t>«</w:t>
      </w:r>
      <w:r w:rsidR="00363C28" w:rsidRPr="00CB0434">
        <w:rPr>
          <w:rFonts w:ascii="Times New Roman" w:hAnsi="Times New Roman"/>
          <w:sz w:val="28"/>
          <w:szCs w:val="28"/>
          <w:lang w:val="uk-UA"/>
        </w:rPr>
        <w:t>Монте-Карло</w:t>
      </w:r>
      <w:r w:rsidR="00977333">
        <w:rPr>
          <w:rFonts w:ascii="Times New Roman" w:hAnsi="Times New Roman"/>
          <w:sz w:val="28"/>
          <w:szCs w:val="28"/>
          <w:lang w:val="uk-UA"/>
        </w:rPr>
        <w:t>»</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w:t>
      </w:r>
      <w:r w:rsidR="00977333">
        <w:rPr>
          <w:rFonts w:ascii="Times New Roman" w:hAnsi="Times New Roman"/>
          <w:sz w:val="28"/>
          <w:szCs w:val="28"/>
          <w:lang w:val="uk-UA"/>
        </w:rPr>
        <w:t>а</w:t>
      </w:r>
      <w:r w:rsidR="00363C28" w:rsidRPr="00CB0434">
        <w:rPr>
          <w:rFonts w:ascii="Times New Roman" w:hAnsi="Times New Roman"/>
          <w:sz w:val="28"/>
          <w:szCs w:val="28"/>
          <w:lang w:val="uk-UA"/>
        </w:rPr>
        <w:t xml:space="preserve">наліз чутливості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тів.</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Суть методу очікуваної корисності зводиться до визначення інтегрального критерію очікуваної корисності </w:t>
      </w:r>
      <w:r w:rsidRPr="00AF7F70">
        <w:rPr>
          <w:rFonts w:ascii="Times New Roman" w:hAnsi="Times New Roman"/>
          <w:i/>
          <w:sz w:val="28"/>
          <w:szCs w:val="28"/>
          <w:lang w:val="en-US"/>
        </w:rPr>
        <w:t>E</w:t>
      </w:r>
      <w:r w:rsidRPr="00AF7F70">
        <w:rPr>
          <w:rFonts w:ascii="Times New Roman" w:hAnsi="Times New Roman"/>
          <w:i/>
          <w:sz w:val="28"/>
          <w:szCs w:val="28"/>
          <w:vertAlign w:val="subscript"/>
          <w:lang w:val="en-US"/>
        </w:rPr>
        <w:t>i</w:t>
      </w:r>
      <w:r w:rsidRPr="00CB0434">
        <w:rPr>
          <w:rFonts w:ascii="Times New Roman" w:hAnsi="Times New Roman"/>
          <w:sz w:val="28"/>
          <w:szCs w:val="28"/>
          <w:lang w:val="uk-UA"/>
        </w:rPr>
        <w:t xml:space="preserve"> для кожного одного варіанта </w:t>
      </w:r>
      <w:r w:rsidR="00DB1F48">
        <w:rPr>
          <w:rFonts w:ascii="Times New Roman" w:hAnsi="Times New Roman"/>
          <w:sz w:val="28"/>
          <w:szCs w:val="28"/>
          <w:lang w:val="uk-UA"/>
        </w:rPr>
        <w:t>проєк</w:t>
      </w:r>
      <w:r w:rsidRPr="00CB0434">
        <w:rPr>
          <w:rFonts w:ascii="Times New Roman" w:hAnsi="Times New Roman"/>
          <w:sz w:val="28"/>
          <w:szCs w:val="28"/>
          <w:lang w:val="uk-UA"/>
        </w:rPr>
        <w:t>ту:</w:t>
      </w:r>
    </w:p>
    <w:p w:rsidR="00363C28" w:rsidRPr="00466589" w:rsidRDefault="00EB5B4E" w:rsidP="00363C28">
      <w:pPr>
        <w:spacing w:after="0" w:line="360" w:lineRule="auto"/>
        <w:ind w:firstLine="709"/>
        <w:jc w:val="both"/>
        <w:rPr>
          <w:rFonts w:ascii="Times New Roman" w:hAnsi="Times New Roman"/>
          <w:sz w:val="28"/>
          <w:szCs w:val="28"/>
          <w:lang w:val="uk-UA"/>
        </w:rPr>
      </w:pPr>
      <m:oMath>
        <m:sSub>
          <m:sSubPr>
            <m:ctrlPr>
              <w:rPr>
                <w:rFonts w:ascii="Cambria Math" w:eastAsia="Times New Roman" w:hAnsi="Cambria Math"/>
                <w:i/>
                <w:sz w:val="28"/>
                <w:szCs w:val="28"/>
                <w:lang w:val="uk-UA" w:eastAsia="ru-RU"/>
              </w:rPr>
            </m:ctrlPr>
          </m:sSubPr>
          <m:e>
            <m:r>
              <w:rPr>
                <w:rFonts w:ascii="Cambria Math" w:hAnsi="Cambria Math"/>
                <w:sz w:val="28"/>
                <w:szCs w:val="28"/>
                <w:lang w:val="en-US"/>
              </w:rPr>
              <m:t>E</m:t>
            </m:r>
          </m:e>
          <m:sub>
            <m:r>
              <w:rPr>
                <w:rFonts w:ascii="Cambria Math" w:hAnsi="Cambria Math"/>
                <w:sz w:val="28"/>
                <w:szCs w:val="28"/>
                <w:lang w:val="uk-UA"/>
              </w:rPr>
              <m:t>j</m:t>
            </m:r>
          </m:sub>
        </m:sSub>
        <m:r>
          <w:rPr>
            <w:rFonts w:ascii="Cambria Math" w:hAnsi="Cambria Math"/>
            <w:sz w:val="28"/>
            <w:szCs w:val="28"/>
            <w:lang w:val="uk-UA"/>
          </w:rPr>
          <m:t>=</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i=1</m:t>
            </m:r>
          </m:sub>
          <m:sup>
            <m:r>
              <w:rPr>
                <w:rFonts w:ascii="Cambria Math" w:hAnsi="Cambria Math"/>
                <w:sz w:val="28"/>
                <w:szCs w:val="28"/>
                <w:lang w:val="uk-UA"/>
              </w:rPr>
              <m:t>N</m:t>
            </m:r>
          </m:sup>
          <m:e>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ij</m:t>
                </m:r>
              </m:sub>
            </m:sSub>
            <m:r>
              <w:rPr>
                <w:rFonts w:ascii="Cambria Math" w:hAnsi="Cambria Math"/>
                <w:sz w:val="28"/>
                <w:szCs w:val="28"/>
                <w:lang w:val="uk-UA"/>
              </w:rPr>
              <m:t>*</m:t>
            </m:r>
            <m:sSub>
              <m:sSubPr>
                <m:ctrlPr>
                  <w:rPr>
                    <w:rFonts w:ascii="Cambria Math" w:hAnsi="Cambria Math"/>
                    <w:i/>
                    <w:sz w:val="28"/>
                    <w:szCs w:val="28"/>
                    <w:lang w:val="uk-UA" w:eastAsia="ru-RU"/>
                  </w:rPr>
                </m:ctrlPr>
              </m:sSubPr>
              <m:e>
                <m:r>
                  <w:rPr>
                    <w:rFonts w:ascii="Cambria Math" w:hAnsi="Cambria Math"/>
                    <w:sz w:val="28"/>
                    <w:szCs w:val="28"/>
                    <w:lang w:val="uk-UA"/>
                  </w:rPr>
                  <m:t>P</m:t>
                </m:r>
              </m:e>
              <m:sub>
                <m:r>
                  <w:rPr>
                    <w:rFonts w:ascii="Cambria Math" w:hAnsi="Cambria Math"/>
                    <w:sz w:val="28"/>
                    <w:szCs w:val="28"/>
                    <w:lang w:val="uk-UA"/>
                  </w:rPr>
                  <m:t>j</m:t>
                </m:r>
              </m:sub>
            </m:sSub>
          </m:e>
        </m:nary>
      </m:oMath>
      <w:r w:rsidR="00977333">
        <w:rPr>
          <w:rFonts w:ascii="Times New Roman" w:hAnsi="Times New Roman"/>
          <w:sz w:val="28"/>
          <w:szCs w:val="28"/>
          <w:lang w:val="uk-UA" w:eastAsia="ru-RU"/>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m:oMath>
        <m:r>
          <w:rPr>
            <w:rFonts w:ascii="Cambria Math" w:hAnsi="Cambria Math"/>
            <w:sz w:val="28"/>
            <w:szCs w:val="28"/>
            <w:lang w:val="uk-UA" w:eastAsia="ru-RU"/>
          </w:rPr>
          <m:t xml:space="preserve"> </m:t>
        </m:r>
        <m:sSub>
          <m:sSubPr>
            <m:ctrlPr>
              <w:rPr>
                <w:rFonts w:ascii="Cambria Math" w:hAnsi="Cambria Math"/>
                <w:i/>
                <w:sz w:val="28"/>
                <w:szCs w:val="28"/>
                <w:lang w:val="uk-UA" w:eastAsia="ru-RU"/>
              </w:rPr>
            </m:ctrlPr>
          </m:sSubPr>
          <m:e>
            <m:r>
              <w:rPr>
                <w:rFonts w:ascii="Cambria Math" w:hAnsi="Cambria Math"/>
                <w:sz w:val="28"/>
                <w:szCs w:val="28"/>
                <w:lang w:val="uk-UA"/>
              </w:rPr>
              <m:t>X</m:t>
            </m:r>
          </m:e>
          <m:sub>
            <m:r>
              <w:rPr>
                <w:rFonts w:ascii="Cambria Math" w:hAnsi="Cambria Math"/>
                <w:sz w:val="28"/>
                <w:szCs w:val="28"/>
                <w:lang w:val="uk-UA"/>
              </w:rPr>
              <m:t>ij</m:t>
            </m:r>
          </m:sub>
        </m:sSub>
      </m:oMath>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результат (вихід, наприклад, ІРУ інвестиційного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для </w:t>
      </w:r>
      <w:r w:rsidRPr="00D8406D">
        <w:rPr>
          <w:rFonts w:ascii="Times New Roman" w:hAnsi="Times New Roman"/>
          <w:i/>
          <w:sz w:val="28"/>
          <w:szCs w:val="28"/>
          <w:lang w:val="en-US"/>
        </w:rPr>
        <w:t>i</w:t>
      </w:r>
      <w:r w:rsidRPr="00CB0434">
        <w:rPr>
          <w:rFonts w:ascii="Times New Roman" w:hAnsi="Times New Roman"/>
          <w:sz w:val="28"/>
          <w:szCs w:val="28"/>
          <w:lang w:val="uk-UA"/>
        </w:rPr>
        <w:t xml:space="preserve"> інвестиційного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за умови настання </w:t>
      </w:r>
      <w:r w:rsidRPr="00D8406D">
        <w:rPr>
          <w:rFonts w:ascii="Times New Roman" w:hAnsi="Times New Roman"/>
          <w:i/>
          <w:sz w:val="28"/>
          <w:szCs w:val="28"/>
          <w:lang w:val="en-US"/>
        </w:rPr>
        <w:t>j</w:t>
      </w:r>
      <w:r w:rsidRPr="00CB0434">
        <w:rPr>
          <w:rFonts w:ascii="Times New Roman" w:hAnsi="Times New Roman"/>
          <w:sz w:val="28"/>
          <w:szCs w:val="28"/>
          <w:lang w:val="uk-UA"/>
        </w:rPr>
        <w:t>-го стану зовнішнього середовища;</w:t>
      </w:r>
    </w:p>
    <w:p w:rsidR="00363C28" w:rsidRPr="00CB0434" w:rsidRDefault="00EB5B4E" w:rsidP="00363C28">
      <w:pPr>
        <w:spacing w:after="0" w:line="360" w:lineRule="auto"/>
        <w:ind w:firstLine="709"/>
        <w:jc w:val="both"/>
        <w:rPr>
          <w:rFonts w:ascii="Times New Roman" w:hAnsi="Times New Roman"/>
          <w:sz w:val="28"/>
          <w:szCs w:val="28"/>
          <w:lang w:val="uk-UA"/>
        </w:rPr>
      </w:pPr>
      <m:oMath>
        <m:sSub>
          <m:sSubPr>
            <m:ctrlPr>
              <w:rPr>
                <w:rFonts w:ascii="Cambria Math" w:hAnsi="Cambria Math"/>
                <w:i/>
                <w:sz w:val="28"/>
                <w:szCs w:val="28"/>
                <w:lang w:val="uk-UA" w:eastAsia="ru-RU"/>
              </w:rPr>
            </m:ctrlPr>
          </m:sSubPr>
          <m:e>
            <m:r>
              <w:rPr>
                <w:rFonts w:ascii="Cambria Math" w:hAnsi="Cambria Math"/>
                <w:sz w:val="28"/>
                <w:szCs w:val="28"/>
                <w:lang w:val="uk-UA"/>
              </w:rPr>
              <m:t>P</m:t>
            </m:r>
          </m:e>
          <m:sub>
            <m:r>
              <w:rPr>
                <w:rFonts w:ascii="Cambria Math" w:hAnsi="Cambria Math"/>
                <w:sz w:val="28"/>
                <w:szCs w:val="28"/>
                <w:lang w:val="uk-UA"/>
              </w:rPr>
              <m:t>j</m:t>
            </m:r>
          </m:sub>
        </m:sSub>
      </m:oMath>
      <w:r w:rsidR="00977333">
        <w:rPr>
          <w:rFonts w:ascii="Times New Roman" w:hAnsi="Times New Roman"/>
          <w:sz w:val="28"/>
          <w:szCs w:val="28"/>
          <w:lang w:val="uk-UA"/>
        </w:rPr>
        <w:t xml:space="preserve"> – </w:t>
      </w:r>
      <w:r w:rsidR="00363C28" w:rsidRPr="00CB0434">
        <w:rPr>
          <w:rFonts w:ascii="Times New Roman" w:hAnsi="Times New Roman"/>
          <w:sz w:val="28"/>
          <w:szCs w:val="28"/>
          <w:lang w:val="uk-UA"/>
        </w:rPr>
        <w:t>ймовірність н</w:t>
      </w:r>
      <w:r w:rsidR="00977333">
        <w:rPr>
          <w:rFonts w:ascii="Times New Roman" w:hAnsi="Times New Roman"/>
          <w:sz w:val="28"/>
          <w:szCs w:val="28"/>
          <w:lang w:val="uk-UA"/>
        </w:rPr>
        <w:t xml:space="preserve">астання </w:t>
      </w:r>
      <w:r w:rsidR="00977333">
        <w:rPr>
          <w:rFonts w:ascii="Times New Roman" w:hAnsi="Times New Roman"/>
          <w:i/>
          <w:sz w:val="28"/>
          <w:szCs w:val="28"/>
          <w:lang w:val="en-US"/>
        </w:rPr>
        <w:t>j</w:t>
      </w:r>
      <w:r w:rsidR="00363C28" w:rsidRPr="00CB0434">
        <w:rPr>
          <w:rFonts w:ascii="Times New Roman" w:hAnsi="Times New Roman"/>
          <w:sz w:val="28"/>
          <w:szCs w:val="28"/>
          <w:lang w:val="uk-UA"/>
        </w:rPr>
        <w:t xml:space="preserve">-го стану </w:t>
      </w:r>
      <w:r w:rsidR="00977333">
        <w:rPr>
          <w:rFonts w:ascii="Times New Roman" w:hAnsi="Times New Roman"/>
          <w:sz w:val="28"/>
          <w:szCs w:val="28"/>
          <w:lang w:val="uk-UA"/>
        </w:rPr>
        <w:t>зовнішнього середовища</w:t>
      </w:r>
      <w:r w:rsidR="00363C28" w:rsidRPr="00CB0434">
        <w:rPr>
          <w:rFonts w:ascii="Times New Roman" w:hAnsi="Times New Roman"/>
          <w:sz w:val="28"/>
          <w:szCs w:val="28"/>
          <w:lang w:val="uk-UA"/>
        </w:rPr>
        <w:t>.</w:t>
      </w:r>
    </w:p>
    <w:p w:rsidR="00363C28" w:rsidRPr="008B6793" w:rsidRDefault="00363C28" w:rsidP="00363C28">
      <w:pPr>
        <w:spacing w:after="0" w:line="360" w:lineRule="auto"/>
        <w:ind w:firstLine="709"/>
        <w:jc w:val="both"/>
        <w:rPr>
          <w:rFonts w:ascii="Times New Roman" w:hAnsi="Times New Roman"/>
          <w:sz w:val="28"/>
          <w:szCs w:val="28"/>
          <w:lang w:val="uk-UA"/>
        </w:rPr>
      </w:pPr>
      <w:r w:rsidRPr="008B6793">
        <w:rPr>
          <w:rFonts w:ascii="Times New Roman" w:hAnsi="Times New Roman"/>
          <w:sz w:val="28"/>
          <w:szCs w:val="28"/>
          <w:lang w:val="uk-UA"/>
        </w:rPr>
        <w:t xml:space="preserve">Критерієм вибору найкращого </w:t>
      </w:r>
      <w:r w:rsidR="00DB1F48" w:rsidRPr="008B6793">
        <w:rPr>
          <w:rFonts w:ascii="Times New Roman" w:hAnsi="Times New Roman"/>
          <w:sz w:val="28"/>
          <w:szCs w:val="28"/>
          <w:lang w:val="uk-UA"/>
        </w:rPr>
        <w:t>проєк</w:t>
      </w:r>
      <w:r w:rsidRPr="008B6793">
        <w:rPr>
          <w:rFonts w:ascii="Times New Roman" w:hAnsi="Times New Roman"/>
          <w:sz w:val="28"/>
          <w:szCs w:val="28"/>
          <w:lang w:val="uk-UA"/>
        </w:rPr>
        <w:t>ту</w:t>
      </w:r>
      <w:r w:rsidR="00386301" w:rsidRPr="008B6793">
        <w:rPr>
          <w:rFonts w:ascii="Times New Roman" w:hAnsi="Times New Roman"/>
          <w:sz w:val="28"/>
          <w:szCs w:val="28"/>
          <w:lang w:val="uk-UA"/>
        </w:rPr>
        <w:t xml:space="preserve"> з </w:t>
      </w:r>
      <w:r w:rsidR="00386301" w:rsidRPr="008B6793">
        <w:rPr>
          <w:rStyle w:val="docdata"/>
          <w:rFonts w:ascii="Times New Roman" w:eastAsia="Aptos" w:hAnsi="Times New Roman"/>
          <w:color w:val="000000"/>
          <w:kern w:val="2"/>
          <w:sz w:val="28"/>
          <w:szCs w:val="28"/>
          <w:lang w:val="uk-UA"/>
        </w:rPr>
        <w:t>інвестиційної привабливості</w:t>
      </w:r>
      <w:r w:rsidRPr="008B6793">
        <w:rPr>
          <w:rFonts w:ascii="Times New Roman" w:hAnsi="Times New Roman"/>
          <w:sz w:val="28"/>
          <w:szCs w:val="28"/>
          <w:lang w:val="uk-UA"/>
        </w:rPr>
        <w:t xml:space="preserve"> є максимізація </w:t>
      </w:r>
      <w:r w:rsidRPr="008B6793">
        <w:rPr>
          <w:rFonts w:ascii="Times New Roman" w:hAnsi="Times New Roman"/>
          <w:i/>
          <w:sz w:val="28"/>
          <w:szCs w:val="28"/>
          <w:lang w:val="uk-UA"/>
        </w:rPr>
        <w:t>Е</w:t>
      </w:r>
      <w:r w:rsidRPr="008B6793">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8B6793">
        <w:rPr>
          <w:rFonts w:ascii="Times New Roman" w:hAnsi="Times New Roman"/>
          <w:sz w:val="28"/>
          <w:szCs w:val="28"/>
          <w:lang w:val="uk-UA"/>
        </w:rPr>
        <w:t xml:space="preserve">Як правило, витрати, що виробляються під час реалізації </w:t>
      </w:r>
      <w:r w:rsidR="00DB1F48" w:rsidRPr="008B6793">
        <w:rPr>
          <w:rFonts w:ascii="Times New Roman" w:hAnsi="Times New Roman"/>
          <w:sz w:val="28"/>
          <w:szCs w:val="28"/>
          <w:lang w:val="uk-UA"/>
        </w:rPr>
        <w:t>проєк</w:t>
      </w:r>
      <w:r w:rsidRPr="008B6793">
        <w:rPr>
          <w:rFonts w:ascii="Times New Roman" w:hAnsi="Times New Roman"/>
          <w:sz w:val="28"/>
          <w:szCs w:val="28"/>
          <w:lang w:val="uk-UA"/>
        </w:rPr>
        <w:t>ту</w:t>
      </w:r>
      <w:r w:rsidR="00386301" w:rsidRPr="008B6793">
        <w:rPr>
          <w:rFonts w:ascii="Times New Roman" w:hAnsi="Times New Roman"/>
          <w:sz w:val="28"/>
          <w:szCs w:val="28"/>
          <w:lang w:val="uk-UA"/>
        </w:rPr>
        <w:t xml:space="preserve"> з </w:t>
      </w:r>
      <w:r w:rsidR="00386301" w:rsidRPr="008B6793">
        <w:rPr>
          <w:rStyle w:val="docdata"/>
          <w:rFonts w:ascii="Times New Roman" w:eastAsia="Aptos" w:hAnsi="Times New Roman"/>
          <w:color w:val="000000"/>
          <w:kern w:val="2"/>
          <w:sz w:val="28"/>
          <w:szCs w:val="28"/>
          <w:lang w:val="uk-UA"/>
        </w:rPr>
        <w:t>інвестиційної привабливості</w:t>
      </w:r>
      <w:r w:rsidRPr="008B6793">
        <w:rPr>
          <w:rFonts w:ascii="Times New Roman" w:hAnsi="Times New Roman"/>
          <w:sz w:val="28"/>
          <w:szCs w:val="28"/>
          <w:lang w:val="uk-UA"/>
        </w:rPr>
        <w:t xml:space="preserve">, вимагають здійснення фінансових вкладень не одноразово, а протягом певного, досить тривалого проміжку часу. Такий стан речей дає менеджеру можливість проводити переоцінку своїх вкладень та оперативно реагувати на зміну умов реалізації </w:t>
      </w:r>
      <w:r w:rsidR="00DB1F48" w:rsidRPr="008B6793">
        <w:rPr>
          <w:rFonts w:ascii="Times New Roman" w:hAnsi="Times New Roman"/>
          <w:sz w:val="28"/>
          <w:szCs w:val="28"/>
          <w:lang w:val="uk-UA"/>
        </w:rPr>
        <w:t>проєк</w:t>
      </w:r>
      <w:r w:rsidRPr="008B6793">
        <w:rPr>
          <w:rFonts w:ascii="Times New Roman" w:hAnsi="Times New Roman"/>
          <w:sz w:val="28"/>
          <w:szCs w:val="28"/>
          <w:lang w:val="uk-UA"/>
        </w:rPr>
        <w:t xml:space="preserve">ту. Ризик за </w:t>
      </w:r>
      <w:r w:rsidR="00DB1F48" w:rsidRPr="008B6793">
        <w:rPr>
          <w:rFonts w:ascii="Times New Roman" w:hAnsi="Times New Roman"/>
          <w:sz w:val="28"/>
          <w:szCs w:val="28"/>
          <w:lang w:val="uk-UA"/>
        </w:rPr>
        <w:t>проєк</w:t>
      </w:r>
      <w:r w:rsidRPr="008B6793">
        <w:rPr>
          <w:rFonts w:ascii="Times New Roman" w:hAnsi="Times New Roman"/>
          <w:sz w:val="28"/>
          <w:szCs w:val="28"/>
          <w:lang w:val="uk-UA"/>
        </w:rPr>
        <w:t>тами, при яких інвестування</w:t>
      </w:r>
      <w:r w:rsidRPr="00CB0434">
        <w:rPr>
          <w:rFonts w:ascii="Times New Roman" w:hAnsi="Times New Roman"/>
          <w:sz w:val="28"/>
          <w:szCs w:val="28"/>
          <w:lang w:val="uk-UA"/>
        </w:rPr>
        <w:t xml:space="preserve"> коштів відбувається протягом тривалого часу, часто оцінюється з допомогою дерева рішень </w:t>
      </w:r>
      <w:r w:rsidRPr="00CB0434">
        <w:rPr>
          <w:rFonts w:ascii="Times New Roman" w:eastAsia="Times New Roman" w:hAnsi="Times New Roman"/>
          <w:sz w:val="28"/>
          <w:szCs w:val="28"/>
          <w:lang w:val="uk-UA"/>
        </w:rPr>
        <w:t>[75, c. 269]</w:t>
      </w:r>
      <w:r w:rsidRPr="00CB0434">
        <w:rPr>
          <w:rFonts w:ascii="Times New Roman" w:hAnsi="Times New Roman"/>
          <w:sz w:val="28"/>
          <w:szCs w:val="28"/>
          <w:lang w:val="uk-UA"/>
        </w:rPr>
        <w:t xml:space="preserve">. Зазначимо, що фінансування інвестиційних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тів – це динамічний процес. У кожній вузловій точці дерева рішень умови реалізації </w:t>
      </w:r>
      <w:r w:rsidR="00DB1F48">
        <w:rPr>
          <w:rFonts w:ascii="Times New Roman" w:hAnsi="Times New Roman"/>
          <w:sz w:val="28"/>
          <w:szCs w:val="28"/>
          <w:lang w:val="uk-UA"/>
        </w:rPr>
        <w:t>проєк</w:t>
      </w:r>
      <w:r w:rsidRPr="00CB0434">
        <w:rPr>
          <w:rFonts w:ascii="Times New Roman" w:hAnsi="Times New Roman"/>
          <w:sz w:val="28"/>
          <w:szCs w:val="28"/>
          <w:lang w:val="uk-UA"/>
        </w:rPr>
        <w:t>ту можуть змінитися, що призводить до автоматичної зміни чистої вартості.</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Суть наступного з методів</w:t>
      </w:r>
      <w:r w:rsidR="00DB1F48">
        <w:rPr>
          <w:rFonts w:ascii="Times New Roman" w:hAnsi="Times New Roman"/>
          <w:sz w:val="28"/>
          <w:szCs w:val="28"/>
          <w:lang w:val="uk-UA"/>
        </w:rPr>
        <w:t xml:space="preserve"> – </w:t>
      </w:r>
      <w:r w:rsidR="00FB3C2D">
        <w:rPr>
          <w:rFonts w:ascii="Times New Roman" w:hAnsi="Times New Roman"/>
          <w:sz w:val="28"/>
          <w:szCs w:val="28"/>
          <w:lang w:val="uk-UA"/>
        </w:rPr>
        <w:t>«</w:t>
      </w:r>
      <w:r w:rsidRPr="00CB0434">
        <w:rPr>
          <w:rFonts w:ascii="Times New Roman" w:hAnsi="Times New Roman"/>
          <w:sz w:val="28"/>
          <w:szCs w:val="28"/>
          <w:lang w:val="uk-UA"/>
        </w:rPr>
        <w:t>методу сценаріїв</w:t>
      </w:r>
      <w:r w:rsidR="00FB3C2D">
        <w:rPr>
          <w:rFonts w:ascii="Times New Roman" w:hAnsi="Times New Roman"/>
          <w:sz w:val="28"/>
          <w:szCs w:val="28"/>
          <w:lang w:val="uk-UA"/>
        </w:rPr>
        <w:t>»</w:t>
      </w:r>
      <w:r w:rsidRPr="00CB0434">
        <w:rPr>
          <w:rFonts w:ascii="Times New Roman" w:hAnsi="Times New Roman"/>
          <w:sz w:val="28"/>
          <w:szCs w:val="28"/>
          <w:lang w:val="uk-UA"/>
        </w:rPr>
        <w:t xml:space="preserve"> полягає в наступному:</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за кожним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том будують три його можливі варіанти розвитку: песимістичний, найбільш ймовірний, оптимістичний;</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w:t>
      </w:r>
      <w:r w:rsidR="00363C28" w:rsidRPr="00CB0434">
        <w:rPr>
          <w:rFonts w:ascii="Times New Roman" w:hAnsi="Times New Roman"/>
          <w:sz w:val="28"/>
          <w:szCs w:val="28"/>
          <w:lang w:val="uk-UA"/>
        </w:rPr>
        <w:t xml:space="preserve"> у кожному з варіантів розраховується відповідний </w:t>
      </w:r>
      <w:r w:rsidR="00363C28" w:rsidRPr="00CA0A2F">
        <w:rPr>
          <w:rFonts w:ascii="Times New Roman" w:hAnsi="Times New Roman"/>
          <w:i/>
          <w:sz w:val="28"/>
          <w:szCs w:val="28"/>
          <w:lang w:val="en-US"/>
        </w:rPr>
        <w:t>NPV</w:t>
      </w:r>
      <w:r w:rsidR="00363C28" w:rsidRPr="00CB0434">
        <w:rPr>
          <w:rFonts w:ascii="Times New Roman" w:hAnsi="Times New Roman"/>
          <w:sz w:val="28"/>
          <w:szCs w:val="28"/>
          <w:lang w:val="uk-UA"/>
        </w:rPr>
        <w:t xml:space="preserve">, тобто. одержують три величини: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р</w:t>
      </w:r>
      <w:r w:rsidR="00363C28" w:rsidRPr="00AF7F70">
        <w:rPr>
          <w:rFonts w:ascii="Times New Roman" w:hAnsi="Times New Roman"/>
          <w:sz w:val="28"/>
          <w:szCs w:val="28"/>
          <w:lang w:val="uk-UA"/>
        </w:rPr>
        <w:t>,</w:t>
      </w:r>
      <w:r w:rsidR="00363C28" w:rsidRPr="00CA0A2F">
        <w:rPr>
          <w:rFonts w:ascii="Times New Roman" w:hAnsi="Times New Roman"/>
          <w:i/>
          <w:sz w:val="28"/>
          <w:szCs w:val="28"/>
          <w:lang w:val="uk-UA"/>
        </w:rPr>
        <w:t xml:space="preserve">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en-US"/>
        </w:rPr>
        <w:t>ml</w:t>
      </w:r>
      <w:r w:rsidR="00363C28" w:rsidRPr="00AF7F70">
        <w:rPr>
          <w:rFonts w:ascii="Times New Roman" w:hAnsi="Times New Roman"/>
          <w:sz w:val="28"/>
          <w:szCs w:val="28"/>
          <w:lang w:val="uk-UA"/>
        </w:rPr>
        <w:t>,</w:t>
      </w:r>
      <w:r w:rsidR="00363C28" w:rsidRPr="00CA0A2F">
        <w:rPr>
          <w:rFonts w:ascii="Times New Roman" w:hAnsi="Times New Roman"/>
          <w:i/>
          <w:sz w:val="28"/>
          <w:szCs w:val="28"/>
          <w:lang w:val="uk-UA"/>
        </w:rPr>
        <w:t xml:space="preserve">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о</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для кожного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 xml:space="preserve">ту розраховується розмах варіації </w:t>
      </w:r>
      <w:r w:rsidR="00363C28" w:rsidRPr="00CA0A2F">
        <w:rPr>
          <w:rFonts w:ascii="Times New Roman" w:hAnsi="Times New Roman"/>
          <w:i/>
          <w:sz w:val="28"/>
          <w:szCs w:val="28"/>
          <w:lang w:val="en-US"/>
        </w:rPr>
        <w:t>NPV</w:t>
      </w:r>
      <w:r w:rsidR="00363C28">
        <w:rPr>
          <w:rFonts w:ascii="Times New Roman" w:hAnsi="Times New Roman"/>
          <w:sz w:val="28"/>
          <w:szCs w:val="28"/>
          <w:lang w:val="uk-UA"/>
        </w:rPr>
        <w:t xml:space="preserve"> за формулою: </w:t>
      </w:r>
      <w:r w:rsidR="00363C28" w:rsidRPr="00CA0A2F">
        <w:rPr>
          <w:rFonts w:ascii="Times New Roman" w:hAnsi="Times New Roman"/>
          <w:i/>
          <w:sz w:val="28"/>
          <w:szCs w:val="28"/>
          <w:lang w:val="en-US"/>
        </w:rPr>
        <w:t>R</w:t>
      </w:r>
      <w:r w:rsidR="00363C28" w:rsidRPr="00CA0A2F">
        <w:rPr>
          <w:rFonts w:ascii="Times New Roman" w:hAnsi="Times New Roman"/>
          <w:i/>
          <w:sz w:val="28"/>
          <w:szCs w:val="28"/>
          <w:lang w:val="uk-UA"/>
        </w:rPr>
        <w:t>(</w:t>
      </w:r>
      <w:r w:rsidR="00363C28" w:rsidRPr="00CA0A2F">
        <w:rPr>
          <w:rFonts w:ascii="Times New Roman" w:hAnsi="Times New Roman"/>
          <w:i/>
          <w:sz w:val="28"/>
          <w:szCs w:val="28"/>
          <w:lang w:val="en-US"/>
        </w:rPr>
        <w:t>NPV</w:t>
      </w:r>
      <w:r w:rsidR="00363C28" w:rsidRPr="00CA0A2F">
        <w:rPr>
          <w:rFonts w:ascii="Times New Roman" w:hAnsi="Times New Roman"/>
          <w:i/>
          <w:sz w:val="28"/>
          <w:szCs w:val="28"/>
          <w:lang w:val="uk-UA"/>
        </w:rPr>
        <w:t xml:space="preserve">) =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о</w:t>
      </w:r>
      <w:r w:rsidR="00DB1F48">
        <w:rPr>
          <w:rFonts w:ascii="Times New Roman" w:hAnsi="Times New Roman"/>
          <w:i/>
          <w:sz w:val="28"/>
          <w:szCs w:val="28"/>
          <w:lang w:val="uk-UA"/>
        </w:rPr>
        <w:t xml:space="preserve"> –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р</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із двох порівнюваних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 xml:space="preserve">тів той вважається більш ризикованим, у якого розмах варіації </w:t>
      </w:r>
      <w:r w:rsidR="00363C28" w:rsidRPr="00CA0A2F">
        <w:rPr>
          <w:rFonts w:ascii="Times New Roman" w:hAnsi="Times New Roman"/>
          <w:i/>
          <w:sz w:val="28"/>
          <w:szCs w:val="28"/>
          <w:lang w:val="en-US"/>
        </w:rPr>
        <w:t>NPV</w:t>
      </w:r>
      <w:r w:rsidR="00363C28" w:rsidRPr="00CB0434">
        <w:rPr>
          <w:rFonts w:ascii="Times New Roman" w:hAnsi="Times New Roman"/>
          <w:sz w:val="28"/>
          <w:szCs w:val="28"/>
          <w:lang w:val="uk-UA"/>
        </w:rPr>
        <w:t xml:space="preserve"> більший.</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У табл. У.1 (додаток У) показаний приклад розрахунку з урахуванням методу сценаріїв двох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тів, </w:t>
      </w:r>
      <w:r w:rsidR="00FB3C2D">
        <w:rPr>
          <w:rFonts w:ascii="Times New Roman" w:hAnsi="Times New Roman"/>
          <w:sz w:val="28"/>
          <w:szCs w:val="28"/>
          <w:lang w:val="uk-UA"/>
        </w:rPr>
        <w:t xml:space="preserve">що </w:t>
      </w:r>
      <w:r w:rsidRPr="00CB0434">
        <w:rPr>
          <w:rFonts w:ascii="Times New Roman" w:hAnsi="Times New Roman"/>
          <w:sz w:val="28"/>
          <w:szCs w:val="28"/>
          <w:lang w:val="uk-UA"/>
        </w:rPr>
        <w:t>мають однакові щорічні грошові надходження.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Таким чином, </w:t>
      </w:r>
      <w:r w:rsidR="00DB1F48">
        <w:rPr>
          <w:rFonts w:ascii="Times New Roman" w:hAnsi="Times New Roman"/>
          <w:sz w:val="28"/>
          <w:szCs w:val="28"/>
          <w:lang w:val="uk-UA"/>
        </w:rPr>
        <w:t>проєк</w:t>
      </w:r>
      <w:r w:rsidRPr="00CB0434">
        <w:rPr>
          <w:rFonts w:ascii="Times New Roman" w:hAnsi="Times New Roman"/>
          <w:sz w:val="28"/>
          <w:szCs w:val="28"/>
          <w:lang w:val="uk-UA"/>
        </w:rPr>
        <w:t>т</w:t>
      </w:r>
      <w:r w:rsidRPr="00CA0A2F">
        <w:rPr>
          <w:rFonts w:ascii="Times New Roman" w:hAnsi="Times New Roman"/>
          <w:sz w:val="28"/>
          <w:szCs w:val="28"/>
        </w:rPr>
        <w:t xml:space="preserve"> </w:t>
      </w:r>
      <w:r w:rsidRPr="00CA0A2F">
        <w:rPr>
          <w:rFonts w:ascii="Times New Roman" w:hAnsi="Times New Roman"/>
          <w:i/>
          <w:sz w:val="28"/>
          <w:szCs w:val="28"/>
          <w:lang w:val="en-US"/>
        </w:rPr>
        <w:t>B</w:t>
      </w:r>
      <w:r w:rsidRPr="00CB0434">
        <w:rPr>
          <w:rFonts w:ascii="Times New Roman" w:hAnsi="Times New Roman"/>
          <w:sz w:val="28"/>
          <w:szCs w:val="28"/>
          <w:lang w:val="uk-UA"/>
        </w:rPr>
        <w:t xml:space="preserve"> передбачає більший </w:t>
      </w:r>
      <w:r w:rsidRPr="00CA0A2F">
        <w:rPr>
          <w:rFonts w:ascii="Times New Roman" w:hAnsi="Times New Roman"/>
          <w:i/>
          <w:sz w:val="28"/>
          <w:szCs w:val="28"/>
          <w:lang w:val="en-US"/>
        </w:rPr>
        <w:t>NPV</w:t>
      </w:r>
      <w:r w:rsidRPr="00CB0434">
        <w:rPr>
          <w:rFonts w:ascii="Times New Roman" w:hAnsi="Times New Roman"/>
          <w:sz w:val="28"/>
          <w:szCs w:val="28"/>
          <w:lang w:val="uk-UA"/>
        </w:rPr>
        <w:t>, але в той же час він більш ризикований.</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Існують модифікації розглянутої методики,</w:t>
      </w:r>
      <w:r w:rsidR="00FB3C2D">
        <w:rPr>
          <w:rFonts w:ascii="Times New Roman" w:hAnsi="Times New Roman"/>
          <w:sz w:val="28"/>
          <w:szCs w:val="28"/>
          <w:lang w:val="uk-UA"/>
        </w:rPr>
        <w:t xml:space="preserve"> </w:t>
      </w:r>
      <w:r w:rsidRPr="00CB0434">
        <w:rPr>
          <w:rFonts w:ascii="Times New Roman" w:hAnsi="Times New Roman"/>
          <w:sz w:val="28"/>
          <w:szCs w:val="28"/>
          <w:lang w:val="uk-UA"/>
        </w:rPr>
        <w:t>які передбачають застосування інших кількісних ймовірнісних оцінок. У цьому випадку методика може мати вигляд:</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за кожним варіантом розраховується песимістична, найбільш ймовірна та оптимістична оцінки грошових надходжень та </w:t>
      </w:r>
      <w:r w:rsidR="00363C28" w:rsidRPr="00AF7F70">
        <w:rPr>
          <w:rFonts w:ascii="Times New Roman" w:hAnsi="Times New Roman"/>
          <w:i/>
          <w:sz w:val="28"/>
          <w:szCs w:val="28"/>
          <w:lang w:val="en-US"/>
        </w:rPr>
        <w:t>NPV</w:t>
      </w:r>
      <w:r w:rsidR="00363C28" w:rsidRPr="00CB0434">
        <w:rPr>
          <w:rFonts w:ascii="Times New Roman" w:hAnsi="Times New Roman"/>
          <w:sz w:val="28"/>
          <w:szCs w:val="28"/>
          <w:lang w:val="uk-UA"/>
        </w:rPr>
        <w:t>;</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для кожного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 xml:space="preserve">ту значенням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р</w:t>
      </w:r>
      <w:r w:rsidR="00363C28" w:rsidRPr="00AF7F70">
        <w:rPr>
          <w:rFonts w:ascii="Times New Roman" w:hAnsi="Times New Roman"/>
          <w:sz w:val="28"/>
          <w:szCs w:val="28"/>
          <w:lang w:val="uk-UA"/>
        </w:rPr>
        <w:t>,</w:t>
      </w:r>
      <w:r w:rsidR="00363C28" w:rsidRPr="00CA0A2F">
        <w:rPr>
          <w:rFonts w:ascii="Times New Roman" w:hAnsi="Times New Roman"/>
          <w:i/>
          <w:sz w:val="28"/>
          <w:szCs w:val="28"/>
          <w:lang w:val="uk-UA"/>
        </w:rPr>
        <w:t xml:space="preserve">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en-US"/>
        </w:rPr>
        <w:t>ml</w:t>
      </w:r>
      <w:r w:rsidR="00363C28" w:rsidRPr="00AF7F70">
        <w:rPr>
          <w:rFonts w:ascii="Times New Roman" w:hAnsi="Times New Roman"/>
          <w:sz w:val="28"/>
          <w:szCs w:val="28"/>
          <w:lang w:val="uk-UA"/>
        </w:rPr>
        <w:t>,</w:t>
      </w:r>
      <w:r w:rsidR="00363C28" w:rsidRPr="00CA0A2F">
        <w:rPr>
          <w:rFonts w:ascii="Times New Roman" w:hAnsi="Times New Roman"/>
          <w:i/>
          <w:sz w:val="28"/>
          <w:szCs w:val="28"/>
          <w:lang w:val="uk-UA"/>
        </w:rPr>
        <w:t xml:space="preserve"> </w:t>
      </w:r>
      <w:r w:rsidR="00363C28" w:rsidRPr="00CA0A2F">
        <w:rPr>
          <w:rFonts w:ascii="Times New Roman" w:hAnsi="Times New Roman"/>
          <w:i/>
          <w:sz w:val="28"/>
          <w:szCs w:val="28"/>
          <w:lang w:val="en-US"/>
        </w:rPr>
        <w:t>NPV</w:t>
      </w:r>
      <w:r w:rsidR="00363C28" w:rsidRPr="00AF7F70">
        <w:rPr>
          <w:rFonts w:ascii="Times New Roman" w:hAnsi="Times New Roman"/>
          <w:i/>
          <w:sz w:val="28"/>
          <w:szCs w:val="28"/>
          <w:vertAlign w:val="subscript"/>
          <w:lang w:val="uk-UA"/>
        </w:rPr>
        <w:t>о</w:t>
      </w:r>
      <w:r w:rsidR="00363C28" w:rsidRPr="00CB0434">
        <w:rPr>
          <w:rFonts w:ascii="Times New Roman" w:hAnsi="Times New Roman"/>
          <w:sz w:val="28"/>
          <w:szCs w:val="28"/>
          <w:lang w:val="uk-UA"/>
        </w:rPr>
        <w:t xml:space="preserve"> надаються ймовірності їх здійснення;</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для кожного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 xml:space="preserve">ту розраховується ймовірне значення </w:t>
      </w:r>
      <w:r w:rsidR="00FB3C2D" w:rsidRPr="00D211D1">
        <w:rPr>
          <w:rFonts w:ascii="Times New Roman" w:hAnsi="Times New Roman"/>
          <w:i/>
          <w:sz w:val="28"/>
          <w:szCs w:val="28"/>
          <w:lang w:val="en-US"/>
        </w:rPr>
        <w:t>NPV</w:t>
      </w:r>
      <w:r w:rsidR="00363C28" w:rsidRPr="00CB0434">
        <w:rPr>
          <w:rFonts w:ascii="Times New Roman" w:hAnsi="Times New Roman"/>
          <w:sz w:val="28"/>
          <w:szCs w:val="28"/>
          <w:lang w:val="uk-UA"/>
        </w:rPr>
        <w:t>, зважене за наданими ймовірностями та середнє квадратичне відхилення від нього;</w:t>
      </w:r>
    </w:p>
    <w:p w:rsidR="00363C28" w:rsidRPr="00CB0434"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w:t>
      </w:r>
      <w:r w:rsidR="00DB1F48">
        <w:rPr>
          <w:rFonts w:ascii="Times New Roman" w:hAnsi="Times New Roman"/>
          <w:sz w:val="28"/>
          <w:szCs w:val="28"/>
          <w:lang w:val="uk-UA"/>
        </w:rPr>
        <w:t>проєк</w:t>
      </w:r>
      <w:r w:rsidR="00363C28" w:rsidRPr="00CB0434">
        <w:rPr>
          <w:rFonts w:ascii="Times New Roman" w:hAnsi="Times New Roman"/>
          <w:sz w:val="28"/>
          <w:szCs w:val="28"/>
          <w:lang w:val="uk-UA"/>
        </w:rPr>
        <w:t>т із великим значенням середнього квадратичного відхилення вважається ризикованим</w:t>
      </w:r>
      <w:r w:rsidR="000A5361" w:rsidRPr="000A5361">
        <w:rPr>
          <w:rFonts w:ascii="Times New Roman" w:hAnsi="Times New Roman"/>
          <w:sz w:val="28"/>
          <w:szCs w:val="28"/>
        </w:rPr>
        <w:t xml:space="preserve"> </w:t>
      </w:r>
      <w:r w:rsidR="000A5361" w:rsidRPr="000A5361">
        <w:rPr>
          <w:rFonts w:ascii="Times New Roman" w:eastAsia="Times New Roman" w:hAnsi="Times New Roman"/>
          <w:sz w:val="28"/>
          <w:szCs w:val="28"/>
        </w:rPr>
        <w:t>[48, c. 218]</w:t>
      </w:r>
      <w:r w:rsidR="00363C28" w:rsidRPr="00CB0434">
        <w:rPr>
          <w:rFonts w:ascii="Times New Roman" w:hAnsi="Times New Roman"/>
          <w:sz w:val="28"/>
          <w:szCs w:val="28"/>
          <w:lang w:val="uk-UA"/>
        </w:rPr>
        <w:t>.</w:t>
      </w:r>
    </w:p>
    <w:p w:rsidR="00336F0C" w:rsidRDefault="00363C28" w:rsidP="00336F0C">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Імітаційне моделювання за методом Монте-Карло дозволяє побудувати математичну модель для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з невизначеними значеннями параметрів, і, знаючи ймовірні розподіли параметрів </w:t>
      </w:r>
      <w:r w:rsidR="00DB1F48">
        <w:rPr>
          <w:rFonts w:ascii="Times New Roman" w:hAnsi="Times New Roman"/>
          <w:sz w:val="28"/>
          <w:szCs w:val="28"/>
          <w:lang w:val="uk-UA"/>
        </w:rPr>
        <w:t>проєк</w:t>
      </w:r>
      <w:r w:rsidRPr="00CB0434">
        <w:rPr>
          <w:rFonts w:ascii="Times New Roman" w:hAnsi="Times New Roman"/>
          <w:sz w:val="28"/>
          <w:szCs w:val="28"/>
          <w:lang w:val="uk-UA"/>
        </w:rPr>
        <w:t>ту, а також зв'язок між змінами параметрів (кореляцію)</w:t>
      </w:r>
      <w:r w:rsidR="00FB3C2D">
        <w:rPr>
          <w:rFonts w:ascii="Times New Roman" w:hAnsi="Times New Roman"/>
          <w:sz w:val="28"/>
          <w:szCs w:val="28"/>
          <w:lang w:val="uk-UA"/>
        </w:rPr>
        <w:t>,</w:t>
      </w:r>
      <w:r w:rsidRPr="00CB0434">
        <w:rPr>
          <w:rFonts w:ascii="Times New Roman" w:hAnsi="Times New Roman"/>
          <w:sz w:val="28"/>
          <w:szCs w:val="28"/>
          <w:lang w:val="uk-UA"/>
        </w:rPr>
        <w:t xml:space="preserve"> отримати розподіл прибутковості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w:t>
      </w:r>
      <w:r w:rsidR="00336F0C">
        <w:rPr>
          <w:rFonts w:ascii="Times New Roman" w:hAnsi="Times New Roman"/>
          <w:sz w:val="28"/>
          <w:szCs w:val="28"/>
          <w:lang w:val="uk-UA"/>
        </w:rPr>
        <w:br/>
      </w:r>
      <w:r w:rsidRPr="00CB0434">
        <w:rPr>
          <w:rFonts w:ascii="Times New Roman" w:eastAsia="Times New Roman" w:hAnsi="Times New Roman"/>
          <w:sz w:val="28"/>
          <w:szCs w:val="28"/>
          <w:lang w:val="uk-UA"/>
        </w:rPr>
        <w:t>[38, c. 179]</w:t>
      </w:r>
      <w:r w:rsidR="00336F0C">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Наступний метод, що застосовується при прийнятті інвестиційних рішень в умовах ризику</w:t>
      </w:r>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оцінки «чутливості» інвестиційних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тів проводяться з метою виявлення (визначення) реальних факторів ризиків </w:t>
      </w:r>
      <w:r w:rsidRPr="00CB0434">
        <w:rPr>
          <w:rFonts w:ascii="Times New Roman" w:hAnsi="Times New Roman"/>
          <w:sz w:val="28"/>
          <w:szCs w:val="28"/>
          <w:lang w:val="uk-UA"/>
        </w:rPr>
        <w:lastRenderedPageBreak/>
        <w:t xml:space="preserve">шляхом відбору найбільш суттєвих. Поняття </w:t>
      </w:r>
      <w:r w:rsidR="00B4420B">
        <w:rPr>
          <w:rFonts w:ascii="Times New Roman" w:hAnsi="Times New Roman"/>
          <w:sz w:val="28"/>
          <w:szCs w:val="28"/>
          <w:lang w:val="uk-UA"/>
        </w:rPr>
        <w:t>«</w:t>
      </w:r>
      <w:r w:rsidRPr="00CB0434">
        <w:rPr>
          <w:rFonts w:ascii="Times New Roman" w:hAnsi="Times New Roman"/>
          <w:sz w:val="28"/>
          <w:szCs w:val="28"/>
          <w:lang w:val="uk-UA"/>
        </w:rPr>
        <w:t>чутливості</w:t>
      </w:r>
      <w:r w:rsidR="00B4420B">
        <w:rPr>
          <w:rFonts w:ascii="Times New Roman" w:hAnsi="Times New Roman"/>
          <w:sz w:val="28"/>
          <w:szCs w:val="28"/>
          <w:lang w:val="uk-UA"/>
        </w:rPr>
        <w:t>»</w:t>
      </w:r>
      <w:r w:rsidRPr="00CB0434">
        <w:rPr>
          <w:rFonts w:ascii="Times New Roman" w:hAnsi="Times New Roman"/>
          <w:sz w:val="28"/>
          <w:szCs w:val="28"/>
          <w:lang w:val="uk-UA"/>
        </w:rPr>
        <w:t xml:space="preserve"> до ризиків </w:t>
      </w:r>
      <w:r w:rsidR="00DB1F48">
        <w:rPr>
          <w:rFonts w:ascii="Times New Roman" w:hAnsi="Times New Roman"/>
          <w:sz w:val="28"/>
          <w:szCs w:val="28"/>
          <w:lang w:val="uk-UA"/>
        </w:rPr>
        <w:t>проєк</w:t>
      </w:r>
      <w:r w:rsidRPr="00CB0434">
        <w:rPr>
          <w:rFonts w:ascii="Times New Roman" w:hAnsi="Times New Roman"/>
          <w:sz w:val="28"/>
          <w:szCs w:val="28"/>
          <w:lang w:val="uk-UA"/>
        </w:rPr>
        <w:t xml:space="preserve">ту було привнесено (за своїм змістом) з </w:t>
      </w:r>
      <w:r w:rsidR="0060362D">
        <w:rPr>
          <w:rFonts w:ascii="Times New Roman" w:hAnsi="Times New Roman"/>
          <w:sz w:val="28"/>
          <w:szCs w:val="28"/>
          <w:lang w:val="uk-UA"/>
        </w:rPr>
        <w:t>«</w:t>
      </w:r>
      <w:r w:rsidRPr="00CB0434">
        <w:rPr>
          <w:rFonts w:ascii="Times New Roman" w:hAnsi="Times New Roman"/>
          <w:sz w:val="28"/>
          <w:szCs w:val="28"/>
          <w:lang w:val="uk-UA"/>
        </w:rPr>
        <w:t>теорії планування експерименту</w:t>
      </w:r>
      <w:r w:rsidR="0060362D">
        <w:rPr>
          <w:rFonts w:ascii="Times New Roman" w:hAnsi="Times New Roman"/>
          <w:sz w:val="28"/>
          <w:szCs w:val="28"/>
          <w:lang w:val="uk-UA"/>
        </w:rPr>
        <w:t>»</w:t>
      </w:r>
      <w:r w:rsidRPr="00CB0434">
        <w:rPr>
          <w:rFonts w:ascii="Times New Roman" w:hAnsi="Times New Roman"/>
          <w:sz w:val="28"/>
          <w:szCs w:val="28"/>
          <w:lang w:val="uk-UA"/>
        </w:rPr>
        <w:t xml:space="preserve"> </w:t>
      </w:r>
      <w:r w:rsidRPr="00CB0434">
        <w:rPr>
          <w:rFonts w:ascii="Times New Roman" w:eastAsia="Times New Roman" w:hAnsi="Times New Roman"/>
          <w:sz w:val="28"/>
          <w:szCs w:val="28"/>
          <w:lang w:val="uk-UA"/>
        </w:rPr>
        <w:t>[48, c. 278]</w:t>
      </w:r>
      <w:r w:rsidRPr="00CB0434">
        <w:rPr>
          <w:rFonts w:ascii="Times New Roman" w:hAnsi="Times New Roman"/>
          <w:sz w:val="28"/>
          <w:szCs w:val="28"/>
          <w:lang w:val="uk-UA"/>
        </w:rPr>
        <w:t>, вивчення інтенсивності реакції контрольованих параметрів зміни чинників екзогенного характеру.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 інвестиційному та економіко-математичному аналізі цей підхід використовується для виявлення найбільш важливих (істотних) параметрів регулювання моделі, що описує залежність між вхідними та вихідними параметрами.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У формалізованому записі загальному вигляді визначення чутливості функцій описується значеннями першої похідної безперервної функції:</w:t>
      </w:r>
    </w:p>
    <w:p w:rsidR="00363C28" w:rsidRPr="00CB0434"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у</w:t>
      </w:r>
      <w:r w:rsidRPr="00CB0434">
        <w:rPr>
          <w:rFonts w:ascii="Times New Roman" w:hAnsi="Times New Roman"/>
          <w:sz w:val="28"/>
          <w:szCs w:val="28"/>
          <w:lang w:val="uk-UA"/>
        </w:rPr>
        <w:t>'</w:t>
      </w:r>
      <w:r w:rsidRPr="009E7478">
        <w:rPr>
          <w:rFonts w:ascii="Times New Roman" w:hAnsi="Times New Roman"/>
          <w:sz w:val="28"/>
          <w:szCs w:val="28"/>
          <w:lang w:val="uk-UA"/>
        </w:rPr>
        <w:t xml:space="preserve"> =</w:t>
      </w:r>
      <w:r w:rsidR="003240EE">
        <w:rPr>
          <w:rFonts w:ascii="Times New Roman" w:hAnsi="Times New Roman"/>
          <w:sz w:val="28"/>
          <w:szCs w:val="28"/>
          <w:lang w:val="uk-UA"/>
        </w:rPr>
        <w:t> </w:t>
      </w:r>
      <w:r w:rsidRPr="00AF7F70">
        <w:rPr>
          <w:rFonts w:ascii="Times New Roman" w:hAnsi="Times New Roman"/>
          <w:i/>
          <w:sz w:val="28"/>
          <w:szCs w:val="28"/>
          <w:lang w:val="uk-UA"/>
        </w:rPr>
        <w:t>f</w:t>
      </w:r>
      <w:r w:rsidR="003240EE">
        <w:rPr>
          <w:rFonts w:ascii="Times New Roman" w:hAnsi="Times New Roman"/>
          <w:i/>
          <w:sz w:val="28"/>
          <w:szCs w:val="28"/>
          <w:lang w:val="uk-UA"/>
        </w:rPr>
        <w:t xml:space="preserve"> </w:t>
      </w:r>
      <w:r w:rsidRPr="009E7478">
        <w:rPr>
          <w:rFonts w:ascii="Times New Roman" w:hAnsi="Times New Roman"/>
          <w:sz w:val="28"/>
          <w:szCs w:val="28"/>
          <w:lang w:val="uk-UA"/>
        </w:rPr>
        <w:t>'</w:t>
      </w:r>
      <w:r w:rsidR="003240EE">
        <w:rPr>
          <w:rFonts w:ascii="Times New Roman" w:hAnsi="Times New Roman"/>
          <w:sz w:val="28"/>
          <w:szCs w:val="28"/>
          <w:lang w:val="uk-UA"/>
        </w:rPr>
        <w:t> </w:t>
      </w:r>
      <w:r w:rsidRPr="009E7478">
        <w:rPr>
          <w:rFonts w:ascii="Times New Roman" w:hAnsi="Times New Roman"/>
          <w:sz w:val="28"/>
          <w:szCs w:val="28"/>
          <w:lang w:val="uk-UA"/>
        </w:rPr>
        <w:t>(</w:t>
      </w:r>
      <w:r w:rsidRPr="00AF7F70">
        <w:rPr>
          <w:rFonts w:ascii="Times New Roman" w:hAnsi="Times New Roman"/>
          <w:i/>
          <w:sz w:val="28"/>
          <w:szCs w:val="28"/>
          <w:lang w:val="uk-UA"/>
        </w:rPr>
        <w:t>x</w:t>
      </w:r>
      <w:r w:rsidRPr="009E7478">
        <w:rPr>
          <w:rFonts w:ascii="Times New Roman" w:hAnsi="Times New Roman"/>
          <w:sz w:val="28"/>
          <w:szCs w:val="28"/>
          <w:lang w:val="uk-UA"/>
        </w:rPr>
        <w:t>)</w:t>
      </w:r>
      <w:r w:rsidR="003240EE">
        <w:rPr>
          <w:rFonts w:ascii="Times New Roman" w:hAnsi="Times New Roman"/>
          <w:sz w:val="28"/>
          <w:szCs w:val="28"/>
          <w:lang w:val="uk-UA"/>
        </w:rPr>
        <w:t> </w:t>
      </w:r>
      <w:r w:rsidRPr="009E7478">
        <w:rPr>
          <w:rFonts w:ascii="Times New Roman" w:hAnsi="Times New Roman"/>
          <w:sz w:val="28"/>
          <w:szCs w:val="28"/>
          <w:lang w:val="uk-UA"/>
        </w:rPr>
        <w:t>=</w:t>
      </w:r>
      <w:r w:rsidR="003240EE">
        <w:rPr>
          <w:rFonts w:ascii="Times New Roman" w:hAnsi="Times New Roman"/>
          <w:sz w:val="28"/>
          <w:szCs w:val="28"/>
          <w:lang w:val="uk-UA"/>
        </w:rPr>
        <w:t> </w:t>
      </w:r>
      <w:r w:rsidRPr="00AF7F70">
        <w:rPr>
          <w:rFonts w:ascii="Times New Roman" w:hAnsi="Times New Roman"/>
          <w:i/>
          <w:sz w:val="28"/>
          <w:szCs w:val="28"/>
          <w:lang w:val="uk-UA"/>
        </w:rPr>
        <w:t>dy</w:t>
      </w:r>
      <w:r w:rsidR="003240EE">
        <w:rPr>
          <w:rFonts w:ascii="Times New Roman" w:hAnsi="Times New Roman"/>
          <w:sz w:val="28"/>
          <w:szCs w:val="28"/>
          <w:lang w:val="uk-UA"/>
        </w:rPr>
        <w:t> </w:t>
      </w:r>
      <w:r w:rsidRPr="009E7478">
        <w:rPr>
          <w:rFonts w:ascii="Times New Roman" w:hAnsi="Times New Roman"/>
          <w:sz w:val="28"/>
          <w:szCs w:val="28"/>
          <w:lang w:val="uk-UA"/>
        </w:rPr>
        <w:t>/</w:t>
      </w:r>
      <w:r w:rsidR="003240EE">
        <w:rPr>
          <w:rFonts w:ascii="Times New Roman" w:hAnsi="Times New Roman"/>
          <w:sz w:val="28"/>
          <w:szCs w:val="28"/>
          <w:lang w:val="uk-UA"/>
        </w:rPr>
        <w:t> </w:t>
      </w:r>
      <w:r w:rsidRPr="00AF7F70">
        <w:rPr>
          <w:rFonts w:ascii="Times New Roman" w:hAnsi="Times New Roman"/>
          <w:i/>
          <w:sz w:val="28"/>
          <w:szCs w:val="28"/>
          <w:lang w:val="uk-UA"/>
        </w:rPr>
        <w:t>dx</w:t>
      </w:r>
      <w:r>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w:r w:rsidR="003240EE">
        <w:rPr>
          <w:rFonts w:ascii="Times New Roman" w:hAnsi="Times New Roman"/>
          <w:i/>
          <w:sz w:val="28"/>
          <w:szCs w:val="28"/>
          <w:lang w:val="uk-UA"/>
        </w:rPr>
        <w:t xml:space="preserve"> </w:t>
      </w:r>
      <w:r w:rsidRPr="009E7478">
        <w:rPr>
          <w:rFonts w:ascii="Times New Roman" w:hAnsi="Times New Roman"/>
          <w:i/>
          <w:sz w:val="28"/>
          <w:szCs w:val="28"/>
          <w:lang w:val="uk-UA"/>
        </w:rPr>
        <w:t>х</w:t>
      </w:r>
      <w:r w:rsidR="003240EE">
        <w:rPr>
          <w:rFonts w:ascii="Times New Roman" w:hAnsi="Times New Roman"/>
          <w:i/>
          <w:sz w:val="28"/>
          <w:szCs w:val="28"/>
          <w:lang w:val="uk-UA"/>
        </w:rPr>
        <w:t xml:space="preserve"> </w:t>
      </w:r>
      <w:r w:rsidR="003240EE">
        <w:rPr>
          <w:rFonts w:ascii="Times New Roman" w:hAnsi="Times New Roman"/>
          <w:sz w:val="28"/>
          <w:szCs w:val="28"/>
          <w:lang w:val="uk-UA"/>
        </w:rPr>
        <w:t xml:space="preserve">– </w:t>
      </w:r>
      <w:r w:rsidRPr="00CB0434">
        <w:rPr>
          <w:rFonts w:ascii="Times New Roman" w:hAnsi="Times New Roman"/>
          <w:sz w:val="28"/>
          <w:szCs w:val="28"/>
          <w:lang w:val="uk-UA"/>
        </w:rPr>
        <w:t>досліджувана на чутливість незалежна змінна.</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Послідовне використання як аргументів всіх характеристик, що входять у формулу показника-індикатора ризиків</w:t>
      </w:r>
      <w:r w:rsidR="003240EE">
        <w:rPr>
          <w:rFonts w:ascii="Times New Roman" w:hAnsi="Times New Roman"/>
          <w:sz w:val="28"/>
          <w:szCs w:val="28"/>
          <w:lang w:val="uk-UA"/>
        </w:rPr>
        <w:t>,</w:t>
      </w:r>
      <w:r w:rsidRPr="00CB0434">
        <w:rPr>
          <w:rFonts w:ascii="Times New Roman" w:hAnsi="Times New Roman"/>
          <w:sz w:val="28"/>
          <w:szCs w:val="28"/>
          <w:lang w:val="uk-UA"/>
        </w:rPr>
        <w:t xml:space="preserve"> і подальше визначення похідних дозволяє проранжувати ці характеристики за ступенем зменшення чутливості.</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На основі критеріїв оцінок суттєвості впливу з'являється можливість відбору найбільш чутливих індикаторів ризиків </w:t>
      </w:r>
      <w:r w:rsidR="00DB1F48">
        <w:rPr>
          <w:rFonts w:ascii="Times New Roman" w:hAnsi="Times New Roman"/>
          <w:sz w:val="28"/>
          <w:szCs w:val="28"/>
          <w:lang w:val="uk-UA"/>
        </w:rPr>
        <w:t>проєк</w:t>
      </w:r>
      <w:r w:rsidRPr="00CB0434">
        <w:rPr>
          <w:rFonts w:ascii="Times New Roman" w:hAnsi="Times New Roman"/>
          <w:sz w:val="28"/>
          <w:szCs w:val="28"/>
          <w:lang w:val="uk-UA"/>
        </w:rPr>
        <w:t>ту, що істотно погіршують параметри.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Так, показник </w:t>
      </w:r>
      <w:r w:rsidRPr="00AF7F70">
        <w:rPr>
          <w:rFonts w:ascii="Times New Roman" w:hAnsi="Times New Roman"/>
          <w:i/>
          <w:sz w:val="28"/>
          <w:szCs w:val="28"/>
          <w:lang w:val="en-US"/>
        </w:rPr>
        <w:t>NPV</w:t>
      </w:r>
      <w:r w:rsidRPr="00CB0434">
        <w:rPr>
          <w:rFonts w:ascii="Times New Roman" w:hAnsi="Times New Roman"/>
          <w:sz w:val="28"/>
          <w:szCs w:val="28"/>
          <w:lang w:val="uk-UA"/>
        </w:rPr>
        <w:t xml:space="preserve"> може бути </w:t>
      </w:r>
      <w:r w:rsidR="003240EE">
        <w:rPr>
          <w:rFonts w:ascii="Times New Roman" w:hAnsi="Times New Roman"/>
          <w:sz w:val="28"/>
          <w:szCs w:val="28"/>
          <w:lang w:val="uk-UA"/>
        </w:rPr>
        <w:t>визначений</w:t>
      </w:r>
      <w:r w:rsidRPr="00CB0434">
        <w:rPr>
          <w:rFonts w:ascii="Times New Roman" w:hAnsi="Times New Roman"/>
          <w:sz w:val="28"/>
          <w:szCs w:val="28"/>
          <w:lang w:val="uk-UA"/>
        </w:rPr>
        <w:t>, як баланс притоків та відтоків коштів, у спрощеному вигляді:</w:t>
      </w:r>
    </w:p>
    <w:p w:rsidR="00363C28" w:rsidRPr="006F455B"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sz w:val="28"/>
            <w:szCs w:val="28"/>
            <w:lang w:val="uk-UA"/>
          </w:rPr>
          <m:t>NPV=</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t</m:t>
            </m:r>
          </m:sub>
          <m:sup>
            <m:r>
              <w:rPr>
                <w:rFonts w:ascii="Cambria Math" w:hAnsi="Cambria Math"/>
                <w:sz w:val="28"/>
                <w:szCs w:val="28"/>
                <w:lang w:val="uk-UA"/>
              </w:rPr>
              <m:t>n</m:t>
            </m:r>
          </m:sup>
          <m:e>
            <m:r>
              <w:rPr>
                <w:rFonts w:ascii="Cambria Math" w:hAnsi="Cambria Math"/>
                <w:sz w:val="28"/>
                <w:szCs w:val="28"/>
                <w:lang w:val="uk-UA"/>
              </w:rPr>
              <m:t>(</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i=1</m:t>
                </m:r>
              </m:sub>
              <m:sup>
                <m:r>
                  <w:rPr>
                    <w:rFonts w:ascii="Cambria Math" w:hAnsi="Cambria Math"/>
                    <w:sz w:val="28"/>
                    <w:szCs w:val="28"/>
                    <w:lang w:val="uk-UA"/>
                  </w:rPr>
                  <m:t>k</m:t>
                </m:r>
              </m:sup>
              <m:e>
                <m:sSub>
                  <m:sSubPr>
                    <m:ctrlPr>
                      <w:rPr>
                        <w:rFonts w:ascii="Cambria Math" w:hAnsi="Cambria Math"/>
                        <w:i/>
                        <w:sz w:val="28"/>
                        <w:szCs w:val="28"/>
                        <w:lang w:val="uk-UA" w:eastAsia="ru-RU"/>
                      </w:rPr>
                    </m:ctrlPr>
                  </m:sSubPr>
                  <m:e>
                    <m:r>
                      <w:rPr>
                        <w:rFonts w:ascii="Cambria Math" w:hAnsi="Cambria Math"/>
                        <w:sz w:val="28"/>
                        <w:szCs w:val="28"/>
                        <w:lang w:val="uk-UA"/>
                      </w:rPr>
                      <m:t>a</m:t>
                    </m:r>
                  </m:e>
                  <m:sub>
                    <m:r>
                      <w:rPr>
                        <w:rFonts w:ascii="Cambria Math" w:hAnsi="Cambria Math"/>
                        <w:sz w:val="28"/>
                        <w:szCs w:val="28"/>
                        <w:lang w:val="uk-UA"/>
                      </w:rPr>
                      <m:t>it</m:t>
                    </m:r>
                  </m:sub>
                </m:sSub>
              </m:e>
            </m:nary>
            <m:r>
              <w:rPr>
                <w:rFonts w:ascii="Cambria Math" w:hAnsi="Cambria Math"/>
                <w:sz w:val="28"/>
                <w:szCs w:val="28"/>
                <w:lang w:val="uk-UA"/>
              </w:rPr>
              <m:t>-</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j=1</m:t>
                </m:r>
              </m:sub>
              <m:sup>
                <m:r>
                  <w:rPr>
                    <w:rFonts w:ascii="Cambria Math" w:hAnsi="Cambria Math"/>
                    <w:sz w:val="28"/>
                    <w:szCs w:val="28"/>
                    <w:lang w:val="uk-UA"/>
                  </w:rPr>
                  <m:t>l</m:t>
                </m:r>
              </m:sup>
              <m:e>
                <m:sSub>
                  <m:sSubPr>
                    <m:ctrlPr>
                      <w:rPr>
                        <w:rFonts w:ascii="Cambria Math" w:hAnsi="Cambria Math"/>
                        <w:i/>
                        <w:sz w:val="28"/>
                        <w:szCs w:val="28"/>
                        <w:lang w:val="uk-UA" w:eastAsia="ru-RU"/>
                      </w:rPr>
                    </m:ctrlPr>
                  </m:sSubPr>
                  <m:e>
                    <m:r>
                      <w:rPr>
                        <w:rFonts w:ascii="Cambria Math" w:hAnsi="Cambria Math"/>
                        <w:sz w:val="28"/>
                        <w:szCs w:val="28"/>
                        <w:lang w:val="uk-UA"/>
                      </w:rPr>
                      <m:t>b</m:t>
                    </m:r>
                  </m:e>
                  <m:sub>
                    <m:r>
                      <w:rPr>
                        <w:rFonts w:ascii="Cambria Math" w:hAnsi="Cambria Math"/>
                        <w:sz w:val="28"/>
                        <w:szCs w:val="28"/>
                        <w:lang w:val="uk-UA"/>
                      </w:rPr>
                      <m:t>jt</m:t>
                    </m:r>
                  </m:sub>
                </m:sSub>
              </m:e>
            </m:nary>
            <m:r>
              <w:rPr>
                <w:rFonts w:ascii="Cambria Math" w:hAnsi="Cambria Math"/>
                <w:sz w:val="28"/>
                <w:szCs w:val="28"/>
                <w:lang w:val="uk-UA"/>
              </w:rPr>
              <m:t>)</m:t>
            </m:r>
          </m:e>
        </m:nary>
      </m:oMath>
      <w:r w:rsidR="00363C28" w:rsidRPr="006F455B">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де</w:t>
      </w:r>
      <w:r w:rsidR="003240EE">
        <w:rPr>
          <w:rFonts w:ascii="Times New Roman" w:hAnsi="Times New Roman"/>
          <w:i/>
          <w:sz w:val="28"/>
          <w:szCs w:val="28"/>
          <w:lang w:val="uk-UA"/>
        </w:rPr>
        <w:t xml:space="preserve"> </w:t>
      </w:r>
      <w:r w:rsidRPr="006972EE">
        <w:rPr>
          <w:rFonts w:ascii="Times New Roman" w:hAnsi="Times New Roman"/>
          <w:i/>
          <w:sz w:val="28"/>
          <w:szCs w:val="28"/>
          <w:lang w:val="uk-UA"/>
        </w:rPr>
        <w:t>а</w:t>
      </w:r>
      <w:r w:rsidRPr="006972EE">
        <w:rPr>
          <w:rFonts w:ascii="Times New Roman" w:hAnsi="Times New Roman"/>
          <w:i/>
          <w:sz w:val="28"/>
          <w:szCs w:val="28"/>
          <w:vertAlign w:val="subscript"/>
          <w:lang w:val="uk-UA"/>
        </w:rPr>
        <w:t>і</w:t>
      </w:r>
      <w:r w:rsidRPr="007E7452">
        <w:rPr>
          <w:rFonts w:ascii="Times New Roman" w:hAnsi="Times New Roman"/>
          <w:sz w:val="28"/>
          <w:szCs w:val="28"/>
          <w:vertAlign w:val="subscript"/>
          <w:lang w:val="en-US"/>
        </w:rPr>
        <w:t>j</w:t>
      </w:r>
      <w:r w:rsidR="00DB1F48">
        <w:rPr>
          <w:rFonts w:ascii="Times New Roman" w:hAnsi="Times New Roman"/>
          <w:sz w:val="28"/>
          <w:szCs w:val="28"/>
          <w:lang w:val="uk-UA"/>
        </w:rPr>
        <w:t xml:space="preserve"> – </w:t>
      </w:r>
      <w:r w:rsidRPr="00CB0434">
        <w:rPr>
          <w:rFonts w:ascii="Times New Roman" w:hAnsi="Times New Roman"/>
          <w:sz w:val="28"/>
          <w:szCs w:val="28"/>
          <w:lang w:val="uk-UA"/>
        </w:rPr>
        <w:t xml:space="preserve">надходження, доходи у період </w:t>
      </w:r>
      <w:r w:rsidR="003240EE" w:rsidRPr="00AF7F70">
        <w:rPr>
          <w:rFonts w:ascii="Times New Roman" w:hAnsi="Times New Roman"/>
          <w:i/>
          <w:sz w:val="28"/>
          <w:szCs w:val="28"/>
          <w:lang w:val="en-US"/>
        </w:rPr>
        <w:t>i</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6972EE">
        <w:rPr>
          <w:rFonts w:ascii="Times New Roman" w:hAnsi="Times New Roman"/>
          <w:i/>
          <w:sz w:val="28"/>
          <w:szCs w:val="28"/>
          <w:lang w:val="en-US"/>
        </w:rPr>
        <w:t>b</w:t>
      </w:r>
      <w:r w:rsidRPr="006972EE">
        <w:rPr>
          <w:rFonts w:ascii="Times New Roman" w:hAnsi="Times New Roman"/>
          <w:i/>
          <w:sz w:val="28"/>
          <w:szCs w:val="28"/>
          <w:vertAlign w:val="subscript"/>
          <w:lang w:val="en-US"/>
        </w:rPr>
        <w:t>jt</w:t>
      </w:r>
      <w:r w:rsidR="00DB1F48">
        <w:rPr>
          <w:rFonts w:ascii="Times New Roman" w:hAnsi="Times New Roman"/>
          <w:sz w:val="28"/>
          <w:szCs w:val="28"/>
          <w:lang w:val="uk-UA"/>
        </w:rPr>
        <w:t xml:space="preserve"> – </w:t>
      </w:r>
      <w:r w:rsidR="004A2679">
        <w:rPr>
          <w:rFonts w:ascii="Times New Roman" w:hAnsi="Times New Roman"/>
          <w:sz w:val="28"/>
          <w:szCs w:val="28"/>
        </w:rPr>
        <w:t>в</w:t>
      </w:r>
      <w:r w:rsidRPr="00CB0434">
        <w:rPr>
          <w:rFonts w:ascii="Times New Roman" w:hAnsi="Times New Roman"/>
          <w:sz w:val="28"/>
          <w:szCs w:val="28"/>
          <w:lang w:val="uk-UA"/>
        </w:rPr>
        <w:t xml:space="preserve">итрати в період </w:t>
      </w:r>
      <w:r w:rsidR="004A2679" w:rsidRPr="00AF7F70">
        <w:rPr>
          <w:rFonts w:ascii="Times New Roman" w:hAnsi="Times New Roman"/>
          <w:i/>
          <w:sz w:val="28"/>
          <w:szCs w:val="28"/>
          <w:lang w:val="en-US"/>
        </w:rPr>
        <w:t>i</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6972EE">
        <w:rPr>
          <w:rFonts w:ascii="Times New Roman" w:hAnsi="Times New Roman"/>
          <w:i/>
          <w:sz w:val="28"/>
          <w:szCs w:val="28"/>
          <w:lang w:val="en-US"/>
        </w:rPr>
        <w:t>n</w:t>
      </w:r>
      <w:r w:rsidRPr="00CB0434">
        <w:rPr>
          <w:rFonts w:ascii="Times New Roman" w:hAnsi="Times New Roman"/>
          <w:sz w:val="28"/>
          <w:szCs w:val="28"/>
          <w:lang w:val="uk-UA"/>
        </w:rPr>
        <w:t xml:space="preserve"> – число періодів </w:t>
      </w:r>
      <w:r w:rsidR="00DB1F48">
        <w:rPr>
          <w:rFonts w:ascii="Times New Roman" w:hAnsi="Times New Roman"/>
          <w:sz w:val="28"/>
          <w:szCs w:val="28"/>
          <w:lang w:val="uk-UA"/>
        </w:rPr>
        <w:t>проєк</w:t>
      </w:r>
      <w:r w:rsidRPr="00CB0434">
        <w:rPr>
          <w:rFonts w:ascii="Times New Roman" w:hAnsi="Times New Roman"/>
          <w:sz w:val="28"/>
          <w:szCs w:val="28"/>
          <w:lang w:val="uk-UA"/>
        </w:rPr>
        <w:t>ту.</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Кожен з </w:t>
      </w:r>
      <w:r w:rsidRPr="007E7452">
        <w:rPr>
          <w:rFonts w:ascii="Times New Roman" w:hAnsi="Times New Roman"/>
          <w:i/>
          <w:sz w:val="28"/>
          <w:szCs w:val="28"/>
          <w:lang w:val="uk-UA"/>
        </w:rPr>
        <w:t>а</w:t>
      </w:r>
      <w:r w:rsidRPr="00CB0434">
        <w:rPr>
          <w:rFonts w:ascii="Times New Roman" w:hAnsi="Times New Roman"/>
          <w:sz w:val="28"/>
          <w:szCs w:val="28"/>
          <w:lang w:val="uk-UA"/>
        </w:rPr>
        <w:t xml:space="preserve"> і </w:t>
      </w:r>
      <w:r w:rsidRPr="007E7452">
        <w:rPr>
          <w:rFonts w:ascii="Times New Roman" w:hAnsi="Times New Roman"/>
          <w:i/>
          <w:sz w:val="28"/>
          <w:szCs w:val="28"/>
          <w:lang w:val="en-US"/>
        </w:rPr>
        <w:t>b</w:t>
      </w:r>
      <w:r w:rsidRPr="00CB0434">
        <w:rPr>
          <w:rFonts w:ascii="Times New Roman" w:hAnsi="Times New Roman"/>
          <w:sz w:val="28"/>
          <w:szCs w:val="28"/>
          <w:lang w:val="uk-UA"/>
        </w:rPr>
        <w:t xml:space="preserve"> можуть бути визначені лінійною функцією від рівнів відповідних цін на готову продукцію (</w:t>
      </w:r>
      <w:r w:rsidRPr="007E7452">
        <w:rPr>
          <w:rFonts w:ascii="Times New Roman" w:hAnsi="Times New Roman"/>
          <w:i/>
          <w:sz w:val="28"/>
          <w:szCs w:val="28"/>
          <w:lang w:val="en-US"/>
        </w:rPr>
        <w:t>mit</w:t>
      </w:r>
      <w:r w:rsidRPr="00CB0434">
        <w:rPr>
          <w:rFonts w:ascii="Times New Roman" w:hAnsi="Times New Roman"/>
          <w:sz w:val="28"/>
          <w:szCs w:val="28"/>
          <w:lang w:val="uk-UA"/>
        </w:rPr>
        <w:t>) та вихідні ресурси (</w:t>
      </w:r>
      <w:r w:rsidRPr="007E7452">
        <w:rPr>
          <w:rFonts w:ascii="Times New Roman" w:hAnsi="Times New Roman"/>
          <w:i/>
          <w:sz w:val="28"/>
          <w:szCs w:val="28"/>
          <w:lang w:val="en-US"/>
        </w:rPr>
        <w:t>mjt</w:t>
      </w:r>
      <w:r w:rsidRPr="00CB0434">
        <w:rPr>
          <w:rFonts w:ascii="Times New Roman" w:hAnsi="Times New Roman"/>
          <w:sz w:val="28"/>
          <w:szCs w:val="28"/>
          <w:lang w:val="uk-UA"/>
        </w:rPr>
        <w:t xml:space="preserve">), що є в </w:t>
      </w:r>
      <w:r w:rsidR="00DB1F48">
        <w:rPr>
          <w:rFonts w:ascii="Times New Roman" w:hAnsi="Times New Roman"/>
          <w:sz w:val="28"/>
          <w:szCs w:val="28"/>
          <w:lang w:val="uk-UA"/>
        </w:rPr>
        <w:t>проєк</w:t>
      </w:r>
      <w:r w:rsidRPr="00CB0434">
        <w:rPr>
          <w:rFonts w:ascii="Times New Roman" w:hAnsi="Times New Roman"/>
          <w:sz w:val="28"/>
          <w:szCs w:val="28"/>
          <w:lang w:val="uk-UA"/>
        </w:rPr>
        <w:t>ті прогнозованими первинними даними.</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 xml:space="preserve">Тоді можна представити їх як набір всіх оцінюваних на чутливість характеристик, а оцінку чутливості </w:t>
      </w:r>
      <w:r w:rsidR="004A2679">
        <w:rPr>
          <w:rFonts w:ascii="Times New Roman" w:hAnsi="Times New Roman"/>
          <w:sz w:val="28"/>
          <w:szCs w:val="28"/>
        </w:rPr>
        <w:t>–</w:t>
      </w:r>
      <w:r w:rsidR="004A2679" w:rsidRPr="00AF7F70">
        <w:rPr>
          <w:rFonts w:ascii="Times New Roman" w:hAnsi="Times New Roman"/>
          <w:sz w:val="28"/>
          <w:szCs w:val="28"/>
        </w:rPr>
        <w:t xml:space="preserve"> </w:t>
      </w:r>
      <w:r w:rsidRPr="00CB0434">
        <w:rPr>
          <w:rFonts w:ascii="Times New Roman" w:hAnsi="Times New Roman"/>
          <w:sz w:val="28"/>
          <w:szCs w:val="28"/>
          <w:lang w:val="uk-UA"/>
        </w:rPr>
        <w:t xml:space="preserve">як послідовну процедуру для кожного </w:t>
      </w:r>
      <w:r w:rsidR="004A2679" w:rsidRPr="00AF7F70">
        <w:rPr>
          <w:rFonts w:ascii="Times New Roman" w:hAnsi="Times New Roman"/>
          <w:i/>
          <w:sz w:val="28"/>
          <w:szCs w:val="28"/>
          <w:lang w:val="en-US"/>
        </w:rPr>
        <w:t>i</w:t>
      </w:r>
      <w:r w:rsidRPr="00CB0434">
        <w:rPr>
          <w:rFonts w:ascii="Times New Roman" w:hAnsi="Times New Roman"/>
          <w:sz w:val="28"/>
          <w:szCs w:val="28"/>
          <w:lang w:val="uk-UA"/>
        </w:rPr>
        <w:t xml:space="preserve"> або </w:t>
      </w:r>
      <w:r w:rsidRPr="00AF7F70">
        <w:rPr>
          <w:rFonts w:ascii="Times New Roman" w:hAnsi="Times New Roman"/>
          <w:i/>
          <w:sz w:val="28"/>
          <w:szCs w:val="28"/>
          <w:lang w:val="uk-UA"/>
        </w:rPr>
        <w:t>у</w:t>
      </w:r>
      <w:r w:rsidRPr="00CB0434">
        <w:rPr>
          <w:rFonts w:ascii="Times New Roman" w:hAnsi="Times New Roman"/>
          <w:sz w:val="28"/>
          <w:szCs w:val="28"/>
          <w:lang w:val="uk-UA"/>
        </w:rPr>
        <w:t>:</w:t>
      </w:r>
    </w:p>
    <w:p w:rsidR="00363C28" w:rsidRPr="00CB0434" w:rsidRDefault="005357D2" w:rsidP="00363C28">
      <w:pPr>
        <w:spacing w:after="0" w:line="360" w:lineRule="auto"/>
        <w:ind w:firstLine="709"/>
        <w:jc w:val="both"/>
        <w:rPr>
          <w:rFonts w:ascii="Times New Roman" w:hAnsi="Times New Roman"/>
          <w:sz w:val="28"/>
          <w:szCs w:val="28"/>
          <w:lang w:val="uk-UA"/>
        </w:rPr>
      </w:pPr>
      <m:oMath>
        <m:r>
          <w:rPr>
            <w:rFonts w:ascii="Cambria Math" w:hAnsi="Cambria Math"/>
            <w:sz w:val="28"/>
            <w:szCs w:val="28"/>
            <w:lang w:val="uk-UA"/>
          </w:rPr>
          <m:t>y=NPV=</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t</m:t>
            </m:r>
          </m:sub>
          <m:sup>
            <m:r>
              <w:rPr>
                <w:rFonts w:ascii="Cambria Math" w:hAnsi="Cambria Math"/>
                <w:sz w:val="28"/>
                <w:szCs w:val="28"/>
                <w:lang w:val="uk-UA"/>
              </w:rPr>
              <m:t>n</m:t>
            </m:r>
          </m:sup>
          <m:e>
            <m:r>
              <w:rPr>
                <w:rFonts w:ascii="Cambria Math" w:hAnsi="Cambria Math"/>
                <w:sz w:val="28"/>
                <w:szCs w:val="28"/>
                <w:lang w:val="uk-UA"/>
              </w:rPr>
              <m:t>(</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i</m:t>
                </m:r>
              </m:sub>
              <m:sup>
                <m:r>
                  <w:rPr>
                    <w:rFonts w:ascii="Cambria Math" w:hAnsi="Cambria Math"/>
                    <w:sz w:val="28"/>
                    <w:szCs w:val="28"/>
                    <w:lang w:val="uk-UA"/>
                  </w:rPr>
                  <m:t>k</m:t>
                </m:r>
              </m:sup>
              <m:e>
                <m:sSub>
                  <m:sSubPr>
                    <m:ctrlPr>
                      <w:rPr>
                        <w:rFonts w:ascii="Cambria Math" w:hAnsi="Cambria Math"/>
                        <w:i/>
                        <w:sz w:val="28"/>
                        <w:szCs w:val="28"/>
                        <w:lang w:val="uk-UA" w:eastAsia="ru-RU"/>
                      </w:rPr>
                    </m:ctrlPr>
                  </m:sSubPr>
                  <m:e>
                    <m:r>
                      <w:rPr>
                        <w:rFonts w:ascii="Cambria Math" w:hAnsi="Cambria Math"/>
                        <w:sz w:val="28"/>
                        <w:szCs w:val="28"/>
                        <w:lang w:val="uk-UA"/>
                      </w:rPr>
                      <m:t>c</m:t>
                    </m:r>
                  </m:e>
                  <m:sub>
                    <m:r>
                      <w:rPr>
                        <w:rFonts w:ascii="Cambria Math" w:hAnsi="Cambria Math"/>
                        <w:sz w:val="28"/>
                        <w:szCs w:val="28"/>
                        <w:lang w:val="uk-UA"/>
                      </w:rPr>
                      <m:t>it</m:t>
                    </m:r>
                  </m:sub>
                </m:sSub>
                <m:sSub>
                  <m:sSubPr>
                    <m:ctrlPr>
                      <w:rPr>
                        <w:rFonts w:ascii="Cambria Math" w:hAnsi="Cambria Math"/>
                        <w:i/>
                        <w:sz w:val="28"/>
                        <w:szCs w:val="28"/>
                        <w:lang w:val="uk-UA" w:eastAsia="ru-RU"/>
                      </w:rPr>
                    </m:ctrlPr>
                  </m:sSubPr>
                  <m:e>
                    <m:r>
                      <w:rPr>
                        <w:rFonts w:ascii="Cambria Math" w:hAnsi="Cambria Math"/>
                        <w:sz w:val="28"/>
                        <w:szCs w:val="28"/>
                        <w:lang w:val="uk-UA"/>
                      </w:rPr>
                      <m:t>m</m:t>
                    </m:r>
                  </m:e>
                  <m:sub>
                    <m:r>
                      <w:rPr>
                        <w:rFonts w:ascii="Cambria Math" w:hAnsi="Cambria Math"/>
                        <w:sz w:val="28"/>
                        <w:szCs w:val="28"/>
                        <w:lang w:val="uk-UA"/>
                      </w:rPr>
                      <m:t>it</m:t>
                    </m:r>
                  </m:sub>
                </m:sSub>
              </m:e>
            </m:nary>
            <m:r>
              <w:rPr>
                <w:rFonts w:ascii="Cambria Math" w:hAnsi="Cambria Math"/>
                <w:sz w:val="28"/>
                <w:szCs w:val="28"/>
                <w:lang w:val="uk-UA"/>
              </w:rPr>
              <m:t>-</m:t>
            </m:r>
            <m:nary>
              <m:naryPr>
                <m:chr m:val="∑"/>
                <m:limLoc m:val="undOvr"/>
                <m:ctrlPr>
                  <w:rPr>
                    <w:rFonts w:ascii="Cambria Math" w:hAnsi="Cambria Math"/>
                    <w:i/>
                    <w:sz w:val="28"/>
                    <w:szCs w:val="28"/>
                    <w:lang w:val="uk-UA" w:eastAsia="ru-RU"/>
                  </w:rPr>
                </m:ctrlPr>
              </m:naryPr>
              <m:sub>
                <m:r>
                  <w:rPr>
                    <w:rFonts w:ascii="Cambria Math" w:hAnsi="Cambria Math"/>
                    <w:sz w:val="28"/>
                    <w:szCs w:val="28"/>
                    <w:lang w:val="uk-UA"/>
                  </w:rPr>
                  <m:t>j=1</m:t>
                </m:r>
              </m:sub>
              <m:sup>
                <m:r>
                  <w:rPr>
                    <w:rFonts w:ascii="Cambria Math" w:hAnsi="Cambria Math"/>
                    <w:sz w:val="28"/>
                    <w:szCs w:val="28"/>
                    <w:lang w:val="uk-UA"/>
                  </w:rPr>
                  <m:t>l</m:t>
                </m:r>
              </m:sup>
              <m:e>
                <m:sSub>
                  <m:sSubPr>
                    <m:ctrlPr>
                      <w:rPr>
                        <w:rFonts w:ascii="Cambria Math" w:hAnsi="Cambria Math"/>
                        <w:i/>
                        <w:sz w:val="28"/>
                        <w:szCs w:val="28"/>
                        <w:lang w:val="uk-UA" w:eastAsia="ru-RU"/>
                      </w:rPr>
                    </m:ctrlPr>
                  </m:sSubPr>
                  <m:e>
                    <m:r>
                      <w:rPr>
                        <w:rFonts w:ascii="Cambria Math" w:hAnsi="Cambria Math"/>
                        <w:sz w:val="28"/>
                        <w:szCs w:val="28"/>
                        <w:lang w:val="uk-UA"/>
                      </w:rPr>
                      <m:t>c</m:t>
                    </m:r>
                  </m:e>
                  <m:sub>
                    <m:r>
                      <w:rPr>
                        <w:rFonts w:ascii="Cambria Math" w:hAnsi="Cambria Math"/>
                        <w:sz w:val="28"/>
                        <w:szCs w:val="28"/>
                        <w:lang w:val="uk-UA"/>
                      </w:rPr>
                      <m:t>jt</m:t>
                    </m:r>
                  </m:sub>
                </m:sSub>
              </m:e>
            </m:nary>
            <m:sSub>
              <m:sSubPr>
                <m:ctrlPr>
                  <w:rPr>
                    <w:rFonts w:ascii="Cambria Math" w:hAnsi="Cambria Math"/>
                    <w:i/>
                    <w:sz w:val="28"/>
                    <w:szCs w:val="28"/>
                    <w:lang w:val="uk-UA" w:eastAsia="ru-RU"/>
                  </w:rPr>
                </m:ctrlPr>
              </m:sSubPr>
              <m:e>
                <m:r>
                  <w:rPr>
                    <w:rFonts w:ascii="Cambria Math" w:hAnsi="Cambria Math"/>
                    <w:sz w:val="28"/>
                    <w:szCs w:val="28"/>
                    <w:lang w:val="uk-UA"/>
                  </w:rPr>
                  <m:t>m</m:t>
                </m:r>
              </m:e>
              <m:sub>
                <m:r>
                  <w:rPr>
                    <w:rFonts w:ascii="Cambria Math" w:hAnsi="Cambria Math"/>
                    <w:sz w:val="28"/>
                    <w:szCs w:val="28"/>
                    <w:lang w:val="uk-UA"/>
                  </w:rPr>
                  <m:t>jt</m:t>
                </m:r>
              </m:sub>
            </m:sSub>
            <m:r>
              <w:rPr>
                <w:rFonts w:ascii="Cambria Math" w:hAnsi="Cambria Math"/>
                <w:sz w:val="28"/>
                <w:szCs w:val="28"/>
                <w:lang w:val="uk-UA"/>
              </w:rPr>
              <m:t>)</m:t>
            </m:r>
          </m:e>
        </m:nary>
      </m:oMath>
      <w:r w:rsidR="004A2679">
        <w:rPr>
          <w:rFonts w:ascii="Times New Roman" w:hAnsi="Times New Roman"/>
          <w:sz w:val="28"/>
          <w:szCs w:val="28"/>
          <w:lang w:val="uk-UA"/>
        </w:rPr>
        <w:t>,</w:t>
      </w:r>
    </w:p>
    <w:p w:rsidR="00363C28" w:rsidRDefault="00363C28" w:rsidP="00363C28">
      <w:pPr>
        <w:spacing w:after="0" w:line="360" w:lineRule="auto"/>
        <w:ind w:firstLine="709"/>
        <w:jc w:val="both"/>
        <w:rPr>
          <w:rFonts w:ascii="Times New Roman" w:hAnsi="Times New Roman"/>
          <w:sz w:val="28"/>
          <w:szCs w:val="28"/>
          <w:lang w:val="uk-UA"/>
        </w:rPr>
      </w:pPr>
      <w:r w:rsidRPr="00864143">
        <w:rPr>
          <w:rFonts w:ascii="Times New Roman" w:hAnsi="Times New Roman"/>
          <w:sz w:val="28"/>
          <w:szCs w:val="28"/>
          <w:lang w:val="uk-UA"/>
        </w:rPr>
        <w:t xml:space="preserve">а оцінку чутливості </w:t>
      </w:r>
      <w:r w:rsidR="004A2679">
        <w:rPr>
          <w:rFonts w:ascii="Times New Roman" w:hAnsi="Times New Roman"/>
          <w:sz w:val="28"/>
          <w:szCs w:val="28"/>
          <w:lang w:val="uk-UA"/>
        </w:rPr>
        <w:t xml:space="preserve">– </w:t>
      </w:r>
      <w:r w:rsidRPr="00864143">
        <w:rPr>
          <w:rFonts w:ascii="Times New Roman" w:hAnsi="Times New Roman"/>
          <w:sz w:val="28"/>
          <w:szCs w:val="28"/>
          <w:lang w:val="uk-UA"/>
        </w:rPr>
        <w:t>як послідовну процедуру для</w:t>
      </w:r>
      <w:r>
        <w:rPr>
          <w:rFonts w:ascii="Times New Roman" w:hAnsi="Times New Roman"/>
          <w:sz w:val="28"/>
          <w:szCs w:val="28"/>
          <w:lang w:val="uk-UA"/>
        </w:rPr>
        <w:t xml:space="preserve"> </w:t>
      </w:r>
      <w:r w:rsidRPr="00864143">
        <w:rPr>
          <w:rFonts w:ascii="Times New Roman" w:hAnsi="Times New Roman"/>
          <w:sz w:val="28"/>
          <w:szCs w:val="28"/>
          <w:lang w:val="uk-UA"/>
        </w:rPr>
        <w:t>кожного</w:t>
      </w:r>
      <w:r>
        <w:rPr>
          <w:rFonts w:ascii="Times New Roman" w:hAnsi="Times New Roman"/>
          <w:sz w:val="28"/>
          <w:szCs w:val="28"/>
          <w:lang w:val="uk-UA"/>
        </w:rPr>
        <w:t xml:space="preserve"> </w:t>
      </w:r>
      <w:r w:rsidRPr="00864143">
        <w:rPr>
          <w:rFonts w:ascii="Times New Roman" w:hAnsi="Times New Roman"/>
          <w:i/>
          <w:sz w:val="28"/>
          <w:szCs w:val="28"/>
          <w:lang w:val="en-US"/>
        </w:rPr>
        <w:t>i</w:t>
      </w:r>
      <w:r w:rsidR="004A2679">
        <w:rPr>
          <w:rFonts w:ascii="Times New Roman" w:hAnsi="Times New Roman"/>
          <w:i/>
          <w:sz w:val="28"/>
          <w:szCs w:val="28"/>
        </w:rPr>
        <w:t xml:space="preserve"> </w:t>
      </w:r>
      <w:r w:rsidRPr="00864143">
        <w:rPr>
          <w:rFonts w:ascii="Times New Roman" w:hAnsi="Times New Roman"/>
          <w:sz w:val="28"/>
          <w:szCs w:val="28"/>
          <w:lang w:val="uk-UA"/>
        </w:rPr>
        <w:t>або</w:t>
      </w:r>
      <w:r w:rsidRPr="00864143">
        <w:rPr>
          <w:rFonts w:ascii="Times New Roman" w:hAnsi="Times New Roman"/>
          <w:sz w:val="28"/>
          <w:szCs w:val="28"/>
        </w:rPr>
        <w:t xml:space="preserve"> </w:t>
      </w:r>
      <w:r w:rsidRPr="00864143">
        <w:rPr>
          <w:rFonts w:ascii="Times New Roman" w:hAnsi="Times New Roman"/>
          <w:i/>
          <w:sz w:val="28"/>
          <w:szCs w:val="28"/>
          <w:lang w:val="en-US"/>
        </w:rPr>
        <w:t>j</w:t>
      </w:r>
      <w:r w:rsidRPr="00864143">
        <w:rPr>
          <w:rFonts w:ascii="Times New Roman" w:hAnsi="Times New Roman"/>
          <w:sz w:val="28"/>
          <w:szCs w:val="28"/>
          <w:lang w:val="uk-UA"/>
        </w:rPr>
        <w:t>:</w:t>
      </w:r>
    </w:p>
    <w:p w:rsidR="00363C28" w:rsidRDefault="00363C28" w:rsidP="00363C28">
      <w:pPr>
        <w:spacing w:after="0" w:line="360" w:lineRule="auto"/>
        <w:ind w:firstLine="709"/>
        <w:jc w:val="both"/>
        <w:rPr>
          <w:rFonts w:ascii="Times New Roman" w:hAnsi="Times New Roman"/>
          <w:sz w:val="28"/>
          <w:szCs w:val="28"/>
          <w:lang w:val="uk-UA"/>
        </w:rPr>
      </w:pPr>
      <w:r w:rsidRPr="00AF7F70">
        <w:rPr>
          <w:rFonts w:ascii="Times New Roman" w:hAnsi="Times New Roman"/>
          <w:i/>
          <w:sz w:val="28"/>
          <w:szCs w:val="28"/>
          <w:lang w:val="uk-UA"/>
        </w:rPr>
        <w:t>у</w:t>
      </w:r>
      <w:r w:rsidRPr="00864143">
        <w:rPr>
          <w:rFonts w:ascii="Times New Roman" w:hAnsi="Times New Roman"/>
          <w:sz w:val="28"/>
          <w:szCs w:val="28"/>
          <w:lang w:val="uk-UA"/>
        </w:rPr>
        <w:t>' =</w:t>
      </w:r>
      <w:r w:rsidR="004A2679">
        <w:rPr>
          <w:rFonts w:ascii="Times New Roman" w:hAnsi="Times New Roman"/>
          <w:sz w:val="28"/>
          <w:szCs w:val="28"/>
          <w:lang w:val="uk-UA"/>
        </w:rPr>
        <w:t> </w:t>
      </w:r>
      <w:r w:rsidRPr="00864143">
        <w:rPr>
          <w:rFonts w:ascii="Times New Roman" w:hAnsi="Times New Roman"/>
          <w:i/>
          <w:sz w:val="28"/>
          <w:szCs w:val="28"/>
          <w:lang w:val="uk-UA"/>
        </w:rPr>
        <w:t>d (</w:t>
      </w:r>
      <w:r w:rsidRPr="00864143">
        <w:rPr>
          <w:rFonts w:ascii="Times New Roman" w:hAnsi="Times New Roman"/>
          <w:i/>
          <w:sz w:val="28"/>
          <w:szCs w:val="28"/>
          <w:lang w:val="en-US"/>
        </w:rPr>
        <w:t>ci</w:t>
      </w:r>
      <w:r w:rsidRPr="00864143">
        <w:rPr>
          <w:rFonts w:ascii="Times New Roman" w:hAnsi="Times New Roman"/>
          <w:sz w:val="28"/>
          <w:szCs w:val="28"/>
          <w:lang w:val="uk-UA"/>
        </w:rPr>
        <w:t xml:space="preserve"> </w:t>
      </w:r>
      <w:r w:rsidRPr="00CB0434">
        <w:rPr>
          <w:rFonts w:ascii="Times New Roman" w:hAnsi="Times New Roman"/>
          <w:sz w:val="28"/>
          <w:szCs w:val="28"/>
          <w:lang w:val="uk-UA"/>
        </w:rPr>
        <w:t>або</w:t>
      </w:r>
      <w:r w:rsidRPr="00864143">
        <w:rPr>
          <w:rFonts w:ascii="Times New Roman" w:hAnsi="Times New Roman"/>
          <w:sz w:val="28"/>
          <w:szCs w:val="28"/>
          <w:lang w:val="uk-UA"/>
        </w:rPr>
        <w:t xml:space="preserve"> </w:t>
      </w:r>
      <w:r w:rsidRPr="00864143">
        <w:rPr>
          <w:rFonts w:ascii="Times New Roman" w:hAnsi="Times New Roman"/>
          <w:i/>
          <w:sz w:val="28"/>
          <w:szCs w:val="28"/>
          <w:lang w:val="uk-UA"/>
        </w:rPr>
        <w:t>cj</w:t>
      </w:r>
      <w:r w:rsidRPr="00864143">
        <w:rPr>
          <w:rFonts w:ascii="Times New Roman" w:hAnsi="Times New Roman"/>
          <w:sz w:val="28"/>
          <w:szCs w:val="28"/>
          <w:lang w:val="uk-UA"/>
        </w:rPr>
        <w:t xml:space="preserve">, </w:t>
      </w:r>
      <w:r w:rsidRPr="00CB0434">
        <w:rPr>
          <w:rFonts w:ascii="Times New Roman" w:hAnsi="Times New Roman"/>
          <w:sz w:val="28"/>
          <w:szCs w:val="28"/>
          <w:lang w:val="uk-UA"/>
        </w:rPr>
        <w:t>або</w:t>
      </w:r>
      <w:r w:rsidRPr="00864143">
        <w:rPr>
          <w:rFonts w:ascii="Times New Roman" w:hAnsi="Times New Roman"/>
          <w:sz w:val="28"/>
          <w:szCs w:val="28"/>
          <w:lang w:val="uk-UA"/>
        </w:rPr>
        <w:t xml:space="preserve"> </w:t>
      </w:r>
      <w:r w:rsidRPr="00864143">
        <w:rPr>
          <w:rFonts w:ascii="Times New Roman" w:hAnsi="Times New Roman"/>
          <w:i/>
          <w:sz w:val="28"/>
          <w:szCs w:val="28"/>
          <w:lang w:val="uk-UA"/>
        </w:rPr>
        <w:t>mi</w:t>
      </w:r>
      <w:r w:rsidRPr="00864143">
        <w:rPr>
          <w:rFonts w:ascii="Times New Roman" w:hAnsi="Times New Roman"/>
          <w:sz w:val="28"/>
          <w:szCs w:val="28"/>
          <w:lang w:val="uk-UA"/>
        </w:rPr>
        <w:t xml:space="preserve">, </w:t>
      </w:r>
      <w:r w:rsidRPr="00CB0434">
        <w:rPr>
          <w:rFonts w:ascii="Times New Roman" w:hAnsi="Times New Roman"/>
          <w:sz w:val="28"/>
          <w:szCs w:val="28"/>
          <w:lang w:val="uk-UA"/>
        </w:rPr>
        <w:t>або</w:t>
      </w:r>
      <w:r w:rsidRPr="00864143">
        <w:rPr>
          <w:rFonts w:ascii="Times New Roman" w:hAnsi="Times New Roman"/>
          <w:sz w:val="28"/>
          <w:szCs w:val="28"/>
          <w:lang w:val="uk-UA"/>
        </w:rPr>
        <w:t xml:space="preserve"> </w:t>
      </w:r>
      <w:r w:rsidRPr="00864143">
        <w:rPr>
          <w:rFonts w:ascii="Times New Roman" w:hAnsi="Times New Roman"/>
          <w:i/>
          <w:sz w:val="28"/>
          <w:szCs w:val="28"/>
          <w:lang w:val="uk-UA"/>
        </w:rPr>
        <w:t>mj</w:t>
      </w:r>
      <w:r w:rsidRPr="00864143">
        <w:rPr>
          <w:rFonts w:ascii="Times New Roman" w:hAnsi="Times New Roman"/>
          <w:sz w:val="28"/>
          <w:szCs w:val="28"/>
          <w:lang w:val="uk-UA"/>
        </w:rPr>
        <w:t>)/</w:t>
      </w:r>
      <w:r w:rsidRPr="00864143">
        <w:rPr>
          <w:rFonts w:ascii="Times New Roman" w:hAnsi="Times New Roman"/>
          <w:i/>
          <w:sz w:val="28"/>
          <w:szCs w:val="28"/>
          <w:lang w:val="uk-UA"/>
        </w:rPr>
        <w:t>dy</w:t>
      </w:r>
      <w:r w:rsidRPr="00864143">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Це є основою для ранжирування та відбору найбільш чутливих характеристик </w:t>
      </w:r>
      <w:r w:rsidR="004A2679" w:rsidRPr="00D211D1">
        <w:rPr>
          <w:rFonts w:ascii="Times New Roman" w:hAnsi="Times New Roman"/>
          <w:i/>
          <w:sz w:val="28"/>
          <w:szCs w:val="28"/>
          <w:lang w:val="en-US"/>
        </w:rPr>
        <w:t>NPV</w:t>
      </w:r>
      <w:r w:rsidR="004A2679" w:rsidRPr="00CB0434" w:rsidDel="004A2679">
        <w:rPr>
          <w:rFonts w:ascii="Times New Roman" w:hAnsi="Times New Roman"/>
          <w:sz w:val="28"/>
          <w:szCs w:val="28"/>
          <w:lang w:val="uk-UA"/>
        </w:rPr>
        <w:t xml:space="preserve"> </w:t>
      </w:r>
      <w:r w:rsidRPr="00CB0434">
        <w:rPr>
          <w:rFonts w:ascii="Times New Roman" w:hAnsi="Times New Roman"/>
          <w:sz w:val="28"/>
          <w:szCs w:val="28"/>
          <w:lang w:val="uk-UA"/>
        </w:rPr>
        <w:t xml:space="preserve"> цього </w:t>
      </w:r>
      <w:r w:rsidR="00DB1F48">
        <w:rPr>
          <w:rFonts w:ascii="Times New Roman" w:hAnsi="Times New Roman"/>
          <w:sz w:val="28"/>
          <w:szCs w:val="28"/>
          <w:lang w:val="uk-UA"/>
        </w:rPr>
        <w:t>проєк</w:t>
      </w:r>
      <w:r w:rsidRPr="00CB0434">
        <w:rPr>
          <w:rFonts w:ascii="Times New Roman" w:hAnsi="Times New Roman"/>
          <w:sz w:val="28"/>
          <w:szCs w:val="28"/>
          <w:lang w:val="uk-UA"/>
        </w:rPr>
        <w:t>ту.</w:t>
      </w:r>
    </w:p>
    <w:p w:rsidR="00363C28" w:rsidRPr="00864143" w:rsidRDefault="00363C28" w:rsidP="00363C28">
      <w:pPr>
        <w:spacing w:after="0" w:line="360" w:lineRule="auto"/>
        <w:ind w:firstLine="709"/>
        <w:jc w:val="both"/>
        <w:rPr>
          <w:rFonts w:ascii="Times New Roman" w:hAnsi="Times New Roman"/>
          <w:sz w:val="28"/>
          <w:szCs w:val="28"/>
        </w:rPr>
      </w:pPr>
      <w:r w:rsidRPr="00CB0434">
        <w:rPr>
          <w:rFonts w:ascii="Times New Roman" w:hAnsi="Times New Roman"/>
          <w:sz w:val="28"/>
          <w:szCs w:val="28"/>
          <w:lang w:val="uk-UA"/>
        </w:rPr>
        <w:t>У практиці інвестиційного аналізу розрахунки похідних спрощу</w:t>
      </w:r>
      <w:r>
        <w:rPr>
          <w:rFonts w:ascii="Times New Roman" w:hAnsi="Times New Roman"/>
          <w:sz w:val="28"/>
          <w:szCs w:val="28"/>
          <w:lang w:val="uk-UA"/>
        </w:rPr>
        <w:t xml:space="preserve">ються оцінками реакції значень </w:t>
      </w:r>
      <w:r w:rsidRPr="00AF7F70">
        <w:rPr>
          <w:rFonts w:ascii="Times New Roman" w:hAnsi="Times New Roman"/>
          <w:i/>
          <w:sz w:val="28"/>
          <w:szCs w:val="28"/>
          <w:lang w:val="en-US"/>
        </w:rPr>
        <w:t>NPV</w:t>
      </w:r>
      <w:r w:rsidRPr="00CB0434">
        <w:rPr>
          <w:rFonts w:ascii="Times New Roman" w:hAnsi="Times New Roman"/>
          <w:sz w:val="28"/>
          <w:szCs w:val="28"/>
          <w:lang w:val="uk-UA"/>
        </w:rPr>
        <w:t xml:space="preserve"> (у % або %о) для підвищення чи зниження на 1% (%о) рівня характеристик </w:t>
      </w:r>
      <w:r w:rsidRPr="00864143">
        <w:rPr>
          <w:rFonts w:ascii="Times New Roman" w:hAnsi="Times New Roman"/>
          <w:i/>
          <w:sz w:val="28"/>
          <w:szCs w:val="28"/>
          <w:lang w:val="en-US"/>
        </w:rPr>
        <w:t>ci</w:t>
      </w:r>
      <w:r w:rsidRPr="00864143">
        <w:rPr>
          <w:rFonts w:ascii="Times New Roman" w:hAnsi="Times New Roman"/>
          <w:i/>
          <w:sz w:val="28"/>
          <w:szCs w:val="28"/>
          <w:lang w:val="uk-UA"/>
        </w:rPr>
        <w:t>; с</w:t>
      </w:r>
      <w:r w:rsidRPr="00864143">
        <w:rPr>
          <w:rFonts w:ascii="Times New Roman" w:hAnsi="Times New Roman"/>
          <w:i/>
          <w:sz w:val="28"/>
          <w:szCs w:val="28"/>
          <w:lang w:val="en-US"/>
        </w:rPr>
        <w:t>j</w:t>
      </w:r>
      <w:r w:rsidRPr="00864143">
        <w:rPr>
          <w:rFonts w:ascii="Times New Roman" w:hAnsi="Times New Roman"/>
          <w:i/>
          <w:sz w:val="28"/>
          <w:szCs w:val="28"/>
          <w:lang w:val="uk-UA"/>
        </w:rPr>
        <w:t xml:space="preserve">; </w:t>
      </w:r>
      <w:r w:rsidRPr="00864143">
        <w:rPr>
          <w:rFonts w:ascii="Times New Roman" w:hAnsi="Times New Roman"/>
          <w:i/>
          <w:sz w:val="28"/>
          <w:szCs w:val="28"/>
          <w:lang w:val="en-US"/>
        </w:rPr>
        <w:t>mi</w:t>
      </w:r>
      <w:r w:rsidRPr="00864143">
        <w:rPr>
          <w:rFonts w:ascii="Times New Roman" w:hAnsi="Times New Roman"/>
          <w:i/>
          <w:sz w:val="28"/>
          <w:szCs w:val="28"/>
          <w:lang w:val="uk-UA"/>
        </w:rPr>
        <w:t xml:space="preserve">; </w:t>
      </w:r>
      <w:r w:rsidRPr="00864143">
        <w:rPr>
          <w:rFonts w:ascii="Times New Roman" w:hAnsi="Times New Roman"/>
          <w:i/>
          <w:sz w:val="28"/>
          <w:szCs w:val="28"/>
          <w:lang w:val="en-US"/>
        </w:rPr>
        <w:t>mj</w:t>
      </w:r>
      <w:r w:rsidRPr="00864143">
        <w:rPr>
          <w:rFonts w:ascii="Times New Roman" w:hAnsi="Times New Roman"/>
          <w:sz w:val="28"/>
          <w:szCs w:val="28"/>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 xml:space="preserve">За аналогією з </w:t>
      </w:r>
      <w:r w:rsidRPr="00AF7F70">
        <w:rPr>
          <w:rFonts w:ascii="Times New Roman" w:hAnsi="Times New Roman"/>
          <w:i/>
          <w:sz w:val="28"/>
          <w:szCs w:val="28"/>
          <w:lang w:val="en-US"/>
        </w:rPr>
        <w:t>NPV</w:t>
      </w:r>
      <w:r w:rsidRPr="00CB0434">
        <w:rPr>
          <w:rFonts w:ascii="Times New Roman" w:hAnsi="Times New Roman"/>
          <w:sz w:val="28"/>
          <w:szCs w:val="28"/>
          <w:lang w:val="uk-UA"/>
        </w:rPr>
        <w:t xml:space="preserve"> оцінюється чутливість інших критеріїв: </w:t>
      </w:r>
      <w:r w:rsidRPr="00AF7F70">
        <w:rPr>
          <w:rFonts w:ascii="Times New Roman" w:hAnsi="Times New Roman"/>
          <w:i/>
          <w:sz w:val="28"/>
          <w:szCs w:val="28"/>
          <w:lang w:val="uk-UA"/>
        </w:rPr>
        <w:t>IRR</w:t>
      </w:r>
      <w:r w:rsidRPr="00864143">
        <w:rPr>
          <w:rFonts w:ascii="Times New Roman" w:hAnsi="Times New Roman"/>
          <w:sz w:val="28"/>
          <w:szCs w:val="28"/>
          <w:lang w:val="uk-UA"/>
        </w:rPr>
        <w:t xml:space="preserve">, </w:t>
      </w:r>
      <w:r w:rsidRPr="00AF7F70">
        <w:rPr>
          <w:rFonts w:ascii="Times New Roman" w:hAnsi="Times New Roman"/>
          <w:i/>
          <w:sz w:val="28"/>
          <w:szCs w:val="28"/>
          <w:lang w:val="uk-UA"/>
        </w:rPr>
        <w:t>PI</w:t>
      </w:r>
      <w:r w:rsidRPr="00864143">
        <w:rPr>
          <w:rFonts w:ascii="Times New Roman" w:hAnsi="Times New Roman"/>
          <w:sz w:val="28"/>
          <w:szCs w:val="28"/>
          <w:lang w:val="uk-UA"/>
        </w:rPr>
        <w:t xml:space="preserve">, </w:t>
      </w:r>
      <w:r w:rsidRPr="00AF7F70">
        <w:rPr>
          <w:rFonts w:ascii="Times New Roman" w:hAnsi="Times New Roman"/>
          <w:i/>
          <w:sz w:val="28"/>
          <w:szCs w:val="28"/>
          <w:lang w:val="uk-UA"/>
        </w:rPr>
        <w:t>РР</w:t>
      </w:r>
      <w:r w:rsidRPr="00CB0434">
        <w:rPr>
          <w:rFonts w:ascii="Times New Roman" w:hAnsi="Times New Roman"/>
          <w:sz w:val="28"/>
          <w:szCs w:val="28"/>
          <w:lang w:val="uk-UA"/>
        </w:rPr>
        <w:t>, які в кінцевому рахунку визначаються значеннями того ж набору первинних характеристик показників. На практиці,</w:t>
      </w:r>
      <w:r w:rsidRPr="00864143">
        <w:rPr>
          <w:rFonts w:ascii="Times New Roman" w:hAnsi="Times New Roman"/>
          <w:sz w:val="28"/>
          <w:szCs w:val="28"/>
        </w:rPr>
        <w:t xml:space="preserve"> </w:t>
      </w:r>
      <w:r w:rsidRPr="00CB0434">
        <w:rPr>
          <w:rFonts w:ascii="Times New Roman" w:hAnsi="Times New Roman"/>
          <w:sz w:val="28"/>
          <w:szCs w:val="28"/>
          <w:lang w:val="uk-UA"/>
        </w:rPr>
        <w:t>чутливість або еластичність розраховується як фактична зміна % вихідного параметра, що призводить до зміни результуючого параметра на 1%</w:t>
      </w:r>
      <w:r w:rsidR="000A5361" w:rsidRPr="000A5361">
        <w:rPr>
          <w:rFonts w:ascii="Times New Roman" w:hAnsi="Times New Roman"/>
          <w:sz w:val="28"/>
          <w:szCs w:val="28"/>
        </w:rPr>
        <w:t xml:space="preserve"> </w:t>
      </w:r>
      <w:r w:rsidR="000A5361" w:rsidRPr="000A5361">
        <w:rPr>
          <w:rFonts w:ascii="Times New Roman" w:eastAsia="Times New Roman" w:hAnsi="Times New Roman"/>
          <w:sz w:val="28"/>
          <w:szCs w:val="28"/>
        </w:rPr>
        <w:t>[106, c. 7]</w:t>
      </w:r>
      <w:r w:rsidRPr="00CB0434">
        <w:rPr>
          <w:rFonts w:ascii="Times New Roman" w:hAnsi="Times New Roman"/>
          <w:sz w:val="28"/>
          <w:szCs w:val="28"/>
          <w:lang w:val="uk-UA"/>
        </w:rPr>
        <w:t>.</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Таким чином, вище було розглянуто методи, які застосовуються в умовах ризику. Якщо ж має місце невизначеність (тобто існує можливість відхилення майбутнього доходу від очікуваної величини, але неможливо навіть приблизно вказати ймовірності настання кожного можливого результату), то вибір альтернативи інвестування може бути зроблений на основі одного з трьох критеріїв:</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1. </w:t>
      </w:r>
      <w:r w:rsidR="00363C28">
        <w:rPr>
          <w:rFonts w:ascii="Times New Roman" w:hAnsi="Times New Roman"/>
          <w:sz w:val="28"/>
          <w:szCs w:val="28"/>
          <w:lang w:val="uk-UA"/>
        </w:rPr>
        <w:t>Критерій МАХ</w:t>
      </w:r>
      <w:r w:rsidR="00363C28">
        <w:rPr>
          <w:rFonts w:ascii="Times New Roman" w:hAnsi="Times New Roman"/>
          <w:sz w:val="28"/>
          <w:szCs w:val="28"/>
          <w:lang w:val="en-US"/>
        </w:rPr>
        <w:t>I</w:t>
      </w:r>
      <w:r w:rsidR="00363C28" w:rsidRPr="00CB0434">
        <w:rPr>
          <w:rFonts w:ascii="Times New Roman" w:hAnsi="Times New Roman"/>
          <w:sz w:val="28"/>
          <w:szCs w:val="28"/>
          <w:lang w:val="uk-UA"/>
        </w:rPr>
        <w:t>МАХ (критерій оптимізму) – визначає альтернативу, яка максимізує максимальний результат для кожної альтернативи.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2. </w:t>
      </w:r>
      <w:r w:rsidR="00363C28" w:rsidRPr="00CB0434">
        <w:rPr>
          <w:rFonts w:ascii="Times New Roman" w:hAnsi="Times New Roman"/>
          <w:sz w:val="28"/>
          <w:szCs w:val="28"/>
          <w:lang w:val="uk-UA"/>
        </w:rPr>
        <w:t>Критерій МАХ</w:t>
      </w:r>
      <w:r w:rsidR="00363C28">
        <w:rPr>
          <w:rFonts w:ascii="Times New Roman" w:hAnsi="Times New Roman"/>
          <w:sz w:val="28"/>
          <w:szCs w:val="28"/>
          <w:lang w:val="en-US"/>
        </w:rPr>
        <w:t>I</w:t>
      </w:r>
      <w:r w:rsidR="00363C28" w:rsidRPr="00CB0434">
        <w:rPr>
          <w:rFonts w:ascii="Times New Roman" w:hAnsi="Times New Roman"/>
          <w:sz w:val="28"/>
          <w:szCs w:val="28"/>
          <w:lang w:val="uk-UA"/>
        </w:rPr>
        <w:t>М</w:t>
      </w:r>
      <w:r w:rsidR="00363C28">
        <w:rPr>
          <w:rFonts w:ascii="Times New Roman" w:hAnsi="Times New Roman"/>
          <w:sz w:val="28"/>
          <w:szCs w:val="28"/>
          <w:lang w:val="en-US"/>
        </w:rPr>
        <w:t>I</w:t>
      </w:r>
      <w:r w:rsidR="00363C28" w:rsidRPr="00CB0434">
        <w:rPr>
          <w:rFonts w:ascii="Times New Roman" w:hAnsi="Times New Roman"/>
          <w:sz w:val="28"/>
          <w:szCs w:val="28"/>
          <w:lang w:val="uk-UA"/>
        </w:rPr>
        <w:t>М (критерій песимізму) – визначає</w:t>
      </w:r>
      <w:r w:rsidR="00363C28" w:rsidRPr="00363C28">
        <w:rPr>
          <w:rFonts w:ascii="Times New Roman" w:hAnsi="Times New Roman"/>
          <w:sz w:val="28"/>
          <w:szCs w:val="28"/>
        </w:rPr>
        <w:t xml:space="preserve"> </w:t>
      </w:r>
      <w:r w:rsidR="00363C28" w:rsidRPr="00CB0434">
        <w:rPr>
          <w:rFonts w:ascii="Times New Roman" w:hAnsi="Times New Roman"/>
          <w:sz w:val="28"/>
          <w:szCs w:val="28"/>
          <w:lang w:val="uk-UA"/>
        </w:rPr>
        <w:t>альтернативу, яка максимізує мінімальний результат кожної альтернативи.</w:t>
      </w:r>
    </w:p>
    <w:p w:rsidR="00363C28" w:rsidRPr="00CB0434" w:rsidRDefault="00336F0C" w:rsidP="00363C28">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3. </w:t>
      </w:r>
      <w:r w:rsidR="00363C28" w:rsidRPr="00CB0434">
        <w:rPr>
          <w:rFonts w:ascii="Times New Roman" w:hAnsi="Times New Roman"/>
          <w:sz w:val="28"/>
          <w:szCs w:val="28"/>
          <w:lang w:val="uk-UA"/>
        </w:rPr>
        <w:t xml:space="preserve">Критерій </w:t>
      </w:r>
      <w:r w:rsidR="00363C28">
        <w:rPr>
          <w:rFonts w:ascii="Times New Roman" w:hAnsi="Times New Roman"/>
          <w:sz w:val="28"/>
          <w:szCs w:val="28"/>
          <w:lang w:val="uk-UA"/>
        </w:rPr>
        <w:t>БАЙДУЖОСТІ</w:t>
      </w:r>
      <w:r w:rsidR="00DB1F48">
        <w:rPr>
          <w:rFonts w:ascii="Times New Roman" w:hAnsi="Times New Roman"/>
          <w:sz w:val="28"/>
          <w:szCs w:val="28"/>
          <w:lang w:val="uk-UA"/>
        </w:rPr>
        <w:t xml:space="preserve"> – </w:t>
      </w:r>
      <w:r w:rsidR="00363C28" w:rsidRPr="00CB0434">
        <w:rPr>
          <w:rFonts w:ascii="Times New Roman" w:hAnsi="Times New Roman"/>
          <w:sz w:val="28"/>
          <w:szCs w:val="28"/>
          <w:lang w:val="uk-UA"/>
        </w:rPr>
        <w:t xml:space="preserve">виявляє альтернативу з максимальним середнім результатом (при цьому діє негласне припущення, що кожен з можливих станів середовища може наступити з рівною ймовірністю; в </w:t>
      </w:r>
      <w:r w:rsidR="00363C28" w:rsidRPr="00CB0434">
        <w:rPr>
          <w:rFonts w:ascii="Times New Roman" w:hAnsi="Times New Roman"/>
          <w:sz w:val="28"/>
          <w:szCs w:val="28"/>
          <w:lang w:val="uk-UA"/>
        </w:rPr>
        <w:lastRenderedPageBreak/>
        <w:t>результаті вибирається альтернатива, що дає максимальну величину математичного очікування).</w:t>
      </w:r>
    </w:p>
    <w:p w:rsidR="00363C28" w:rsidRPr="00CB0434" w:rsidRDefault="00363C28"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Відповідно, щодо сво</w:t>
      </w:r>
      <w:r w:rsidR="00597868">
        <w:rPr>
          <w:rFonts w:ascii="Times New Roman" w:hAnsi="Times New Roman"/>
          <w:sz w:val="28"/>
          <w:szCs w:val="28"/>
          <w:lang w:val="uk-UA"/>
        </w:rPr>
        <w:t>єї</w:t>
      </w:r>
      <w:r w:rsidRPr="00CB0434">
        <w:rPr>
          <w:rFonts w:ascii="Times New Roman" w:hAnsi="Times New Roman"/>
          <w:sz w:val="28"/>
          <w:szCs w:val="28"/>
          <w:lang w:val="uk-UA"/>
        </w:rPr>
        <w:t xml:space="preserve"> невизначеності люди, у тому числі персональні інвестори, поділяються на песимістів, оптимістів і нейтральних до невизначеності, приймають рішення про вибір інвестиційного </w:t>
      </w:r>
      <w:r w:rsidR="00DB1F48">
        <w:rPr>
          <w:rFonts w:ascii="Times New Roman" w:hAnsi="Times New Roman"/>
          <w:sz w:val="28"/>
          <w:szCs w:val="28"/>
          <w:lang w:val="uk-UA"/>
        </w:rPr>
        <w:t>проєк</w:t>
      </w:r>
      <w:r w:rsidRPr="00CB0434">
        <w:rPr>
          <w:rFonts w:ascii="Times New Roman" w:hAnsi="Times New Roman"/>
          <w:sz w:val="28"/>
          <w:szCs w:val="28"/>
          <w:lang w:val="uk-UA"/>
        </w:rPr>
        <w:t>ту відповідно до таких умов:</w:t>
      </w:r>
    </w:p>
    <w:p w:rsidR="00363C28" w:rsidRPr="00816BAD"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CB0434">
        <w:rPr>
          <w:rFonts w:ascii="Times New Roman" w:hAnsi="Times New Roman"/>
          <w:sz w:val="28"/>
          <w:szCs w:val="28"/>
          <w:lang w:val="uk-UA"/>
        </w:rPr>
        <w:t xml:space="preserve"> тимчасови</w:t>
      </w:r>
      <w:r w:rsidR="00597868">
        <w:rPr>
          <w:rFonts w:ascii="Times New Roman" w:hAnsi="Times New Roman"/>
          <w:sz w:val="28"/>
          <w:szCs w:val="28"/>
          <w:lang w:val="uk-UA"/>
        </w:rPr>
        <w:t>х</w:t>
      </w:r>
      <w:r w:rsidR="00363C28" w:rsidRPr="00CB0434">
        <w:rPr>
          <w:rFonts w:ascii="Times New Roman" w:hAnsi="Times New Roman"/>
          <w:sz w:val="28"/>
          <w:szCs w:val="28"/>
          <w:lang w:val="uk-UA"/>
        </w:rPr>
        <w:t xml:space="preserve"> </w:t>
      </w:r>
      <w:r w:rsidR="00363C28" w:rsidRPr="00816BAD">
        <w:rPr>
          <w:rFonts w:ascii="Times New Roman" w:hAnsi="Times New Roman"/>
          <w:sz w:val="28"/>
          <w:szCs w:val="28"/>
          <w:lang w:val="uk-UA"/>
        </w:rPr>
        <w:t>уподобан</w:t>
      </w:r>
      <w:r w:rsidR="00597868" w:rsidRPr="00816BAD">
        <w:rPr>
          <w:rFonts w:ascii="Times New Roman" w:hAnsi="Times New Roman"/>
          <w:sz w:val="28"/>
          <w:szCs w:val="28"/>
          <w:lang w:val="uk-UA"/>
        </w:rPr>
        <w:t>ь</w:t>
      </w:r>
      <w:r w:rsidR="00363C28" w:rsidRPr="00816BAD">
        <w:rPr>
          <w:rFonts w:ascii="Times New Roman" w:hAnsi="Times New Roman"/>
          <w:sz w:val="28"/>
          <w:szCs w:val="28"/>
          <w:lang w:val="uk-UA"/>
        </w:rPr>
        <w:t>;</w:t>
      </w:r>
    </w:p>
    <w:p w:rsidR="00363C28" w:rsidRPr="00816BAD"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816BAD">
        <w:rPr>
          <w:rFonts w:ascii="Times New Roman" w:hAnsi="Times New Roman"/>
          <w:sz w:val="28"/>
          <w:szCs w:val="28"/>
          <w:lang w:val="uk-UA"/>
        </w:rPr>
        <w:t xml:space="preserve"> очікувано</w:t>
      </w:r>
      <w:r w:rsidR="00597868" w:rsidRPr="00816BAD">
        <w:rPr>
          <w:rFonts w:ascii="Times New Roman" w:hAnsi="Times New Roman"/>
          <w:sz w:val="28"/>
          <w:szCs w:val="28"/>
          <w:lang w:val="uk-UA"/>
        </w:rPr>
        <w:t>ї</w:t>
      </w:r>
      <w:r w:rsidR="00363C28" w:rsidRPr="00816BAD">
        <w:rPr>
          <w:rFonts w:ascii="Times New Roman" w:hAnsi="Times New Roman"/>
          <w:sz w:val="28"/>
          <w:szCs w:val="28"/>
          <w:lang w:val="uk-UA"/>
        </w:rPr>
        <w:t xml:space="preserve"> прибутков</w:t>
      </w:r>
      <w:r w:rsidR="00597868" w:rsidRPr="00816BAD">
        <w:rPr>
          <w:rFonts w:ascii="Times New Roman" w:hAnsi="Times New Roman"/>
          <w:sz w:val="28"/>
          <w:szCs w:val="28"/>
          <w:lang w:val="uk-UA"/>
        </w:rPr>
        <w:t>о</w:t>
      </w:r>
      <w:r w:rsidR="00363C28" w:rsidRPr="00816BAD">
        <w:rPr>
          <w:rFonts w:ascii="Times New Roman" w:hAnsi="Times New Roman"/>
          <w:sz w:val="28"/>
          <w:szCs w:val="28"/>
          <w:lang w:val="uk-UA"/>
        </w:rPr>
        <w:t>ст</w:t>
      </w:r>
      <w:r w:rsidR="00597868" w:rsidRPr="00816BAD">
        <w:rPr>
          <w:rFonts w:ascii="Times New Roman" w:hAnsi="Times New Roman"/>
          <w:sz w:val="28"/>
          <w:szCs w:val="28"/>
          <w:lang w:val="uk-UA"/>
        </w:rPr>
        <w:t>і</w:t>
      </w:r>
      <w:r w:rsidR="00363C28" w:rsidRPr="00816BAD">
        <w:rPr>
          <w:rFonts w:ascii="Times New Roman" w:hAnsi="Times New Roman"/>
          <w:sz w:val="28"/>
          <w:szCs w:val="28"/>
          <w:lang w:val="uk-UA"/>
        </w:rPr>
        <w:t xml:space="preserve"> інвестиційного </w:t>
      </w:r>
      <w:r w:rsidR="00DB1F48" w:rsidRPr="00816BAD">
        <w:rPr>
          <w:rFonts w:ascii="Times New Roman" w:hAnsi="Times New Roman"/>
          <w:sz w:val="28"/>
          <w:szCs w:val="28"/>
          <w:lang w:val="uk-UA"/>
        </w:rPr>
        <w:t>проєк</w:t>
      </w:r>
      <w:r w:rsidR="00363C28" w:rsidRPr="00816BAD">
        <w:rPr>
          <w:rFonts w:ascii="Times New Roman" w:hAnsi="Times New Roman"/>
          <w:sz w:val="28"/>
          <w:szCs w:val="28"/>
          <w:lang w:val="uk-UA"/>
        </w:rPr>
        <w:t>ту;</w:t>
      </w:r>
    </w:p>
    <w:p w:rsidR="00363C28" w:rsidRPr="00816BAD"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816BAD">
        <w:rPr>
          <w:rFonts w:ascii="Times New Roman" w:hAnsi="Times New Roman"/>
          <w:sz w:val="28"/>
          <w:szCs w:val="28"/>
          <w:lang w:val="uk-UA"/>
        </w:rPr>
        <w:t xml:space="preserve"> ступен</w:t>
      </w:r>
      <w:r w:rsidR="00597868" w:rsidRPr="00816BAD">
        <w:rPr>
          <w:rFonts w:ascii="Times New Roman" w:hAnsi="Times New Roman"/>
          <w:sz w:val="28"/>
          <w:szCs w:val="28"/>
          <w:lang w:val="uk-UA"/>
        </w:rPr>
        <w:t>ю</w:t>
      </w:r>
      <w:r w:rsidR="00363C28" w:rsidRPr="00816BAD">
        <w:rPr>
          <w:rFonts w:ascii="Times New Roman" w:hAnsi="Times New Roman"/>
          <w:sz w:val="28"/>
          <w:szCs w:val="28"/>
          <w:lang w:val="uk-UA"/>
        </w:rPr>
        <w:t xml:space="preserve"> неприйняття ризику;</w:t>
      </w:r>
    </w:p>
    <w:p w:rsidR="00363C28" w:rsidRPr="00816BAD" w:rsidRDefault="00336F0C" w:rsidP="00363C28">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w:t>
      </w:r>
      <w:r w:rsidR="00363C28" w:rsidRPr="00816BAD">
        <w:rPr>
          <w:rFonts w:ascii="Times New Roman" w:hAnsi="Times New Roman"/>
          <w:sz w:val="28"/>
          <w:szCs w:val="28"/>
          <w:lang w:val="uk-UA"/>
        </w:rPr>
        <w:t xml:space="preserve"> ймовірнісни</w:t>
      </w:r>
      <w:r w:rsidR="00597868" w:rsidRPr="00816BAD">
        <w:rPr>
          <w:rFonts w:ascii="Times New Roman" w:hAnsi="Times New Roman"/>
          <w:sz w:val="28"/>
          <w:szCs w:val="28"/>
          <w:lang w:val="uk-UA"/>
        </w:rPr>
        <w:t>х</w:t>
      </w:r>
      <w:r w:rsidR="00363C28" w:rsidRPr="00816BAD">
        <w:rPr>
          <w:rFonts w:ascii="Times New Roman" w:hAnsi="Times New Roman"/>
          <w:sz w:val="28"/>
          <w:szCs w:val="28"/>
          <w:lang w:val="uk-UA"/>
        </w:rPr>
        <w:t xml:space="preserve"> оцін</w:t>
      </w:r>
      <w:r w:rsidR="00597868" w:rsidRPr="00816BAD">
        <w:rPr>
          <w:rFonts w:ascii="Times New Roman" w:hAnsi="Times New Roman"/>
          <w:sz w:val="28"/>
          <w:szCs w:val="28"/>
          <w:lang w:val="uk-UA"/>
        </w:rPr>
        <w:t>ок</w:t>
      </w:r>
      <w:r w:rsidR="00363C28" w:rsidRPr="00816BAD">
        <w:rPr>
          <w:rFonts w:ascii="Times New Roman" w:hAnsi="Times New Roman"/>
          <w:sz w:val="28"/>
          <w:szCs w:val="28"/>
          <w:lang w:val="uk-UA"/>
        </w:rPr>
        <w:t>.</w:t>
      </w:r>
    </w:p>
    <w:p w:rsidR="00363C28" w:rsidRDefault="00363C28" w:rsidP="00165833">
      <w:pPr>
        <w:spacing w:after="0" w:line="360" w:lineRule="auto"/>
        <w:ind w:firstLine="709"/>
        <w:jc w:val="both"/>
        <w:rPr>
          <w:rFonts w:ascii="Times New Roman" w:hAnsi="Times New Roman"/>
          <w:sz w:val="28"/>
          <w:szCs w:val="28"/>
          <w:lang w:val="uk-UA"/>
        </w:rPr>
      </w:pPr>
      <w:r w:rsidRPr="00816BAD">
        <w:rPr>
          <w:rFonts w:ascii="Times New Roman" w:hAnsi="Times New Roman"/>
          <w:sz w:val="28"/>
          <w:szCs w:val="28"/>
          <w:lang w:val="uk-UA"/>
        </w:rPr>
        <w:t xml:space="preserve">Наприклад, рішення про капіталовкладення навряд чи буде прийнято в умовах повної невизначеності, оскільки інвестор докладе максимум зусиль для збирання необхідної інформації. У міру здійснення </w:t>
      </w:r>
      <w:r w:rsidR="00DB1F48" w:rsidRPr="00816BAD">
        <w:rPr>
          <w:rFonts w:ascii="Times New Roman" w:hAnsi="Times New Roman"/>
          <w:sz w:val="28"/>
          <w:szCs w:val="28"/>
          <w:lang w:val="uk-UA"/>
        </w:rPr>
        <w:t>проєк</w:t>
      </w:r>
      <w:r w:rsidRPr="00816BAD">
        <w:rPr>
          <w:rFonts w:ascii="Times New Roman" w:hAnsi="Times New Roman"/>
          <w:sz w:val="28"/>
          <w:szCs w:val="28"/>
          <w:lang w:val="uk-UA"/>
        </w:rPr>
        <w:t>ту</w:t>
      </w:r>
      <w:r w:rsidR="00386301" w:rsidRPr="00816BAD">
        <w:rPr>
          <w:rFonts w:ascii="Times New Roman" w:hAnsi="Times New Roman"/>
          <w:sz w:val="28"/>
          <w:szCs w:val="28"/>
          <w:lang w:val="uk-UA"/>
        </w:rPr>
        <w:t xml:space="preserve"> з </w:t>
      </w:r>
      <w:r w:rsidR="00386301" w:rsidRPr="00816BAD">
        <w:rPr>
          <w:rStyle w:val="docdata"/>
          <w:rFonts w:ascii="Times New Roman" w:eastAsia="Aptos" w:hAnsi="Times New Roman"/>
          <w:color w:val="000000"/>
          <w:kern w:val="2"/>
          <w:sz w:val="28"/>
          <w:szCs w:val="28"/>
          <w:lang w:val="uk-UA"/>
        </w:rPr>
        <w:t>інвестиційної привабливості</w:t>
      </w:r>
      <w:r w:rsidRPr="00816BAD">
        <w:rPr>
          <w:rFonts w:ascii="Times New Roman" w:hAnsi="Times New Roman"/>
          <w:sz w:val="28"/>
          <w:szCs w:val="28"/>
          <w:lang w:val="uk-UA"/>
        </w:rPr>
        <w:t xml:space="preserve"> до інвестора</w:t>
      </w:r>
      <w:r w:rsidRPr="00CB0434">
        <w:rPr>
          <w:rFonts w:ascii="Times New Roman" w:hAnsi="Times New Roman"/>
          <w:sz w:val="28"/>
          <w:szCs w:val="28"/>
          <w:lang w:val="uk-UA"/>
        </w:rPr>
        <w:t xml:space="preserve"> надходить додаткова інформація про умови реалізації </w:t>
      </w:r>
      <w:r w:rsidR="00DB1F48">
        <w:rPr>
          <w:rFonts w:ascii="Times New Roman" w:hAnsi="Times New Roman"/>
          <w:sz w:val="28"/>
          <w:szCs w:val="28"/>
          <w:lang w:val="uk-UA"/>
        </w:rPr>
        <w:t>проєк</w:t>
      </w:r>
      <w:r w:rsidRPr="00CB0434">
        <w:rPr>
          <w:rFonts w:ascii="Times New Roman" w:hAnsi="Times New Roman"/>
          <w:sz w:val="28"/>
          <w:szCs w:val="28"/>
          <w:lang w:val="uk-UA"/>
        </w:rPr>
        <w:t>ту і, таким чином, невизначеність, що раніше існувала, знімається.</w:t>
      </w:r>
    </w:p>
    <w:p w:rsidR="00F24B97" w:rsidRDefault="00F24B97" w:rsidP="00165833">
      <w:pPr>
        <w:spacing w:after="0" w:line="360" w:lineRule="auto"/>
        <w:ind w:firstLine="709"/>
        <w:jc w:val="both"/>
        <w:rPr>
          <w:rFonts w:ascii="Times New Roman" w:hAnsi="Times New Roman"/>
          <w:sz w:val="28"/>
          <w:szCs w:val="28"/>
          <w:lang w:val="uk-UA"/>
        </w:rPr>
      </w:pPr>
    </w:p>
    <w:p w:rsidR="00F24B97" w:rsidRPr="002F389C" w:rsidRDefault="00F24B97" w:rsidP="00F24B97">
      <w:pPr>
        <w:spacing w:after="0" w:line="360" w:lineRule="auto"/>
        <w:ind w:firstLine="709"/>
        <w:jc w:val="center"/>
        <w:rPr>
          <w:rFonts w:ascii="Times New Roman" w:eastAsia="Times New Roman" w:hAnsi="Times New Roman"/>
          <w:b/>
          <w:sz w:val="28"/>
          <w:szCs w:val="28"/>
          <w:lang w:val="uk-UA" w:eastAsia="ru-RU"/>
        </w:rPr>
      </w:pPr>
      <w:r w:rsidRPr="002F389C">
        <w:rPr>
          <w:rFonts w:ascii="Times New Roman" w:eastAsia="Times New Roman" w:hAnsi="Times New Roman"/>
          <w:b/>
          <w:sz w:val="28"/>
          <w:szCs w:val="28"/>
          <w:lang w:val="uk-UA" w:eastAsia="ru-RU"/>
        </w:rPr>
        <w:t>Висновки до першого розділу</w:t>
      </w:r>
    </w:p>
    <w:p w:rsidR="00F24B97" w:rsidRDefault="00F24B97" w:rsidP="00165833">
      <w:pPr>
        <w:spacing w:after="0" w:line="360" w:lineRule="auto"/>
        <w:ind w:firstLine="709"/>
        <w:jc w:val="both"/>
        <w:rPr>
          <w:rFonts w:ascii="Times New Roman" w:hAnsi="Times New Roman"/>
          <w:b/>
          <w:sz w:val="28"/>
          <w:szCs w:val="28"/>
          <w:lang w:val="uk-UA"/>
        </w:rPr>
      </w:pPr>
    </w:p>
    <w:p w:rsidR="000C3066" w:rsidRPr="00313EB1" w:rsidRDefault="000C3066" w:rsidP="000C3066">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1.</w:t>
      </w:r>
      <w:r w:rsidR="00850EA3">
        <w:rPr>
          <w:rFonts w:ascii="Times New Roman" w:hAnsi="Times New Roman"/>
          <w:sz w:val="28"/>
          <w:szCs w:val="28"/>
          <w:lang w:val="uk-UA"/>
        </w:rPr>
        <w:t xml:space="preserve"> </w:t>
      </w:r>
      <w:r w:rsidRPr="00FC6511">
        <w:rPr>
          <w:rFonts w:ascii="Times New Roman" w:hAnsi="Times New Roman"/>
          <w:sz w:val="28"/>
          <w:szCs w:val="28"/>
          <w:lang w:val="uk-UA"/>
        </w:rPr>
        <w:t xml:space="preserve">Зазначено, що </w:t>
      </w:r>
      <w:r>
        <w:rPr>
          <w:rFonts w:ascii="Times New Roman" w:hAnsi="Times New Roman"/>
          <w:sz w:val="28"/>
          <w:szCs w:val="28"/>
          <w:lang w:val="uk-UA"/>
        </w:rPr>
        <w:t>у</w:t>
      </w:r>
      <w:r w:rsidRPr="00313EB1">
        <w:rPr>
          <w:rFonts w:ascii="Times New Roman" w:hAnsi="Times New Roman"/>
          <w:sz w:val="28"/>
          <w:szCs w:val="28"/>
          <w:lang w:val="uk-UA"/>
        </w:rPr>
        <w:t xml:space="preserve">правління інвестиційною привабливістю тотожне управлінню розвитком підприємства, тобто крім об'єктивного інтересу інвесторів, тут є об'єктивний інтерес кадрів і суспільства. Отже, технологія управління інвестиційною привабливістю, побудована на </w:t>
      </w:r>
      <w:r>
        <w:rPr>
          <w:rFonts w:ascii="Times New Roman" w:hAnsi="Times New Roman"/>
          <w:sz w:val="28"/>
          <w:szCs w:val="28"/>
          <w:lang w:val="uk-UA"/>
        </w:rPr>
        <w:t>врахуванні</w:t>
      </w:r>
      <w:r w:rsidRPr="00313EB1">
        <w:rPr>
          <w:rFonts w:ascii="Times New Roman" w:hAnsi="Times New Roman"/>
          <w:sz w:val="28"/>
          <w:szCs w:val="28"/>
          <w:lang w:val="uk-UA"/>
        </w:rPr>
        <w:t xml:space="preserve"> цих об'єктивних інтересів, працюватиме на будь-якому рівні </w:t>
      </w:r>
      <w:r>
        <w:rPr>
          <w:rFonts w:ascii="Times New Roman" w:hAnsi="Times New Roman"/>
          <w:sz w:val="28"/>
          <w:szCs w:val="28"/>
          <w:lang w:val="uk-UA"/>
        </w:rPr>
        <w:t>і</w:t>
      </w:r>
      <w:r w:rsidRPr="00313EB1">
        <w:rPr>
          <w:rFonts w:ascii="Times New Roman" w:hAnsi="Times New Roman"/>
          <w:sz w:val="28"/>
          <w:szCs w:val="28"/>
          <w:lang w:val="uk-UA"/>
        </w:rPr>
        <w:t xml:space="preserve"> в будь-якому місці та гарантуватиме результат</w:t>
      </w:r>
      <w:r>
        <w:t>.</w:t>
      </w:r>
    </w:p>
    <w:p w:rsidR="000C3066" w:rsidRDefault="000C3066" w:rsidP="000C3066">
      <w:pPr>
        <w:spacing w:after="0" w:line="360" w:lineRule="auto"/>
        <w:ind w:firstLine="709"/>
        <w:jc w:val="both"/>
        <w:rPr>
          <w:lang w:val="uk-UA"/>
        </w:rPr>
      </w:pPr>
      <w:r w:rsidRPr="00313EB1">
        <w:rPr>
          <w:rFonts w:ascii="Times New Roman" w:hAnsi="Times New Roman"/>
          <w:sz w:val="28"/>
          <w:szCs w:val="28"/>
          <w:lang w:val="uk-UA"/>
        </w:rPr>
        <w:t>Таким чином, збіг інтересів суспільства з інтересами інвесторів виводить завдання управління інвестиційною привабливістю із розряду приватних у розряд суспільно значимих, а специфіка поточного моменту робить її не просто ключовою, але надпріоритетною.</w:t>
      </w:r>
      <w:r>
        <w:rPr>
          <w:rFonts w:ascii="Times New Roman" w:hAnsi="Times New Roman"/>
          <w:sz w:val="28"/>
          <w:szCs w:val="28"/>
          <w:lang w:val="uk-UA"/>
        </w:rPr>
        <w:t xml:space="preserve"> </w:t>
      </w:r>
      <w:r w:rsidRPr="00313EB1">
        <w:rPr>
          <w:rFonts w:ascii="Times New Roman" w:hAnsi="Times New Roman"/>
          <w:sz w:val="28"/>
          <w:szCs w:val="28"/>
          <w:lang w:val="uk-UA"/>
        </w:rPr>
        <w:t xml:space="preserve">Успішне функціонування підприємства передбачає здійснення інвестиційної </w:t>
      </w:r>
      <w:r w:rsidRPr="00313EB1">
        <w:rPr>
          <w:rFonts w:ascii="Times New Roman" w:hAnsi="Times New Roman"/>
          <w:sz w:val="28"/>
          <w:szCs w:val="28"/>
          <w:lang w:val="uk-UA"/>
        </w:rPr>
        <w:lastRenderedPageBreak/>
        <w:t xml:space="preserve">діяльності, пов'язаної з проведенням гнучкої інвестиційної політики, формуванням реальної інвестиційної привабливості підприємства, з урахуванням вимог інвесторів, і, як наслідок, отримання інвестицій та реалізації інвестиційних </w:t>
      </w:r>
      <w:r>
        <w:rPr>
          <w:rFonts w:ascii="Times New Roman" w:hAnsi="Times New Roman"/>
          <w:sz w:val="28"/>
          <w:szCs w:val="28"/>
          <w:lang w:val="uk-UA"/>
        </w:rPr>
        <w:t>проєк</w:t>
      </w:r>
      <w:r w:rsidRPr="00313EB1">
        <w:rPr>
          <w:rFonts w:ascii="Times New Roman" w:hAnsi="Times New Roman"/>
          <w:sz w:val="28"/>
          <w:szCs w:val="28"/>
          <w:lang w:val="uk-UA"/>
        </w:rPr>
        <w:t>тів</w:t>
      </w:r>
      <w:r w:rsidRPr="005670E0">
        <w:rPr>
          <w:lang w:val="uk-UA"/>
        </w:rPr>
        <w:t>.</w:t>
      </w:r>
    </w:p>
    <w:p w:rsidR="000C3066" w:rsidRPr="00313EB1" w:rsidRDefault="000C3066" w:rsidP="000C3066">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Здійснення діяльності підприємств із забезпечення</w:t>
      </w:r>
      <w:r>
        <w:rPr>
          <w:rFonts w:ascii="Times New Roman" w:hAnsi="Times New Roman"/>
          <w:sz w:val="28"/>
          <w:szCs w:val="28"/>
          <w:lang w:val="uk-UA"/>
        </w:rPr>
        <w:t xml:space="preserve"> </w:t>
      </w:r>
      <w:r w:rsidRPr="00313EB1">
        <w:rPr>
          <w:rFonts w:ascii="Times New Roman" w:hAnsi="Times New Roman"/>
          <w:sz w:val="28"/>
          <w:szCs w:val="28"/>
          <w:lang w:val="uk-UA"/>
        </w:rPr>
        <w:t>інвестиційної привабливості пов'язано з особливостями прийняття управлінських рішень під час формування: стратегії аналізу</w:t>
      </w:r>
      <w:r>
        <w:rPr>
          <w:rFonts w:ascii="Times New Roman" w:hAnsi="Times New Roman"/>
          <w:sz w:val="28"/>
          <w:szCs w:val="28"/>
          <w:lang w:val="uk-UA"/>
        </w:rPr>
        <w:t xml:space="preserve"> </w:t>
      </w:r>
      <w:r w:rsidRPr="00313EB1">
        <w:rPr>
          <w:rFonts w:ascii="Times New Roman" w:hAnsi="Times New Roman"/>
          <w:sz w:val="28"/>
          <w:szCs w:val="28"/>
          <w:lang w:val="uk-UA"/>
        </w:rPr>
        <w:t>інвестиційного та товарного ринків; гнучко</w:t>
      </w:r>
      <w:r>
        <w:rPr>
          <w:rFonts w:ascii="Times New Roman" w:hAnsi="Times New Roman"/>
          <w:sz w:val="28"/>
          <w:szCs w:val="28"/>
          <w:lang w:val="uk-UA"/>
        </w:rPr>
        <w:t>ї</w:t>
      </w:r>
      <w:r w:rsidRPr="00313EB1">
        <w:rPr>
          <w:rFonts w:ascii="Times New Roman" w:hAnsi="Times New Roman"/>
          <w:sz w:val="28"/>
          <w:szCs w:val="28"/>
          <w:lang w:val="uk-UA"/>
        </w:rPr>
        <w:t xml:space="preserve"> інвестиційної політики; інвестиційних привабливих </w:t>
      </w:r>
      <w:r>
        <w:rPr>
          <w:rFonts w:ascii="Times New Roman" w:hAnsi="Times New Roman"/>
          <w:sz w:val="28"/>
          <w:szCs w:val="28"/>
          <w:lang w:val="uk-UA"/>
        </w:rPr>
        <w:t>проєк</w:t>
      </w:r>
      <w:r w:rsidRPr="00313EB1">
        <w:rPr>
          <w:rFonts w:ascii="Times New Roman" w:hAnsi="Times New Roman"/>
          <w:sz w:val="28"/>
          <w:szCs w:val="28"/>
          <w:lang w:val="uk-UA"/>
        </w:rPr>
        <w:t xml:space="preserve">тів підприємств та їх оцінки; етапності отримання інвестицій та реалізації інвестиційних привабливих </w:t>
      </w:r>
      <w:r>
        <w:rPr>
          <w:rFonts w:ascii="Times New Roman" w:hAnsi="Times New Roman"/>
          <w:sz w:val="28"/>
          <w:szCs w:val="28"/>
          <w:lang w:val="uk-UA"/>
        </w:rPr>
        <w:t>проєк</w:t>
      </w:r>
      <w:r w:rsidRPr="00313EB1">
        <w:rPr>
          <w:rFonts w:ascii="Times New Roman" w:hAnsi="Times New Roman"/>
          <w:sz w:val="28"/>
          <w:szCs w:val="28"/>
          <w:lang w:val="uk-UA"/>
        </w:rPr>
        <w:t>тів. Слід зазначити, що існують</w:t>
      </w:r>
      <w:r>
        <w:rPr>
          <w:rFonts w:ascii="Times New Roman" w:hAnsi="Times New Roman"/>
          <w:sz w:val="28"/>
          <w:szCs w:val="28"/>
          <w:lang w:val="uk-UA"/>
        </w:rPr>
        <w:t xml:space="preserve"> </w:t>
      </w:r>
      <w:r w:rsidRPr="00313EB1">
        <w:rPr>
          <w:rFonts w:ascii="Times New Roman" w:hAnsi="Times New Roman"/>
          <w:sz w:val="28"/>
          <w:szCs w:val="28"/>
          <w:lang w:val="uk-UA"/>
        </w:rPr>
        <w:t>стримуючі чинники інвестиційної діяльності, які суперечать вимогам інвесторів</w:t>
      </w:r>
      <w:r>
        <w:rPr>
          <w:rFonts w:ascii="Times New Roman" w:hAnsi="Times New Roman"/>
          <w:sz w:val="28"/>
          <w:szCs w:val="28"/>
          <w:lang w:val="uk-UA"/>
        </w:rPr>
        <w:t>,</w:t>
      </w:r>
      <w:r w:rsidRPr="00313EB1">
        <w:rPr>
          <w:rFonts w:ascii="Times New Roman" w:hAnsi="Times New Roman"/>
          <w:sz w:val="28"/>
          <w:szCs w:val="28"/>
          <w:lang w:val="uk-UA"/>
        </w:rPr>
        <w:t xml:space="preserve"> та чинники</w:t>
      </w:r>
      <w:r>
        <w:rPr>
          <w:rFonts w:ascii="Times New Roman" w:hAnsi="Times New Roman"/>
          <w:sz w:val="28"/>
          <w:szCs w:val="28"/>
          <w:lang w:val="uk-UA"/>
        </w:rPr>
        <w:t>, що</w:t>
      </w:r>
      <w:r w:rsidRPr="00313EB1">
        <w:rPr>
          <w:rFonts w:ascii="Times New Roman" w:hAnsi="Times New Roman"/>
          <w:sz w:val="28"/>
          <w:szCs w:val="28"/>
          <w:lang w:val="uk-UA"/>
        </w:rPr>
        <w:t xml:space="preserve"> визначають інвестиційну привабливість підприємства, від</w:t>
      </w:r>
      <w:r>
        <w:rPr>
          <w:rFonts w:ascii="Times New Roman" w:hAnsi="Times New Roman"/>
          <w:sz w:val="28"/>
          <w:szCs w:val="28"/>
          <w:lang w:val="uk-UA"/>
        </w:rPr>
        <w:t>ображають</w:t>
      </w:r>
      <w:r w:rsidRPr="00313EB1">
        <w:rPr>
          <w:rFonts w:ascii="Times New Roman" w:hAnsi="Times New Roman"/>
          <w:sz w:val="28"/>
          <w:szCs w:val="28"/>
          <w:lang w:val="uk-UA"/>
        </w:rPr>
        <w:t xml:space="preserve"> їх фінансово</w:t>
      </w:r>
      <w:r>
        <w:rPr>
          <w:rFonts w:ascii="Times New Roman" w:hAnsi="Times New Roman"/>
          <w:sz w:val="28"/>
          <w:szCs w:val="28"/>
          <w:lang w:val="uk-UA"/>
        </w:rPr>
        <w:t>-</w:t>
      </w:r>
      <w:r w:rsidRPr="00313EB1">
        <w:rPr>
          <w:rFonts w:ascii="Times New Roman" w:hAnsi="Times New Roman"/>
          <w:sz w:val="28"/>
          <w:szCs w:val="28"/>
          <w:lang w:val="uk-UA"/>
        </w:rPr>
        <w:t>господарську діяльність</w:t>
      </w:r>
      <w:r w:rsidRPr="005670E0">
        <w:rPr>
          <w:lang w:val="uk-UA"/>
        </w:rPr>
        <w:t>.</w:t>
      </w:r>
    </w:p>
    <w:p w:rsidR="000C3066" w:rsidRPr="00313EB1" w:rsidRDefault="000C3066" w:rsidP="000C3066">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Під </w:t>
      </w:r>
      <w:r w:rsidRPr="00AD0D2A">
        <w:rPr>
          <w:rFonts w:ascii="Times New Roman" w:hAnsi="Times New Roman"/>
          <w:sz w:val="28"/>
          <w:szCs w:val="28"/>
          <w:lang w:val="uk-UA"/>
        </w:rPr>
        <w:t>інвестиційної приваблив</w:t>
      </w:r>
      <w:r>
        <w:rPr>
          <w:rFonts w:ascii="Times New Roman" w:hAnsi="Times New Roman"/>
          <w:sz w:val="28"/>
          <w:szCs w:val="28"/>
          <w:lang w:val="uk-UA"/>
        </w:rPr>
        <w:t>істю</w:t>
      </w:r>
      <w:r w:rsidRPr="00313EB1">
        <w:rPr>
          <w:rFonts w:ascii="Times New Roman" w:hAnsi="Times New Roman"/>
          <w:sz w:val="28"/>
          <w:szCs w:val="28"/>
          <w:lang w:val="uk-UA"/>
        </w:rPr>
        <w:t xml:space="preserve"> підприємства розуміється сукупність заходів, вкладених у розробку та реалізацію стратегії управління портфелем інвестицій, досягнення оптимального поєднання прямих і портфельних інвестицій з метою забезпечення нормальної діяльності, збільшення прибутковості операцій, підтримки допустимого рівня їх ризикованості та ліквідності підприємства. Вона розробляється керівництвом підприємства (спільно з установою, що його консультує з цих питань).</w:t>
      </w:r>
    </w:p>
    <w:p w:rsidR="000C3066" w:rsidRPr="003A407E" w:rsidRDefault="000C3066" w:rsidP="000C3066">
      <w:pPr>
        <w:spacing w:after="0" w:line="360" w:lineRule="auto"/>
        <w:ind w:firstLine="709"/>
        <w:jc w:val="both"/>
        <w:rPr>
          <w:rFonts w:ascii="Times New Roman" w:hAnsi="Times New Roman"/>
          <w:sz w:val="28"/>
          <w:szCs w:val="28"/>
          <w:lang w:val="uk-UA"/>
        </w:rPr>
      </w:pPr>
      <w:r w:rsidRPr="00313EB1">
        <w:rPr>
          <w:rFonts w:ascii="Times New Roman" w:hAnsi="Times New Roman"/>
          <w:sz w:val="28"/>
          <w:szCs w:val="28"/>
          <w:lang w:val="uk-UA"/>
        </w:rPr>
        <w:t xml:space="preserve">Найважливішим </w:t>
      </w:r>
      <w:r w:rsidRPr="003A407E">
        <w:rPr>
          <w:rFonts w:ascii="Times New Roman" w:hAnsi="Times New Roman"/>
          <w:sz w:val="28"/>
          <w:szCs w:val="28"/>
          <w:lang w:val="uk-UA"/>
        </w:rPr>
        <w:t>елементом інвестиційної привабливості є розробка стратегії та тактики управління валютно-фінансовим портфелем підприємства, що включає поряд з іншими його елементами портфель інвестицій.</w:t>
      </w:r>
    </w:p>
    <w:p w:rsidR="000C3066" w:rsidRPr="003A407E" w:rsidRDefault="000C3066" w:rsidP="000C3066">
      <w:pPr>
        <w:spacing w:after="0" w:line="360" w:lineRule="auto"/>
        <w:ind w:firstLine="709"/>
        <w:jc w:val="both"/>
        <w:rPr>
          <w:rFonts w:ascii="Times New Roman" w:hAnsi="Times New Roman"/>
          <w:sz w:val="28"/>
          <w:szCs w:val="28"/>
          <w:lang w:val="uk-UA"/>
        </w:rPr>
      </w:pPr>
      <w:r w:rsidRPr="003A407E">
        <w:rPr>
          <w:rFonts w:ascii="Times New Roman" w:hAnsi="Times New Roman"/>
          <w:sz w:val="28"/>
          <w:szCs w:val="28"/>
          <w:lang w:val="uk-UA"/>
        </w:rPr>
        <w:t>2. Визначено, що під час проведення аналізу ризиків, крім виявлення можливих ризикових подій, їхнього впливу на реалізацію проєкту з</w:t>
      </w:r>
      <w:r w:rsidRPr="003A407E">
        <w:rPr>
          <w:rStyle w:val="docdata"/>
          <w:rFonts w:ascii="Times New Roman" w:eastAsia="Aptos" w:hAnsi="Times New Roman"/>
          <w:color w:val="000000"/>
          <w:kern w:val="2"/>
          <w:sz w:val="28"/>
          <w:szCs w:val="28"/>
          <w:lang w:val="uk-UA"/>
        </w:rPr>
        <w:t xml:space="preserve"> інвестиційної привабливості</w:t>
      </w:r>
      <w:r w:rsidRPr="003A407E">
        <w:rPr>
          <w:rFonts w:ascii="Times New Roman" w:hAnsi="Times New Roman"/>
          <w:sz w:val="28"/>
          <w:szCs w:val="28"/>
          <w:lang w:val="uk-UA"/>
        </w:rPr>
        <w:t xml:space="preserve"> та методів боротьби з ризиками, оцінюється плата за мінімізацію ризиків, що співвідноситься з небезпекою ризикових подій. Коригування потоків коштів</w:t>
      </w:r>
      <w:r w:rsidRPr="00877BF2">
        <w:rPr>
          <w:rFonts w:ascii="Times New Roman" w:hAnsi="Times New Roman"/>
          <w:sz w:val="28"/>
          <w:szCs w:val="28"/>
          <w:lang w:val="uk-UA"/>
        </w:rPr>
        <w:t xml:space="preserve"> здійснюється з урахуванням можливих сценаріїв настання ризикових </w:t>
      </w:r>
      <w:r w:rsidRPr="003A407E">
        <w:rPr>
          <w:rFonts w:ascii="Times New Roman" w:hAnsi="Times New Roman"/>
          <w:sz w:val="28"/>
          <w:szCs w:val="28"/>
          <w:lang w:val="uk-UA"/>
        </w:rPr>
        <w:t xml:space="preserve">подій, необхідного резервування грошових </w:t>
      </w:r>
      <w:r w:rsidRPr="003A407E">
        <w:rPr>
          <w:rFonts w:ascii="Times New Roman" w:hAnsi="Times New Roman"/>
          <w:sz w:val="28"/>
          <w:szCs w:val="28"/>
          <w:lang w:val="uk-UA"/>
        </w:rPr>
        <w:lastRenderedPageBreak/>
        <w:t>коштів та страхування ризиків як проєкту з</w:t>
      </w:r>
      <w:r w:rsidRPr="003A407E">
        <w:rPr>
          <w:rStyle w:val="docdata"/>
          <w:rFonts w:ascii="Times New Roman" w:eastAsia="Aptos" w:hAnsi="Times New Roman"/>
          <w:color w:val="000000"/>
          <w:kern w:val="2"/>
          <w:sz w:val="28"/>
          <w:szCs w:val="28"/>
          <w:lang w:val="uk-UA"/>
        </w:rPr>
        <w:t xml:space="preserve"> інвестиційної привабливості</w:t>
      </w:r>
      <w:r w:rsidRPr="003A407E">
        <w:rPr>
          <w:rFonts w:ascii="Times New Roman" w:hAnsi="Times New Roman"/>
          <w:sz w:val="28"/>
          <w:szCs w:val="28"/>
          <w:lang w:val="uk-UA"/>
        </w:rPr>
        <w:t>, так і інвестора.</w:t>
      </w:r>
    </w:p>
    <w:p w:rsidR="000C3066" w:rsidRPr="00877BF2" w:rsidRDefault="000C3066" w:rsidP="000C3066">
      <w:pPr>
        <w:spacing w:after="0" w:line="360" w:lineRule="auto"/>
        <w:ind w:firstLine="709"/>
        <w:jc w:val="both"/>
        <w:rPr>
          <w:rFonts w:ascii="Times New Roman" w:hAnsi="Times New Roman"/>
          <w:sz w:val="28"/>
          <w:szCs w:val="28"/>
          <w:lang w:val="uk-UA"/>
        </w:rPr>
      </w:pPr>
      <w:r w:rsidRPr="003A407E">
        <w:rPr>
          <w:rFonts w:ascii="Times New Roman" w:hAnsi="Times New Roman"/>
          <w:sz w:val="28"/>
          <w:szCs w:val="28"/>
          <w:lang w:val="uk-UA"/>
        </w:rPr>
        <w:t>Облік цих моментів на стадії техніко-економічного обґрунтування не тільки сприяє просуванню проєктів з</w:t>
      </w:r>
      <w:r w:rsidRPr="003A407E">
        <w:rPr>
          <w:rStyle w:val="docdata"/>
          <w:rFonts w:ascii="Times New Roman" w:eastAsia="Aptos" w:hAnsi="Times New Roman"/>
          <w:color w:val="000000"/>
          <w:kern w:val="2"/>
          <w:sz w:val="28"/>
          <w:szCs w:val="28"/>
          <w:lang w:val="uk-UA"/>
        </w:rPr>
        <w:t xml:space="preserve"> інвестиційної привабливості</w:t>
      </w:r>
      <w:r w:rsidRPr="003A407E">
        <w:rPr>
          <w:rFonts w:ascii="Times New Roman" w:hAnsi="Times New Roman"/>
          <w:sz w:val="28"/>
          <w:szCs w:val="28"/>
          <w:lang w:val="uk-UA"/>
        </w:rPr>
        <w:t>, а й дозволяє збільшити їхню інвестиційну привабливість. Інвестиційна політика Банку в галузі інвестицій передбачає інвестування власних коштів у підприємства середнього та великого бізнесу різних галузей промисловості, а також здійснення</w:t>
      </w:r>
      <w:r w:rsidRPr="00877BF2">
        <w:rPr>
          <w:rFonts w:ascii="Times New Roman" w:hAnsi="Times New Roman"/>
          <w:sz w:val="28"/>
          <w:szCs w:val="28"/>
          <w:lang w:val="uk-UA"/>
        </w:rPr>
        <w:t xml:space="preserve"> венчурних угод.</w:t>
      </w:r>
      <w:r>
        <w:rPr>
          <w:rFonts w:ascii="Times New Roman" w:hAnsi="Times New Roman"/>
          <w:sz w:val="28"/>
          <w:szCs w:val="28"/>
          <w:lang w:val="uk-UA"/>
        </w:rPr>
        <w:t xml:space="preserve"> </w:t>
      </w:r>
      <w:r w:rsidRPr="00877BF2">
        <w:rPr>
          <w:rFonts w:ascii="Times New Roman" w:hAnsi="Times New Roman"/>
          <w:sz w:val="28"/>
          <w:szCs w:val="28"/>
          <w:lang w:val="uk-UA"/>
        </w:rPr>
        <w:t>Інвестиції здійснюються у компанії, що займають стійку позицію на внутрішньому ринку, з сильним, успішно діючим керівництвом, що має чітку концепцію та політику розвитку свого підприємства.</w:t>
      </w:r>
      <w:r>
        <w:rPr>
          <w:rFonts w:ascii="Times New Roman" w:hAnsi="Times New Roman"/>
          <w:sz w:val="28"/>
          <w:szCs w:val="28"/>
          <w:lang w:val="uk-UA"/>
        </w:rPr>
        <w:t xml:space="preserve"> </w:t>
      </w:r>
      <w:r w:rsidRPr="00877BF2">
        <w:rPr>
          <w:rFonts w:ascii="Times New Roman" w:hAnsi="Times New Roman"/>
          <w:sz w:val="28"/>
          <w:szCs w:val="28"/>
          <w:lang w:val="uk-UA"/>
        </w:rPr>
        <w:t>Фінансування надається у різних формах. У вигляді інвестицій в акціонерний капітал, тобто через розширення статутного капіталу та викуп пакету акцій, пропорційного за вартістю та обсягом інвестованих коштів, що дозволяє здійснювати дієвий контроль за використанням коштів. У вигляді прямого викупу пакета акцій підприємства, що продається, у існуючих акціонерів. Паралельно з інвестуванням в основний капітал компанії може бути наданий комерційний кредит.</w:t>
      </w:r>
    </w:p>
    <w:p w:rsidR="000C3066" w:rsidRPr="00877BF2" w:rsidRDefault="000C3066" w:rsidP="000C3066">
      <w:pPr>
        <w:spacing w:after="0" w:line="360" w:lineRule="auto"/>
        <w:ind w:firstLine="709"/>
        <w:jc w:val="both"/>
        <w:rPr>
          <w:rFonts w:ascii="Times New Roman" w:hAnsi="Times New Roman"/>
          <w:sz w:val="28"/>
          <w:szCs w:val="28"/>
          <w:lang w:val="uk-UA"/>
        </w:rPr>
      </w:pPr>
      <w:r w:rsidRPr="00877BF2">
        <w:rPr>
          <w:rFonts w:ascii="Times New Roman" w:hAnsi="Times New Roman"/>
          <w:sz w:val="28"/>
          <w:szCs w:val="28"/>
          <w:lang w:val="uk-UA"/>
        </w:rPr>
        <w:t>Для остаточного висновку про інвестиційну привабливість підприємства та визначення його сильних і слабких сторін необхідний глибший аналіз всіх блоків (розділів) показників, використовуючи методи порівняння та обробки рядів динаміки (для кількісних показників) та експертних оцінок (для якісних показників) та ризику.</w:t>
      </w:r>
    </w:p>
    <w:p w:rsidR="000C3066" w:rsidRPr="00CB0434" w:rsidRDefault="000C3066" w:rsidP="000C3066">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3. Зазначено, що о</w:t>
      </w:r>
      <w:r w:rsidRPr="00CB0434">
        <w:rPr>
          <w:rFonts w:ascii="Times New Roman" w:hAnsi="Times New Roman"/>
          <w:sz w:val="28"/>
          <w:szCs w:val="28"/>
          <w:lang w:val="uk-UA"/>
        </w:rPr>
        <w:t>станнім часом набув поширення, зокрема під час аналізу бізнес-процесів, метод структурного системного аналізу. Для даного методу характерне використання певних способів подолання факторів складності, таких як:</w:t>
      </w:r>
      <w:r>
        <w:rPr>
          <w:rFonts w:ascii="Times New Roman" w:hAnsi="Times New Roman"/>
          <w:sz w:val="28"/>
          <w:szCs w:val="28"/>
          <w:lang w:val="uk-UA"/>
        </w:rPr>
        <w:t xml:space="preserve"> </w:t>
      </w:r>
      <w:r w:rsidRPr="00CB0434">
        <w:rPr>
          <w:rFonts w:ascii="Times New Roman" w:hAnsi="Times New Roman"/>
          <w:sz w:val="28"/>
          <w:szCs w:val="28"/>
          <w:lang w:val="uk-UA"/>
        </w:rPr>
        <w:t xml:space="preserve">ієрархічне подання інформації про проблему; обмеження числа елементів </w:t>
      </w:r>
      <w:r>
        <w:rPr>
          <w:rFonts w:ascii="Times New Roman" w:hAnsi="Times New Roman"/>
          <w:sz w:val="28"/>
          <w:szCs w:val="28"/>
          <w:lang w:val="uk-UA"/>
        </w:rPr>
        <w:t xml:space="preserve">на </w:t>
      </w:r>
      <w:r w:rsidRPr="00CB0434">
        <w:rPr>
          <w:rFonts w:ascii="Times New Roman" w:hAnsi="Times New Roman"/>
          <w:sz w:val="28"/>
          <w:szCs w:val="28"/>
          <w:lang w:val="uk-UA"/>
        </w:rPr>
        <w:t xml:space="preserve">кожному з рівнів; обмеження контексту, що включає лише суттєві </w:t>
      </w:r>
      <w:r>
        <w:rPr>
          <w:rFonts w:ascii="Times New Roman" w:hAnsi="Times New Roman"/>
          <w:sz w:val="28"/>
          <w:szCs w:val="28"/>
          <w:lang w:val="uk-UA"/>
        </w:rPr>
        <w:t xml:space="preserve">на </w:t>
      </w:r>
      <w:r w:rsidRPr="00CB0434">
        <w:rPr>
          <w:rFonts w:ascii="Times New Roman" w:hAnsi="Times New Roman"/>
          <w:sz w:val="28"/>
          <w:szCs w:val="28"/>
          <w:lang w:val="uk-UA"/>
        </w:rPr>
        <w:t xml:space="preserve">кожному рівні чинники; </w:t>
      </w:r>
      <w:r>
        <w:rPr>
          <w:rFonts w:ascii="Times New Roman" w:hAnsi="Times New Roman"/>
          <w:sz w:val="28"/>
          <w:szCs w:val="28"/>
          <w:lang w:val="uk-UA"/>
        </w:rPr>
        <w:t xml:space="preserve"> и</w:t>
      </w:r>
      <w:r w:rsidRPr="00CB0434">
        <w:rPr>
          <w:rFonts w:ascii="Times New Roman" w:hAnsi="Times New Roman"/>
          <w:sz w:val="28"/>
          <w:szCs w:val="28"/>
          <w:lang w:val="uk-UA"/>
        </w:rPr>
        <w:t>використання строгих (стандартизованих) формальних правил запису.</w:t>
      </w:r>
    </w:p>
    <w:p w:rsidR="000C3066" w:rsidRPr="003A407E" w:rsidRDefault="000C3066" w:rsidP="000C3066">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lastRenderedPageBreak/>
        <w:t xml:space="preserve">Привабливі інвестиційні </w:t>
      </w:r>
      <w:r w:rsidRPr="003A407E">
        <w:rPr>
          <w:rFonts w:ascii="Times New Roman" w:hAnsi="Times New Roman"/>
          <w:sz w:val="28"/>
          <w:szCs w:val="28"/>
          <w:lang w:val="uk-UA"/>
        </w:rPr>
        <w:t xml:space="preserve">рішення мають прийматися за умов, коли є низка альтернативних чи взаємно незалежних проєктів з </w:t>
      </w:r>
      <w:r w:rsidRPr="003A407E">
        <w:rPr>
          <w:rStyle w:val="docdata"/>
          <w:rFonts w:ascii="Times New Roman" w:eastAsia="Aptos" w:hAnsi="Times New Roman"/>
          <w:color w:val="000000"/>
          <w:kern w:val="2"/>
          <w:sz w:val="28"/>
          <w:szCs w:val="28"/>
          <w:lang w:val="uk-UA"/>
        </w:rPr>
        <w:t>інвестиційної привабливості</w:t>
      </w:r>
      <w:r w:rsidRPr="003A407E">
        <w:rPr>
          <w:rFonts w:ascii="Times New Roman" w:hAnsi="Times New Roman"/>
          <w:sz w:val="28"/>
          <w:szCs w:val="28"/>
          <w:lang w:val="uk-UA"/>
        </w:rPr>
        <w:t xml:space="preserve">, тобто виникає необхідність зробити вибір одного або кількох проєктів з </w:t>
      </w:r>
      <w:r w:rsidRPr="003A407E">
        <w:rPr>
          <w:rStyle w:val="docdata"/>
          <w:rFonts w:ascii="Times New Roman" w:eastAsia="Aptos" w:hAnsi="Times New Roman"/>
          <w:color w:val="000000"/>
          <w:kern w:val="2"/>
          <w:sz w:val="28"/>
          <w:szCs w:val="28"/>
          <w:lang w:val="uk-UA"/>
        </w:rPr>
        <w:t>інвестиційної привабливості</w:t>
      </w:r>
      <w:r w:rsidRPr="003A407E">
        <w:rPr>
          <w:rFonts w:ascii="Times New Roman" w:hAnsi="Times New Roman"/>
          <w:sz w:val="28"/>
          <w:szCs w:val="28"/>
          <w:lang w:val="uk-UA"/>
        </w:rPr>
        <w:t>, ґрунтуючись на якихось формалізованих критеріях. Очевидно, що таких критеріїв може бути декілька, а ймовірність того, що якийсь один проєкт буде кращим за інші за всіма критеріями, як правило, значно менше одиниці. У цьому випадку доводиться віддавати пріоритет якомусь одному критерію, встановлювати їхню ієрархію або використовувати додаткові неформалізовані методи оцінки.</w:t>
      </w:r>
    </w:p>
    <w:p w:rsidR="000C3066" w:rsidRPr="00CB0434" w:rsidRDefault="000C3066" w:rsidP="000C3066">
      <w:pPr>
        <w:spacing w:after="0" w:line="360" w:lineRule="auto"/>
        <w:ind w:firstLine="709"/>
        <w:jc w:val="both"/>
        <w:rPr>
          <w:rFonts w:ascii="Times New Roman" w:hAnsi="Times New Roman"/>
          <w:sz w:val="28"/>
          <w:szCs w:val="28"/>
          <w:lang w:val="uk-UA"/>
        </w:rPr>
      </w:pPr>
      <w:r w:rsidRPr="00CB0434">
        <w:rPr>
          <w:rFonts w:ascii="Times New Roman" w:hAnsi="Times New Roman"/>
          <w:sz w:val="28"/>
          <w:szCs w:val="28"/>
          <w:lang w:val="uk-UA"/>
        </w:rPr>
        <w:t>Дуже суттєвий фактор ризику. Інвестиційна діяльність, по-перше, завжди пов'язана з іммобілізацією фінансових ресурсів компанії і, по-друге, зазвичай здійснюється в умовах невизначеності, ступінь якої можна значно варіювати. Так, у момент придбання нових основних засобів ніколи не можна точно передбачити економічний ефект цієї операції. Тому нерідко рішення ухвалюються на інтуїтивній основі. Помилковий прогноз щодо доцільності придбання того чи іншого обсягу активів може спричинити неприємні наслідки двох типів: помилка в інвестуванні у бік заниження призведе до неотримання можливого у принципі доходу; зайве інвестування загрожує неповним завантаженням потужностей.</w:t>
      </w:r>
    </w:p>
    <w:p w:rsidR="000C3066" w:rsidRPr="00FC6511" w:rsidRDefault="000C3066" w:rsidP="000C3066">
      <w:pPr>
        <w:spacing w:after="0" w:line="360" w:lineRule="auto"/>
        <w:ind w:firstLine="709"/>
        <w:jc w:val="both"/>
        <w:rPr>
          <w:lang w:val="uk-UA"/>
        </w:rPr>
      </w:pPr>
      <w:r w:rsidRPr="00CB0434">
        <w:rPr>
          <w:rFonts w:ascii="Times New Roman" w:hAnsi="Times New Roman"/>
          <w:sz w:val="28"/>
          <w:szCs w:val="28"/>
          <w:lang w:val="uk-UA"/>
        </w:rPr>
        <w:t xml:space="preserve">Прийняття рішень інвестиційного характеру, як і будь-який інший вид управлінської діяльності, ґрунтується на використанні різних формалізованих та неформалізованих методів та критеріїв. Ступінь їх поєднання визначається різними обставинами, зокрема й тим із них, наскільки менеджер знайомий із наявним апаратом, </w:t>
      </w:r>
      <w:r>
        <w:rPr>
          <w:rFonts w:ascii="Times New Roman" w:hAnsi="Times New Roman"/>
          <w:sz w:val="28"/>
          <w:szCs w:val="28"/>
          <w:lang w:val="uk-UA"/>
        </w:rPr>
        <w:t xml:space="preserve">що </w:t>
      </w:r>
      <w:r w:rsidRPr="00CB0434">
        <w:rPr>
          <w:rFonts w:ascii="Times New Roman" w:hAnsi="Times New Roman"/>
          <w:sz w:val="28"/>
          <w:szCs w:val="28"/>
          <w:lang w:val="uk-UA"/>
        </w:rPr>
        <w:t>застосов</w:t>
      </w:r>
      <w:r>
        <w:rPr>
          <w:rFonts w:ascii="Times New Roman" w:hAnsi="Times New Roman"/>
          <w:sz w:val="28"/>
          <w:szCs w:val="28"/>
          <w:lang w:val="uk-UA"/>
        </w:rPr>
        <w:t xml:space="preserve">ується </w:t>
      </w:r>
      <w:r w:rsidRPr="00CB0434">
        <w:rPr>
          <w:rFonts w:ascii="Times New Roman" w:hAnsi="Times New Roman"/>
          <w:sz w:val="28"/>
          <w:szCs w:val="28"/>
          <w:lang w:val="uk-UA"/>
        </w:rPr>
        <w:t xml:space="preserve">у тому чи іншому конкретному випадку. У вітчизняній та зарубіжній практиці відомий ряд формалізованих методів, розрахунки за допомогою яких можуть бути основою для прийняття рішень у галузі інвестиційної політики. Якогось універсального методу, придатного </w:t>
      </w:r>
      <w:r>
        <w:rPr>
          <w:rFonts w:ascii="Times New Roman" w:hAnsi="Times New Roman"/>
          <w:sz w:val="28"/>
          <w:szCs w:val="28"/>
          <w:lang w:val="uk-UA"/>
        </w:rPr>
        <w:t xml:space="preserve">для </w:t>
      </w:r>
      <w:r w:rsidRPr="00CB0434">
        <w:rPr>
          <w:rFonts w:ascii="Times New Roman" w:hAnsi="Times New Roman"/>
          <w:sz w:val="28"/>
          <w:szCs w:val="28"/>
          <w:lang w:val="uk-UA"/>
        </w:rPr>
        <w:t>всі</w:t>
      </w:r>
      <w:r>
        <w:rPr>
          <w:rFonts w:ascii="Times New Roman" w:hAnsi="Times New Roman"/>
          <w:sz w:val="28"/>
          <w:szCs w:val="28"/>
          <w:lang w:val="uk-UA"/>
        </w:rPr>
        <w:t>х</w:t>
      </w:r>
      <w:r w:rsidRPr="00CB0434">
        <w:rPr>
          <w:rFonts w:ascii="Times New Roman" w:hAnsi="Times New Roman"/>
          <w:sz w:val="28"/>
          <w:szCs w:val="28"/>
          <w:lang w:val="uk-UA"/>
        </w:rPr>
        <w:t xml:space="preserve"> випадків життя, немає.</w:t>
      </w:r>
    </w:p>
    <w:p w:rsidR="00336F0C" w:rsidRDefault="001118E4" w:rsidP="00336F0C">
      <w:pPr>
        <w:spacing w:after="0" w:line="360" w:lineRule="auto"/>
        <w:ind w:firstLine="709"/>
        <w:jc w:val="both"/>
        <w:rPr>
          <w:rFonts w:ascii="Times New Roman" w:hAnsi="Times New Roman"/>
          <w:b/>
          <w:sz w:val="28"/>
          <w:szCs w:val="28"/>
          <w:lang w:val="uk-UA"/>
        </w:rPr>
      </w:pPr>
      <w:r>
        <w:rPr>
          <w:rFonts w:ascii="Times New Roman" w:hAnsi="Times New Roman"/>
          <w:b/>
          <w:sz w:val="28"/>
          <w:szCs w:val="28"/>
          <w:lang w:val="uk-UA"/>
        </w:rPr>
        <w:br w:type="page"/>
      </w:r>
      <w:bookmarkStart w:id="2" w:name="_Hlk228390878"/>
      <w:bookmarkEnd w:id="2"/>
    </w:p>
    <w:p w:rsidR="00336F0C" w:rsidRPr="0055571B" w:rsidRDefault="00B37265" w:rsidP="00336F0C">
      <w:pPr>
        <w:spacing w:after="0" w:line="360" w:lineRule="auto"/>
        <w:ind w:firstLine="709"/>
        <w:jc w:val="center"/>
        <w:rPr>
          <w:rFonts w:ascii="Times New Roman" w:hAnsi="Times New Roman"/>
          <w:b/>
          <w:sz w:val="28"/>
          <w:szCs w:val="28"/>
          <w:lang w:val="uk-UA"/>
        </w:rPr>
      </w:pPr>
      <w:r w:rsidRPr="0055571B">
        <w:rPr>
          <w:rFonts w:ascii="Times New Roman" w:hAnsi="Times New Roman"/>
          <w:b/>
          <w:sz w:val="28"/>
          <w:szCs w:val="28"/>
          <w:lang w:val="uk-UA"/>
        </w:rPr>
        <w:lastRenderedPageBreak/>
        <w:t>РОЗДІЛ 2</w:t>
      </w:r>
    </w:p>
    <w:p w:rsidR="00B37265" w:rsidRPr="00336F0C" w:rsidRDefault="00B37265" w:rsidP="00336F0C">
      <w:pPr>
        <w:spacing w:after="0" w:line="360" w:lineRule="auto"/>
        <w:ind w:firstLine="709"/>
        <w:jc w:val="center"/>
        <w:rPr>
          <w:rFonts w:ascii="Times New Roman" w:hAnsi="Times New Roman"/>
          <w:b/>
          <w:sz w:val="28"/>
          <w:szCs w:val="28"/>
          <w:lang w:val="uk-UA"/>
        </w:rPr>
      </w:pPr>
      <w:r w:rsidRPr="00336F0C">
        <w:rPr>
          <w:rFonts w:ascii="Times New Roman" w:hAnsi="Times New Roman"/>
          <w:b/>
          <w:sz w:val="28"/>
          <w:szCs w:val="28"/>
          <w:lang w:val="uk-UA"/>
        </w:rPr>
        <w:t>АНАЛІТИЧНЕ ОЦІНЮВАННЯ ТА ДІАГНОСТИКА ІНВЕСТИЦІЙНОЇ ПРИВАБЛИВОСТІ СІЛЬСЬКОГОСПОДАРСЬКИХ ПІДПРИЄМСТВ</w:t>
      </w:r>
    </w:p>
    <w:p w:rsidR="00B37265" w:rsidRPr="00400BAB" w:rsidRDefault="00B37265" w:rsidP="00400BAB">
      <w:pPr>
        <w:spacing w:after="0" w:line="360" w:lineRule="auto"/>
        <w:jc w:val="center"/>
        <w:rPr>
          <w:rFonts w:ascii="Times New Roman" w:hAnsi="Times New Roman"/>
          <w:b/>
          <w:bCs/>
          <w:sz w:val="28"/>
          <w:szCs w:val="28"/>
          <w:lang w:val="uk-UA"/>
        </w:rPr>
      </w:pPr>
    </w:p>
    <w:p w:rsidR="00B37265" w:rsidRPr="00400BAB" w:rsidRDefault="00B37265" w:rsidP="00400BAB">
      <w:pPr>
        <w:spacing w:after="0" w:line="360" w:lineRule="auto"/>
        <w:jc w:val="both"/>
        <w:rPr>
          <w:rFonts w:ascii="Times New Roman" w:hAnsi="Times New Roman"/>
          <w:b/>
          <w:bCs/>
          <w:sz w:val="28"/>
          <w:szCs w:val="28"/>
          <w:lang w:val="uk-UA"/>
        </w:rPr>
      </w:pPr>
      <w:r w:rsidRPr="00400BAB">
        <w:rPr>
          <w:rFonts w:ascii="Times New Roman" w:hAnsi="Times New Roman"/>
          <w:b/>
          <w:bCs/>
          <w:sz w:val="28"/>
          <w:szCs w:val="28"/>
          <w:lang w:val="uk-UA"/>
        </w:rPr>
        <w:t xml:space="preserve">2.1. </w:t>
      </w:r>
      <w:bookmarkStart w:id="3" w:name="OLE_LINK1"/>
      <w:r w:rsidRPr="00400BAB">
        <w:rPr>
          <w:rFonts w:ascii="Times New Roman" w:hAnsi="Times New Roman"/>
          <w:b/>
          <w:bCs/>
          <w:sz w:val="28"/>
          <w:szCs w:val="28"/>
          <w:lang w:val="uk-UA"/>
        </w:rPr>
        <w:t>Тенденції розвитку аграрного сектору та інвестиційного середовища України</w:t>
      </w:r>
    </w:p>
    <w:bookmarkEnd w:id="3"/>
    <w:p w:rsidR="00B37265" w:rsidRPr="00400BAB" w:rsidRDefault="00B37265" w:rsidP="00400BAB">
      <w:pPr>
        <w:spacing w:after="0" w:line="360" w:lineRule="auto"/>
        <w:jc w:val="both"/>
        <w:rPr>
          <w:rFonts w:ascii="Times New Roman" w:hAnsi="Times New Roman"/>
          <w:sz w:val="28"/>
          <w:szCs w:val="28"/>
          <w:lang w:val="uk-UA"/>
        </w:rPr>
      </w:pP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Сучасний стан ринкової економіки України перебуває в трансформації та постійно змінює траєкторію свого розвитку під впливом факторів зовнішнього середовища, розвитку внутрішнього зміцнення та за рахунок мінливості попиту ринку. Відповідно, важливим етапом подальшого наукового дослідження є комплексний аналіз сучасного стану та динаміки трансформаційних процесів в аграрному секторі економіки України за період 2021 – 2025 рр. Представлений період за часовим інтервалом є визначальним для українських сільськогосподарських підприємств, тому що охоплює період обмежень під час пандемії, початок повномасштабного вторгнення на території держави, етапи посилення та військової агресії та періоди адаптації підприємств, включаючи їх релокацію та переміщення і більш безпечні місця. Метою даного етапу дослідження є визначення факторів, які впливають на формування інвестиційної привабливості аграрних підприємств, які перебувають в складних макроекономічних умовах дестабілізаційного характеру</w:t>
      </w:r>
      <w:r w:rsidR="004009DE">
        <w:rPr>
          <w:rFonts w:ascii="Times New Roman" w:hAnsi="Times New Roman"/>
          <w:color w:val="000000"/>
          <w:sz w:val="28"/>
          <w:szCs w:val="28"/>
          <w:lang w:val="uk-UA"/>
        </w:rPr>
        <w:t xml:space="preserve"> </w:t>
      </w:r>
      <w:r w:rsidR="004009DE">
        <w:rPr>
          <w:rFonts w:ascii="Times New Roman" w:eastAsia="Times New Roman" w:hAnsi="Times New Roman"/>
          <w:color w:val="000000"/>
          <w:sz w:val="28"/>
          <w:szCs w:val="28"/>
          <w:lang w:val="uk-UA"/>
        </w:rPr>
        <w:t>[114, 142, 153]</w:t>
      </w:r>
      <w:r w:rsidR="000252F2" w:rsidRPr="000252F2">
        <w:rPr>
          <w:rFonts w:ascii="Times New Roman" w:hAnsi="Times New Roman"/>
          <w:color w:val="000000"/>
          <w:sz w:val="28"/>
          <w:szCs w:val="28"/>
          <w:lang w:val="uk-UA"/>
        </w:rPr>
        <w:t>.</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Первісно варто проаналізувати загальний стан економіки країни за 2021 – 2025 рр., що базується на усталених показниках ВВП та структури капіталу всіх суб’єктів господарювання (рис. А.1 (додаток А)). Саме формування внутрішнього валового продукту є показником, що охоплює основні показники економічного середовища та впливає на створення продукту</w:t>
      </w:r>
      <w:r w:rsidR="00400BAB">
        <w:rPr>
          <w:rFonts w:ascii="Times New Roman" w:hAnsi="Times New Roman"/>
          <w:sz w:val="28"/>
          <w:szCs w:val="28"/>
          <w:lang w:val="uk-UA"/>
        </w:rPr>
        <w:t>.</w:t>
      </w:r>
      <w:r w:rsidRPr="00400BAB">
        <w:rPr>
          <w:rFonts w:ascii="Times New Roman" w:hAnsi="Times New Roman"/>
          <w:sz w:val="28"/>
          <w:szCs w:val="28"/>
          <w:lang w:val="uk-UA"/>
        </w:rPr>
        <w:t xml:space="preserve"> </w:t>
      </w:r>
    </w:p>
    <w:p w:rsidR="00435FDC" w:rsidRDefault="00EB5B4E">
      <w:r>
        <w:rPr>
          <w:rFonts w:ascii="Times New Roman" w:eastAsia="Times New Roman" w:hAnsi="Times New Roman"/>
          <w:sz w:val="28"/>
        </w:rPr>
        <w:t>Структуру ВВП України подано в додатку А (рис. А.1).</w:t>
      </w:r>
    </w:p>
    <w:p w:rsidR="00B37265" w:rsidRPr="00400BAB" w:rsidRDefault="00B37265" w:rsidP="000252F2">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lastRenderedPageBreak/>
        <w:t xml:space="preserve">Історично, Україна вважалась аграрною країною, в якій велику частку виробничих процесів займало вирощування різних складових сільськогосподарської продукції. Саме тому відстеження динаміки змін за останні роки є досить релевантним показником, що вказує на розвиток економіки країни в цілому. В даному аспекті варто звернути увагу, що сільське господарство, як частина загального формування показника ВВП України, є досить капіталоємним видом діяльності та за своїм спрямовуванням експортно орієнтована. Відповідно, будь які навіть не суттєві зміни мають велику ступінь впливу на дану галузь за рахунок її чутливості до таких складових як коливання курсу валют, інфляційні тиски, фіскальна політика (зміна облікової ставка центральним банком) та податкове навантаження. За період дослідження, як підтверджено в результаті аналізу на рис. А.1 (додаток А), макроекономічне середовище досить мінливе, що призводить до трансформації усталених інвестиційних циклів та вимагає відповідної зміни стратегічного планування для сільськогосподарських підприємств. </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Представлений аналіз структури ВВП України за 2021 – 2025 рр. в межах нашого дослідження проаналізовано з метою визначення динаміки змін сільськогосподарських підприємств. Так, в 2021 р. для вказаного напряму діяльності обсяг склад 540 862 млн грн., що формує уявлення про стабільний розвиток в період після пандемічного періоду. Наступні роки дослідження вказують на стрімке зниження до 91 714 млн грн (тобто падіння на 83,04% відносно 2021 року (91 714 / 540 862 × 100% = 16,96% від початкового рівня)), що вказує на миттєву реакцію повномасштабного вторгнення. Відповідно, змістились загальні структурні формування даної галузі в зв’язку з активними військовими діями, порушення логістичних маршрутів та повною втратою частини активів аграрними підприємствами. В подальші роки (2023 – 2025) спостерігається адаптація до зовнішніх викликів та екзогенних ризиків макросередовища. Сільське господарство адаптується та поступово відновлюється. На це вказують отримані результати обрахунків </w:t>
      </w:r>
      <w:r w:rsidRPr="00400BAB">
        <w:rPr>
          <w:rFonts w:ascii="Times New Roman" w:hAnsi="Times New Roman"/>
          <w:sz w:val="28"/>
          <w:szCs w:val="28"/>
          <w:lang w:val="uk-UA"/>
        </w:rPr>
        <w:lastRenderedPageBreak/>
        <w:t xml:space="preserve">– спостерігається поступове зростання обсягів в ВВП країни аграрного сектору до рівня 500 540 млн грн в 2023 р., що становить збільшення на 11,44 %. Вказана тенденція до покращення спостерігається і до кінця 2025 р., отримані результати вказують на збільшення показників до 582 700 млн грн.(приріст на 7,0% в 2025 р. по відношенню до даних 2024 р.). </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В загальному підсумку варто звернути увагу, що сільське господарство швидко адаптувалось до викликів геополітичного впливу, а отримані результати аналізу структури ВВП за 2021 – 2025 рр. підтверджує гіпотезу щодо стабільного зростання результатів. Позитивна динаміка з досліджувані роки засвідчує високу еластичність аграрного сектору економіки, що можете бути ознакою дієвого впровадження інвестиційних проєктів (як за підтримки вітчизняних інвесторів, так і іноземних). Але варто звернути увагу, що представлений аналіз наочно демонструє що темпи приросту різних галузей різняться між собою. Так, сільське господарство має наявні ознаки сталого росту, але воно не перевищує інші сфери діяльності. Так, наприклад, в результаті аналізу більш вагомі значення збільшення вкладу в ВВП країни має сектор інформаційних технологій (збільшення показників на 49,6% за досліджуваний період). Відповідно, з метою отримання більших показників варто більш детально проаналізувати структуру за горизонтальними та вертикальними складовими аграрного сектору економіки.</w:t>
      </w:r>
    </w:p>
    <w:p w:rsidR="00420030" w:rsidRDefault="00B37265" w:rsidP="00420030">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подальшому було здійснено аналіз узагальнених показників виробництва продукції сільського господарства за період 2021 – 2025 рр. Даний аналіз спрямований на оцінку стійкості даного сектору економіки та отримання фактів, що підтверджують наявність або відсутність розвитку економічного механізму в галузі (табл. Б.1 (додаток Б)). </w:t>
      </w:r>
    </w:p>
    <w:p w:rsidR="00420030" w:rsidRPr="00400BAB" w:rsidRDefault="00420030"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Наразі наявні трансформаційні процеси в аграрному секторі відбуваються під впливом вже усталених природних явищ (таких як клімат, посуха, сезонність) та і геополітичних. </w:t>
      </w:r>
    </w:p>
    <w:p w:rsidR="00435FDC" w:rsidRDefault="00EB5B4E">
      <w:r>
        <w:rPr>
          <w:rFonts w:ascii="Times New Roman" w:eastAsia="Times New Roman" w:hAnsi="Times New Roman"/>
          <w:sz w:val="28"/>
        </w:rPr>
        <w:t>Деталізовану динаміку виробництва сільськогосподарської продукції наведено в додатку Б (табл. Б.1).</w:t>
      </w:r>
    </w:p>
    <w:p w:rsidR="00B37265" w:rsidRPr="00872207" w:rsidRDefault="00B37265" w:rsidP="00400BAB">
      <w:pPr>
        <w:spacing w:line="360" w:lineRule="auto"/>
        <w:jc w:val="both"/>
        <w:rPr>
          <w:rFonts w:ascii="Times New Roman" w:hAnsi="Times New Roman"/>
          <w:sz w:val="28"/>
          <w:szCs w:val="28"/>
        </w:rPr>
      </w:pP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eastAsia="Times New Roman" w:hAnsi="Times New Roman"/>
          <w:sz w:val="28"/>
          <w:szCs w:val="28"/>
          <w:lang w:val="uk-UA"/>
        </w:rPr>
        <w:t>Представлені результати виробництва сільськогосподарської продукції України за період дослідження має прояви до не стабільних показників, що підтверджує і попередньо отримані результати в загальній структурі ВВП України. Отримані результати мають складний, не повторювальний характер прояву, що зумовлено поєднанням багатьох факторів як зовнішнього, так і внутрішнього прояву впливу. Так, в 2021 році сільське господарство функціонувало у відносно стабільних умовах, показуючи достатньо вагомі результати, які підкріплено високими показниками в валовому внутрішньому продукті та поступовим зростанням індексу виробництва сільськогосподарської продукції. Вже з 2022 року спостерігається зміна всіх показників виробництва перш за все в зв’язку з повномасштабним вторгненням на територію країни. В результаті аналізу поданих даних (табл. Б.1 (додаток Б)) спостерігається скорочення валової продукції на 82,2% від попередніх даних. Такі негативні тенденції спровоковані перш за все втратою значної частини посівних площ, руйнуванням активів аграрних підприємств, порушенням логістичних маршрутів, мінуванням територій та високим ступенем обмеженості до основних ресурсів для підприємств. В результаті суттєво знизились показники врожайності головних посівних культур – зернових та олійних, а також простежується значне зменшення тваринництва [174].</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подальшому в період 2023 – 2024 рр. сільськогосподарське виробництво поновлюється від негативних впливів зовнішнього середовища та внутрішнього руйнування. Показники виробництва поступово покращуються та досягають значень докризового періоду. Первісний показник, що вказує на це, є індекс виробництва, який досягнув значення в 2024 р в 105%. Тобто адаптивність та гнучкість аграрних підприємств, продемонстрована в період активних військових дій спонукала компанії переорієнтувати своє виробництво та канали збуту за рахунок нових логічних </w:t>
      </w:r>
      <w:r w:rsidRPr="00400BAB">
        <w:rPr>
          <w:rFonts w:ascii="Times New Roman" w:hAnsi="Times New Roman"/>
          <w:sz w:val="28"/>
          <w:szCs w:val="28"/>
          <w:lang w:val="uk-UA"/>
        </w:rPr>
        <w:lastRenderedPageBreak/>
        <w:t xml:space="preserve">(безпечних) маршрутів. Але варто відзначити, що при більш детальному аналізі спостерігається нерівномірне покращення показників виробництва сільськогосподарської продукції. Приріст рослинництва є більшим за тваринництво, відповідно динаміка його зміни покращується більш значними темпами. Для аргументації та формування причинно – наслідкових дій варто звернути увагу, що тваринництво є більш витратним напрямом сільського господарства в звʼязку з більшими витратами на основні засоби та супутні матеріали, а ніж рослинництво. Тобто релокація фермерства може бути здійснена швидше та дешевше. Відповідно, в подальшому аналізу за наступний рік відчувається значний дисонанс між результатами в структурі наповнення сільськогосподарської продукції. Тобто на кінець 2025 р. частка рослинництва в загальному обсязі виробництва сільськогосподарської продукції складала 73%. </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межах нашого дослідження варто звернути увагу на притаманні причинно – наслідкові зв’язки між об’єктом дослідження та поданим аналізом. Адже інвестиційна привабливість і активність є прямим наслідком покращення рівня виробничих процесів для будь якого підприємства, а відповідно і збільшення кількості виробленої продукції (послуг). Як було досліджено і представлено нами в розділі 1 даної роботи велике значення мають інвестиції при реалізації проєктів у сільське господарство, що є основною нормального функціонування всього сектору економіки країни. Відповідно, стрімке скорочення вкладень у вигляді капітальних інвестицій з 2022 р. є головним чинником зниження виробництва в даному секторі економіки, що підтверджено представленими обрахунками. А подальші обрахунки та результати відновлення галузі в 2023 – 2025 рр. підкріплені поступовими вливаннями інвестицій (як державних, так і іноземних), що спонукало до збільшення частки експорту продукції сільського господарства. В результаті, можна підсувати, що проведений аналіз динаміки змін виробництва сільськогосподарської продукції за період 2021 – 2025 рр. вказує на пряму залежність між впливом зовнішніх факторів невизначеності </w:t>
      </w:r>
      <w:r w:rsidRPr="00400BAB">
        <w:rPr>
          <w:rFonts w:ascii="Times New Roman" w:eastAsia="Times New Roman" w:hAnsi="Times New Roman"/>
          <w:sz w:val="28"/>
          <w:szCs w:val="28"/>
          <w:lang w:val="uk-UA"/>
        </w:rPr>
        <w:lastRenderedPageBreak/>
        <w:t>та інвестиційною активністю в межах структурних змін аграрного сектору. Поступове відновлення основних показників виробничої ланки вказує на гнучку адаптивність галузі, але більш детально можна буде зробити висновки, спираючись на аналіз наявності цілісного економічного механізму, який підтримує інвестиційну привабливість підприємств [95].</w:t>
      </w:r>
    </w:p>
    <w:p w:rsidR="00B37265" w:rsidRPr="00400BAB" w:rsidRDefault="00B37265" w:rsidP="00400BA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подальшому дослідження було спрямовано на визначення рівня експорту сільськогосподарських підприємств, адже саме цей напрям діяльності є вагомим елементом створення інвестиційної привабливості підприємств, що впливає на формування фінансових показників, результативності, ліквідності та платоспроможності агарних компаній. В межах нашого дослідження було здійснено аналіз експорту основних видів сільськогосподарської продукції за 2021 – 2025 рр. (рис. 2.1). </w:t>
      </w:r>
    </w:p>
    <w:p w:rsidR="00420030" w:rsidRDefault="00B37265" w:rsidP="00420030">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rPr>
        <w:drawing>
          <wp:inline distT="0" distB="0" distL="0" distR="0" wp14:anchorId="3677B08B" wp14:editId="28BC8948">
            <wp:extent cx="5826760" cy="3622876"/>
            <wp:effectExtent l="0" t="0" r="15240" b="9525"/>
            <wp:docPr id="632306182"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37265" w:rsidRPr="00420030" w:rsidRDefault="00B37265" w:rsidP="00420030">
      <w:pPr>
        <w:spacing w:after="0" w:line="360" w:lineRule="auto"/>
        <w:ind w:firstLine="709"/>
        <w:jc w:val="both"/>
        <w:rPr>
          <w:rFonts w:ascii="Times New Roman" w:hAnsi="Times New Roman"/>
          <w:sz w:val="28"/>
          <w:szCs w:val="28"/>
          <w:lang w:val="uk-UA"/>
        </w:rPr>
      </w:pPr>
      <w:r w:rsidRPr="00400BAB">
        <w:rPr>
          <w:rFonts w:ascii="Times New Roman" w:hAnsi="Times New Roman"/>
          <w:b/>
          <w:bCs/>
          <w:color w:val="000000"/>
          <w:sz w:val="28"/>
          <w:szCs w:val="28"/>
          <w:lang w:val="uk-UA"/>
        </w:rPr>
        <w:t>Рис. 2.1 Динаміка експорту сільськогосподарської продукції України за основними товарними групами за період 2021 – 2025 рр., млн.</w:t>
      </w:r>
      <w:r w:rsidRPr="00400BAB">
        <w:rPr>
          <w:rFonts w:ascii="Times New Roman" w:hAnsi="Times New Roman"/>
          <w:b/>
          <w:bCs/>
          <w:color w:val="000000"/>
          <w:sz w:val="28"/>
          <w:szCs w:val="28"/>
        </w:rPr>
        <w:t>$</w:t>
      </w:r>
    </w:p>
    <w:p w:rsidR="00B37265" w:rsidRDefault="00B37265" w:rsidP="00872207">
      <w:pPr>
        <w:spacing w:after="0" w:line="360" w:lineRule="auto"/>
        <w:ind w:firstLine="709"/>
        <w:jc w:val="both"/>
        <w:rPr>
          <w:rFonts w:ascii="Times New Roman" w:hAnsi="Times New Roman"/>
          <w:i/>
          <w:iCs/>
          <w:color w:val="000000"/>
        </w:rPr>
      </w:pPr>
      <w:r w:rsidRPr="00400BAB">
        <w:rPr>
          <w:rFonts w:ascii="Times New Roman" w:hAnsi="Times New Roman"/>
          <w:i/>
          <w:iCs/>
          <w:color w:val="000000"/>
          <w:lang w:val="uk-UA"/>
        </w:rPr>
        <w:t xml:space="preserve">Джерело: обраховано автором за </w:t>
      </w:r>
      <w:r w:rsidRPr="00872207">
        <w:rPr>
          <w:rFonts w:ascii="Times New Roman" w:hAnsi="Times New Roman"/>
          <w:i/>
          <w:iCs/>
          <w:color w:val="000000"/>
          <w:lang w:val="uk-UA"/>
        </w:rPr>
        <w:t>даними Держстат України</w:t>
      </w:r>
      <w:r w:rsidR="00872207" w:rsidRPr="00872207">
        <w:rPr>
          <w:rFonts w:ascii="Times New Roman" w:hAnsi="Times New Roman"/>
          <w:i/>
          <w:iCs/>
          <w:color w:val="000000"/>
        </w:rPr>
        <w:t xml:space="preserve"> </w:t>
      </w:r>
      <w:r w:rsidR="00872207" w:rsidRPr="00420030">
        <w:rPr>
          <w:rFonts w:ascii="Times New Roman" w:eastAsia="Times New Roman" w:hAnsi="Times New Roman"/>
          <w:i/>
          <w:iCs/>
          <w:color w:val="000000"/>
          <w:sz w:val="28"/>
          <w:szCs w:val="24"/>
        </w:rPr>
        <w:t>[110]</w:t>
      </w:r>
    </w:p>
    <w:p w:rsidR="00420030" w:rsidRPr="00872207" w:rsidRDefault="00420030" w:rsidP="00872207">
      <w:pPr>
        <w:spacing w:after="0" w:line="360" w:lineRule="auto"/>
        <w:ind w:firstLine="709"/>
        <w:jc w:val="both"/>
        <w:rPr>
          <w:rFonts w:ascii="Times New Roman" w:hAnsi="Times New Roman"/>
        </w:rPr>
      </w:pP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lastRenderedPageBreak/>
        <w:t xml:space="preserve">Отримані результати структурного аналізу складових експортної продукції за основними товарними групами сільськогосподарської продукції за 2021 – 2025 рр. вказує на змінність та неоднорідність значень. Як вже вказувалось раніше, початок аналізу вказує на достатній показник і сукупний експорт складає близько 21,66 млрд </w:t>
      </w:r>
      <w:r w:rsidRPr="00400BAB">
        <w:rPr>
          <w:rFonts w:ascii="Times New Roman" w:hAnsi="Times New Roman"/>
          <w:color w:val="000000"/>
          <w:sz w:val="28"/>
          <w:szCs w:val="28"/>
        </w:rPr>
        <w:t>$</w:t>
      </w:r>
      <w:r w:rsidRPr="00400BAB">
        <w:rPr>
          <w:rFonts w:ascii="Times New Roman" w:eastAsia="Times New Roman" w:hAnsi="Times New Roman"/>
          <w:color w:val="000000"/>
          <w:sz w:val="28"/>
          <w:szCs w:val="28"/>
          <w:lang w:val="uk-UA"/>
        </w:rPr>
        <w:t xml:space="preserve">. Такий показник є доволі вагомим значенням і вказує на стабільну присутність українських аграрних компаній закордоном. В подальшому в 2022 році спостерігається тенденція до підтримки отриманих за попередній рік результатів. Хоча повномасштабне вторгнення і стало причиною суттєвого зменшення посівних площ, але виторг експорту залишився на висковому рівні за рахунок продажу продукції, що була зібрана за попередній рік. Надалі тенденція до експорту була зменшена і наступні роки характеризуються лише поступовим відновленням до довоєнних значень. Важливо відмітити, що отримані результати засвідчують поступове збільшення показників в складовій тваринництва та готових харчових продуктів. Спостерігається поступова динаміка збільшення показників експорту продукції тваринного походження до значення в 1 643,5 млн $ в 2024 р. Це може вказувати, що відбувається інвестування не лише в первісну ланку сільськогосподарського виробництва, а і в наступні складові виробничого процесу, що привносить більшої доданої вартості до сировини [179]. </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В результаті аналізу експорту за основними товарними групами сільськогосподарської продукції варто відмітити, що у відносному перерахунку за досліджуваний період спостерігається не значне покращення результатів в розмірі 107,49%. Тобто цикл виробництва в аграрному секторі покращується та адаптується під зміни перш за все зовнішніх факторів впливу. Найбільш вагомими значеннями є результати на кінець 2025 р., які засвідчують стрімке переулаштування основних бізнес – процесів сільськогосподарських підприємств та формують прибуток в розмірі 26,35 млрд $, що становить приріст на 21,6% в порівнянні з 2021 р. Наразі це вдається досягнути за рахунок налагодження морської логістики та </w:t>
      </w:r>
      <w:r w:rsidRPr="00400BAB">
        <w:rPr>
          <w:rFonts w:ascii="Times New Roman" w:hAnsi="Times New Roman"/>
          <w:color w:val="000000"/>
          <w:sz w:val="28"/>
          <w:szCs w:val="28"/>
          <w:lang w:val="uk-UA"/>
        </w:rPr>
        <w:lastRenderedPageBreak/>
        <w:t>розширення ринків збуту в країнах ЄС, є вагомим фактором успішного розвитку для аграрного сектору економіки.</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З огляду на представлене варто звернути увагу на країни, до яких експортується найбільше продукції аграрного спрямування різних рівнів виробництва. Так в рамках подальшого наукового та аналітичного пошуку було здійснено аналіз за досліджуваний період вибірки найбільш експортованої сільськогосподарської продукції за 2021  - 2025 рр. (табл. Ф.1 (додаток Ф)).</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Представлені результати аналізу географічного розподілу експорту сільськогосподарської продукції засвідчують високий рівень диверсифікації, що можна вважати вагомим аспектом та дієвим інструментом щодо формування економічної стійкості аграрних підприємств (рис. 2.2). </w:t>
      </w:r>
    </w:p>
    <w:p w:rsidR="00B37265" w:rsidRPr="00420030"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noProof/>
          <w:lang w:val="uk-UA" w:eastAsia="uk-UA"/>
        </w:rPr>
        <w:drawing>
          <wp:inline distT="0" distB="0" distL="0" distR="0" wp14:anchorId="63EB5F41" wp14:editId="57B2211F">
            <wp:extent cx="5731510" cy="4243070"/>
            <wp:effectExtent l="0" t="0" r="8890" b="11430"/>
            <wp:docPr id="2083172135"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D9DBCD5C-B66F-BC84-A704-57C5831059B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83172135" name="Диаграмма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D9DBCD5C-B66F-BC84-A704-57C5831059B4}"/>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5731510" cy="4243070"/>
                    </a:xfrm>
                    <a:prstGeom prst="rect">
                      <a:avLst/>
                    </a:prstGeom>
                  </pic:spPr>
                </pic:pic>
              </a:graphicData>
            </a:graphic>
          </wp:inline>
        </w:drawing>
      </w:r>
      <w:r w:rsidRPr="00400BAB">
        <w:rPr>
          <w:rFonts w:ascii="Times New Roman" w:hAnsi="Times New Roman"/>
          <w:b/>
          <w:bCs/>
          <w:color w:val="000000"/>
          <w:sz w:val="28"/>
          <w:szCs w:val="28"/>
          <w:lang w:val="uk-UA"/>
        </w:rPr>
        <w:t xml:space="preserve">Рис. 2.2 </w:t>
      </w:r>
      <w:r w:rsidRPr="00400BAB">
        <w:rPr>
          <w:rFonts w:ascii="Times New Roman" w:hAnsi="Times New Roman"/>
          <w:b/>
          <w:bCs/>
          <w:color w:val="000000"/>
          <w:sz w:val="28"/>
          <w:szCs w:val="28"/>
        </w:rPr>
        <w:t>Географічна детермінація експортних потоків сільськогосподарської продукції України за показниками 2025 р.</w:t>
      </w:r>
    </w:p>
    <w:p w:rsidR="00D912C4" w:rsidRPr="00872207" w:rsidRDefault="00B37265" w:rsidP="00D912C4">
      <w:pPr>
        <w:spacing w:after="0" w:line="360" w:lineRule="auto"/>
        <w:ind w:firstLine="709"/>
        <w:jc w:val="both"/>
        <w:rPr>
          <w:rFonts w:ascii="Times New Roman" w:hAnsi="Times New Roman"/>
        </w:rPr>
      </w:pPr>
      <w:r w:rsidRPr="00400BAB">
        <w:rPr>
          <w:rFonts w:ascii="Times New Roman" w:hAnsi="Times New Roman"/>
          <w:i/>
          <w:iCs/>
          <w:color w:val="000000"/>
          <w:lang w:val="uk-UA"/>
        </w:rPr>
        <w:t xml:space="preserve">Джерело: обраховано автором за даними </w:t>
      </w:r>
      <w:r w:rsidR="00D912C4" w:rsidRPr="00872207">
        <w:rPr>
          <w:rFonts w:ascii="Times New Roman" w:hAnsi="Times New Roman"/>
          <w:i/>
          <w:iCs/>
          <w:color w:val="000000"/>
          <w:lang w:val="uk-UA"/>
        </w:rPr>
        <w:t>Держстат України</w:t>
      </w:r>
      <w:r w:rsidR="00D912C4" w:rsidRPr="00872207">
        <w:rPr>
          <w:rFonts w:ascii="Times New Roman" w:hAnsi="Times New Roman"/>
          <w:i/>
          <w:iCs/>
          <w:color w:val="000000"/>
        </w:rPr>
        <w:t xml:space="preserve"> </w:t>
      </w:r>
      <w:r w:rsidR="00D912C4" w:rsidRPr="00872207">
        <w:rPr>
          <w:rFonts w:ascii="Times New Roman" w:eastAsia="Times New Roman" w:hAnsi="Times New Roman"/>
          <w:i/>
          <w:iCs/>
          <w:color w:val="000000"/>
          <w:sz w:val="28"/>
          <w:szCs w:val="28"/>
        </w:rPr>
        <w:t>[110]</w:t>
      </w:r>
      <w:r w:rsidR="00D912C4" w:rsidRPr="00872207">
        <w:rPr>
          <w:rFonts w:ascii="Times New Roman" w:hAnsi="Times New Roman"/>
          <w:i/>
          <w:iCs/>
          <w:color w:val="000000"/>
        </w:rPr>
        <w:t>.</w:t>
      </w:r>
    </w:p>
    <w:p w:rsidR="00B37265" w:rsidRPr="00D912C4" w:rsidRDefault="00B37265" w:rsidP="00400BAB">
      <w:pPr>
        <w:spacing w:after="0" w:line="360" w:lineRule="auto"/>
        <w:ind w:firstLine="709"/>
        <w:jc w:val="both"/>
        <w:rPr>
          <w:rFonts w:ascii="Times New Roman" w:hAnsi="Times New Roman"/>
          <w:color w:val="000000"/>
          <w:sz w:val="28"/>
          <w:szCs w:val="28"/>
        </w:rPr>
      </w:pP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lastRenderedPageBreak/>
        <w:t>В результаті аналізу, варто звернути увагу, що орієнтація української аграрної продукції після 2022 року змістила свої орієнтири до країн Європейського Союзу та посилила присутність на ринках Китаю та Єгипту. Так, зокрема в Румунії присутність сировини та продукції аграрного сектору збільшилась на 6600%, що вказує на швидку адаптацію сільськогосподарських підприємств в межах застосування зміни експортної політики. Відповідно, сукупний результат експорту в різні країни світу засвідчує інвестиційну привабливість галузі економіки та її здатність до генерації виручки в валютному вираженні.</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З метою подальшого аналізу варто звернути увагу на зміну парадигми інвестиційної привабливості сільськогосподарського сектору економіки. Загалом за останні роки спостерігається перехресне позиціонування різних факторів впливу. До найбільш вагомих з них відносяться жорсткі воєнно – економічні обмеження та загальна зміна інституційного середовища. Саме активні військові дії мають великий вплив на дестабілізацію виробничих процесів аграрної системи, що було доведено в результаті аналізу індексу сільськогосподарської продукції (спостерігається падіння до 72,5%) </w:t>
      </w:r>
      <w:r w:rsidRPr="00F346C3">
        <w:rPr>
          <w:rFonts w:ascii="Times New Roman" w:eastAsia="Times New Roman" w:hAnsi="Times New Roman"/>
          <w:sz w:val="28"/>
          <w:szCs w:val="28"/>
          <w:lang w:val="uk-UA"/>
        </w:rPr>
        <w:t xml:space="preserve"> [157].</w:t>
      </w:r>
    </w:p>
    <w:p w:rsidR="00C32176"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 подальшому для поглиблення визначення причинно – наслідкових зав’язків між розвитком інвестиційної привабливості та факторами, що деструктивно на нього впливають було здійснено структурування даних щодо загальних втрат вітчизняного агросектору економіки та ринку землі (табл. 2.1). Адже, аналіз таких даних надає можливість кількісно оцінити інвестиційну привабливість сектору економіки. Первісним фактором для аналізу виступає обсяг прямих збитків та непрямих витрат, які припадають на сектор в результаті військової агресії. Адже саме основні засоби є вагомою складовою функціонування сільськогосподарського сектору та формують парадигм</w:t>
      </w:r>
      <w:r w:rsidR="00420030">
        <w:rPr>
          <w:rFonts w:ascii="Times New Roman" w:hAnsi="Times New Roman"/>
          <w:color w:val="000000"/>
          <w:sz w:val="28"/>
          <w:szCs w:val="28"/>
          <w:lang w:val="uk-UA"/>
        </w:rPr>
        <w:t>у інвестиційної привабливості.</w:t>
      </w:r>
    </w:p>
    <w:p w:rsidR="00420030" w:rsidRDefault="00420030"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В межах часового проміжку дослідження 2021 р. було нівельовано, тому що саме в цей період аграрний сектор характеризувався високим рівнем розвитку і відсутністю будь яких військо-інституціональних впливів. В </w:t>
      </w:r>
      <w:r w:rsidRPr="00400BAB">
        <w:rPr>
          <w:rFonts w:ascii="Times New Roman" w:hAnsi="Times New Roman"/>
          <w:color w:val="000000"/>
          <w:sz w:val="28"/>
          <w:szCs w:val="28"/>
          <w:lang w:val="uk-UA"/>
        </w:rPr>
        <w:lastRenderedPageBreak/>
        <w:t>результаті прямі збитки (тобто фактичне руйнування активів в аграрному спектрі) найбільшими спостерігались в 2022 – 2023 рр., але для представлення динамічного ряду даних значення в табл. 2.1 подано з накопичувальним ефектом з врахуванням первинних відновлювальних вкладень, що також сукупно впливає на інвестиційну привабливість.</w:t>
      </w:r>
    </w:p>
    <w:p w:rsidR="0055571B" w:rsidRPr="00A0574A" w:rsidRDefault="0055571B" w:rsidP="0055571B">
      <w:pPr>
        <w:spacing w:after="0" w:line="360" w:lineRule="auto"/>
        <w:ind w:firstLine="709"/>
        <w:jc w:val="right"/>
        <w:rPr>
          <w:rFonts w:ascii="Times New Roman" w:hAnsi="Times New Roman"/>
          <w:color w:val="000000"/>
          <w:sz w:val="28"/>
          <w:szCs w:val="28"/>
          <w:lang w:val="uk-UA"/>
        </w:rPr>
      </w:pPr>
      <w:r w:rsidRPr="00A0574A">
        <w:rPr>
          <w:rFonts w:ascii="Times New Roman" w:hAnsi="Times New Roman"/>
          <w:color w:val="000000"/>
          <w:sz w:val="28"/>
          <w:szCs w:val="28"/>
          <w:lang w:val="uk-UA"/>
        </w:rPr>
        <w:t>Таблиця 2.1</w:t>
      </w:r>
    </w:p>
    <w:p w:rsidR="0055571B" w:rsidRPr="00400BAB" w:rsidRDefault="0055571B" w:rsidP="0055571B">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rPr>
        <w:t>Динаміка та структура воєнних збитків аграрного сектору України у 2022–2025 рр., млрд $</w:t>
      </w:r>
    </w:p>
    <w:tbl>
      <w:tblPr>
        <w:tblW w:w="901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013"/>
        <w:gridCol w:w="951"/>
        <w:gridCol w:w="851"/>
        <w:gridCol w:w="992"/>
        <w:gridCol w:w="1276"/>
        <w:gridCol w:w="1933"/>
      </w:tblGrid>
      <w:tr w:rsidR="0055571B" w:rsidRPr="00400BAB" w:rsidTr="00EB5B4E">
        <w:trPr>
          <w:cantSplit/>
          <w:trHeight w:val="315"/>
          <w:tblHeader/>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Категорія активів</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2022 р.</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2023 р.</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2024 р.</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2025 р. </w:t>
            </w:r>
          </w:p>
        </w:tc>
        <w:tc>
          <w:tcPr>
            <w:tcW w:w="1933" w:type="dxa"/>
            <w:tcMar>
              <w:top w:w="30" w:type="dxa"/>
              <w:left w:w="0" w:type="dxa"/>
              <w:bottom w:w="30" w:type="dxa"/>
              <w:right w:w="0"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Абсолютна зміна 2025-2022 (+/-)</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Сільськогосподарська техніка</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2,9</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4,7</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5,8</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6,2</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+3,3</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Сховища та елеватори</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1,8</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1,9</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+0,8</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Тваринницькі ферми</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0,2</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0,25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0,3</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0,35</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+0,15</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Багаторічні насадження</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0,1</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0,3</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0,4</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0,45</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+0,35</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Готова продукція та ЗЗР</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1,7</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1,9</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2,1</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+0,4</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lang w:val="uk-UA"/>
              </w:rPr>
              <w:t>Усього</w:t>
            </w:r>
            <w:r w:rsidRPr="00400BAB">
              <w:rPr>
                <w:rFonts w:ascii="Times New Roman" w:hAnsi="Times New Roman"/>
              </w:rPr>
              <w:t xml:space="preserve"> (накопичено)</w:t>
            </w:r>
          </w:p>
        </w:tc>
        <w:tc>
          <w:tcPr>
            <w:tcW w:w="9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6</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8,65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10,3</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w:t>
            </w:r>
          </w:p>
        </w:tc>
        <w:tc>
          <w:tcPr>
            <w:tcW w:w="193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+5,0</w:t>
            </w:r>
          </w:p>
        </w:tc>
      </w:tr>
    </w:tbl>
    <w:p w:rsidR="0055571B" w:rsidRPr="00872207" w:rsidRDefault="0055571B" w:rsidP="0055571B">
      <w:pPr>
        <w:spacing w:after="0" w:line="360" w:lineRule="auto"/>
        <w:ind w:firstLine="709"/>
        <w:jc w:val="both"/>
        <w:rPr>
          <w:rFonts w:ascii="Times New Roman" w:hAnsi="Times New Roman"/>
        </w:rPr>
      </w:pPr>
      <w:r w:rsidRPr="00400BAB">
        <w:rPr>
          <w:rFonts w:ascii="Times New Roman" w:hAnsi="Times New Roman"/>
          <w:i/>
          <w:iCs/>
          <w:color w:val="000000"/>
          <w:lang w:val="uk-UA"/>
        </w:rPr>
        <w:t xml:space="preserve">Джерело: обраховано автором за даними </w:t>
      </w:r>
      <w:r w:rsidRPr="00872207">
        <w:rPr>
          <w:rFonts w:ascii="Times New Roman" w:hAnsi="Times New Roman"/>
          <w:i/>
          <w:iCs/>
          <w:color w:val="000000"/>
          <w:lang w:val="uk-UA"/>
        </w:rPr>
        <w:t>Держстат України</w:t>
      </w:r>
      <w:r w:rsidRPr="00872207">
        <w:rPr>
          <w:rFonts w:ascii="Times New Roman" w:hAnsi="Times New Roman"/>
          <w:i/>
          <w:iCs/>
          <w:color w:val="000000"/>
        </w:rPr>
        <w:t xml:space="preserve"> </w:t>
      </w:r>
      <w:r w:rsidRPr="00872207">
        <w:rPr>
          <w:rFonts w:ascii="Times New Roman" w:eastAsia="Times New Roman" w:hAnsi="Times New Roman"/>
          <w:i/>
          <w:iCs/>
          <w:color w:val="000000"/>
          <w:sz w:val="28"/>
          <w:szCs w:val="28"/>
        </w:rPr>
        <w:t>[110]</w:t>
      </w:r>
      <w:r w:rsidRPr="00872207">
        <w:rPr>
          <w:rFonts w:ascii="Times New Roman" w:hAnsi="Times New Roman"/>
          <w:i/>
          <w:iCs/>
          <w:color w:val="000000"/>
        </w:rPr>
        <w:t>.</w:t>
      </w:r>
    </w:p>
    <w:p w:rsidR="0055571B" w:rsidRPr="00400BAB" w:rsidRDefault="0055571B" w:rsidP="0055571B">
      <w:pPr>
        <w:spacing w:after="0" w:line="360" w:lineRule="auto"/>
        <w:ind w:firstLine="709"/>
        <w:jc w:val="both"/>
        <w:rPr>
          <w:rFonts w:ascii="Times New Roman" w:hAnsi="Times New Roman"/>
          <w:color w:val="000000"/>
          <w:sz w:val="28"/>
          <w:szCs w:val="28"/>
          <w:lang w:val="uk-UA"/>
        </w:rPr>
      </w:pP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 результаті на основі отриманих даних (табл. 2.1) варто зауважити, що сукупні збитки сільськогосподарському сектору економіки зросли на 5 млрд. $ та становлять станом на кінець 2025 р. 11 млрд.$. Важливо відмітити, що більшу частину збитків складає техніка (понад 56%), що вкрай негативно впливає на якісне функціонування підприємств даного спрямування. Візуалізація структури збитків (рис. 2.3) вказує на пріоритетні напрями для майбутніх інвестицій.</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Покращення ситуації, що пов’язана з воєнними ризиками може стати вагомим аргументом посилення позицій інвестиційної привабливості галузі. Для цього вбачається застосувати додаткові заходи щодо переходу від стратегії розширення підприємств до стратегій компенсаційного відновлення. Тобто залучення специфічних інструментів фінансування таких як воєнне страхування та запровадження цільових грантових програм</w:t>
      </w:r>
      <w:r>
        <w:rPr>
          <w:rFonts w:ascii="Times New Roman" w:eastAsia="Times New Roman" w:hAnsi="Times New Roman"/>
          <w:sz w:val="28"/>
          <w:szCs w:val="28"/>
        </w:rPr>
        <w:t xml:space="preserve"> [94, 192].</w:t>
      </w:r>
    </w:p>
    <w:p w:rsidR="0055571B" w:rsidRDefault="0055571B" w:rsidP="0055571B">
      <w:pPr>
        <w:spacing w:after="0" w:line="360" w:lineRule="auto"/>
        <w:jc w:val="center"/>
        <w:rPr>
          <w:rFonts w:ascii="Times New Roman" w:hAnsi="Times New Roman"/>
          <w:color w:val="000000"/>
          <w:sz w:val="28"/>
          <w:szCs w:val="28"/>
          <w:lang w:val="uk-UA"/>
        </w:rPr>
      </w:pPr>
      <w:r w:rsidRPr="00400BAB">
        <w:rPr>
          <w:rFonts w:ascii="Times New Roman" w:hAnsi="Times New Roman"/>
          <w:noProof/>
          <w:color w:val="000000"/>
          <w:sz w:val="28"/>
          <w:szCs w:val="28"/>
          <w:lang w:val="uk-UA" w:eastAsia="uk-UA"/>
        </w:rPr>
        <w:lastRenderedPageBreak/>
        <w:drawing>
          <wp:inline distT="0" distB="0" distL="0" distR="0" wp14:anchorId="51D1D3DC" wp14:editId="79B986B2">
            <wp:extent cx="5709684" cy="2286000"/>
            <wp:effectExtent l="0" t="0" r="18415" b="12700"/>
            <wp:docPr id="954264944"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5571B" w:rsidRPr="00C32176" w:rsidRDefault="0055571B" w:rsidP="0055571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b/>
          <w:bCs/>
          <w:color w:val="000000"/>
          <w:sz w:val="28"/>
          <w:szCs w:val="28"/>
          <w:lang w:val="uk-UA"/>
        </w:rPr>
        <w:t xml:space="preserve">Рис. 2.3 Структура воєнних збитків аграрного сектору України станом на кінець 2025 р., </w:t>
      </w:r>
      <w:r w:rsidRPr="00400BAB">
        <w:rPr>
          <w:rFonts w:ascii="Times New Roman" w:hAnsi="Times New Roman"/>
          <w:b/>
          <w:bCs/>
          <w:color w:val="000000"/>
          <w:sz w:val="28"/>
          <w:szCs w:val="28"/>
        </w:rPr>
        <w:t>%</w:t>
      </w:r>
    </w:p>
    <w:p w:rsidR="0055571B" w:rsidRDefault="0055571B" w:rsidP="0055571B">
      <w:pPr>
        <w:spacing w:after="0" w:line="360" w:lineRule="auto"/>
        <w:ind w:firstLine="709"/>
        <w:jc w:val="both"/>
        <w:rPr>
          <w:rFonts w:ascii="Times New Roman" w:eastAsia="Times New Roman" w:hAnsi="Times New Roman"/>
          <w:i/>
          <w:iCs/>
          <w:color w:val="000000"/>
          <w:sz w:val="24"/>
          <w:szCs w:val="24"/>
        </w:rPr>
      </w:pPr>
      <w:r w:rsidRPr="00400BAB">
        <w:rPr>
          <w:rFonts w:ascii="Times New Roman" w:hAnsi="Times New Roman"/>
          <w:i/>
          <w:iCs/>
          <w:color w:val="000000"/>
          <w:lang w:val="uk-UA"/>
        </w:rPr>
        <w:t xml:space="preserve">Джерело: обраховано автором за даними </w:t>
      </w:r>
      <w:r w:rsidRPr="00872207">
        <w:rPr>
          <w:rFonts w:ascii="Times New Roman" w:hAnsi="Times New Roman"/>
          <w:i/>
          <w:iCs/>
          <w:color w:val="000000"/>
          <w:lang w:val="uk-UA"/>
        </w:rPr>
        <w:t>Держстат України</w:t>
      </w:r>
      <w:r w:rsidRPr="00872207">
        <w:rPr>
          <w:rFonts w:ascii="Times New Roman" w:hAnsi="Times New Roman"/>
          <w:i/>
          <w:iCs/>
          <w:color w:val="000000"/>
        </w:rPr>
        <w:t xml:space="preserve"> </w:t>
      </w:r>
      <w:r w:rsidRPr="00420030">
        <w:rPr>
          <w:rFonts w:ascii="Times New Roman" w:eastAsia="Times New Roman" w:hAnsi="Times New Roman"/>
          <w:i/>
          <w:iCs/>
          <w:color w:val="000000"/>
          <w:sz w:val="28"/>
          <w:szCs w:val="24"/>
        </w:rPr>
        <w:t>[110]</w:t>
      </w:r>
    </w:p>
    <w:p w:rsidR="0055571B" w:rsidRPr="00872207" w:rsidRDefault="0055571B" w:rsidP="0055571B">
      <w:pPr>
        <w:spacing w:after="0" w:line="360" w:lineRule="auto"/>
        <w:ind w:firstLine="709"/>
        <w:jc w:val="both"/>
        <w:rPr>
          <w:rFonts w:ascii="Times New Roman" w:hAnsi="Times New Roman"/>
        </w:rPr>
      </w:pPr>
    </w:p>
    <w:p w:rsidR="00420030"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На противагу дестабілізуючим факторам впливу на розвиток інвестиційної привабливості сільськогосподарського сектору економіки є розвиток ринку землі України. Саме даний актив є головним компонентом, що виступає основним елементом створення будь якого продукту (послуги) для аграрного напряму діяльності. За рахунок розширення земельних активів підприємств можливо досягнути збільшення капіталізації підприємств. З огляду на це було проведено аналіз операцій на ринку землі за досліджуваний період (табл. 2.2)</w:t>
      </w:r>
      <w:r w:rsidR="004009DE">
        <w:rPr>
          <w:rFonts w:ascii="Times New Roman" w:hAnsi="Times New Roman"/>
          <w:color w:val="000000"/>
          <w:sz w:val="28"/>
          <w:szCs w:val="28"/>
          <w:lang w:val="uk-UA"/>
        </w:rPr>
        <w:t xml:space="preserve"> </w:t>
      </w:r>
      <w:r w:rsidR="004009DE">
        <w:rPr>
          <w:rFonts w:ascii="Times New Roman" w:eastAsia="Times New Roman" w:hAnsi="Times New Roman"/>
          <w:color w:val="000000"/>
          <w:sz w:val="28"/>
          <w:szCs w:val="28"/>
          <w:lang w:val="uk-UA"/>
        </w:rPr>
        <w:t>[112]</w:t>
      </w:r>
      <w:r>
        <w:t>.</w:t>
      </w:r>
    </w:p>
    <w:p w:rsidR="0055571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Отримані результати демонструють значення, які підтверджують, що отримані прямі збитки (майже 11 млрд.$) впливають на розвиток сільськогосподарського сектору, але останній демонструє високий рівень адаптивності до зовнішніх негативних факторів. Така тенденція відбувається за рахунок збільшення вартості землі та обсягів її обігу, особливо в період 2023 – 2024 рр. Тобто вказана тенденція до купівельної спроможності землі вказує на посилення активності внутрішніх (вітчизняних) інвесторів в даній галузі. В подальшому з метою поглиблення аналітичного пошуку було здійснено аналіз змін ринку землі станом на кінець 2025 р. щодо площі відчуженням земельних ділянок (рис. В.1 (додаток В)), площі земельних </w:t>
      </w:r>
      <w:r w:rsidRPr="00400BAB">
        <w:rPr>
          <w:rFonts w:ascii="Times New Roman" w:hAnsi="Times New Roman"/>
          <w:color w:val="000000"/>
          <w:sz w:val="28"/>
          <w:szCs w:val="28"/>
          <w:lang w:val="uk-UA"/>
        </w:rPr>
        <w:lastRenderedPageBreak/>
        <w:t xml:space="preserve">ділянок придбаних юридичними особами (рис. В.2 (додаток В)), площа земельних ділянок, що доступна за державною програмою «Земельний банк» (рис. В.3 (додаток В)), а також порівняння представлених земельних площ з негативними факторами. </w:t>
      </w:r>
    </w:p>
    <w:p w:rsidR="0055571B" w:rsidRPr="00A0574A" w:rsidRDefault="0055571B" w:rsidP="0055571B">
      <w:pPr>
        <w:spacing w:after="0" w:line="360" w:lineRule="auto"/>
        <w:ind w:firstLine="709"/>
        <w:jc w:val="right"/>
        <w:rPr>
          <w:rFonts w:ascii="Times New Roman" w:hAnsi="Times New Roman"/>
          <w:color w:val="000000"/>
          <w:sz w:val="28"/>
          <w:szCs w:val="28"/>
          <w:lang w:val="uk-UA"/>
        </w:rPr>
      </w:pPr>
      <w:r w:rsidRPr="00A0574A">
        <w:rPr>
          <w:rFonts w:ascii="Times New Roman" w:hAnsi="Times New Roman"/>
          <w:color w:val="000000"/>
          <w:sz w:val="28"/>
          <w:szCs w:val="28"/>
          <w:lang w:val="uk-UA"/>
        </w:rPr>
        <w:t>Таблиця 2.2</w:t>
      </w:r>
    </w:p>
    <w:p w:rsidR="0055571B" w:rsidRPr="00400BAB" w:rsidRDefault="0055571B" w:rsidP="0055571B">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rPr>
        <w:t>Динаміка операцій на ринку земель сільськогосподарського призначення</w:t>
      </w:r>
      <w:r w:rsidRPr="00400BAB">
        <w:rPr>
          <w:rFonts w:ascii="Times New Roman" w:hAnsi="Times New Roman"/>
          <w:b/>
          <w:bCs/>
          <w:color w:val="000000"/>
          <w:sz w:val="28"/>
          <w:szCs w:val="28"/>
          <w:lang w:val="uk-UA"/>
        </w:rPr>
        <w:t xml:space="preserve"> за 2021 – 2025 рр.</w:t>
      </w:r>
    </w:p>
    <w:tbl>
      <w:tblPr>
        <w:tblW w:w="901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690"/>
        <w:gridCol w:w="707"/>
        <w:gridCol w:w="709"/>
        <w:gridCol w:w="851"/>
        <w:gridCol w:w="708"/>
        <w:gridCol w:w="851"/>
        <w:gridCol w:w="1276"/>
        <w:gridCol w:w="1224"/>
      </w:tblGrid>
      <w:tr w:rsidR="0055571B" w:rsidRPr="00400BAB" w:rsidTr="00EB5B4E">
        <w:trPr>
          <w:cantSplit/>
          <w:trHeight w:val="315"/>
          <w:tblHeader/>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Показник</w:t>
            </w:r>
          </w:p>
        </w:tc>
        <w:tc>
          <w:tcPr>
            <w:tcW w:w="707"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2021 </w:t>
            </w:r>
          </w:p>
        </w:tc>
        <w:tc>
          <w:tcPr>
            <w:tcW w:w="709"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2022 </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2023 </w:t>
            </w:r>
          </w:p>
        </w:tc>
        <w:tc>
          <w:tcPr>
            <w:tcW w:w="708"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2024 </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 xml:space="preserve">2025 </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Абсолютна зміна 2025-2021</w:t>
            </w:r>
          </w:p>
        </w:tc>
        <w:tc>
          <w:tcPr>
            <w:tcW w:w="1224" w:type="dxa"/>
            <w:tcMar>
              <w:top w:w="30" w:type="dxa"/>
              <w:left w:w="0" w:type="dxa"/>
              <w:bottom w:w="30" w:type="dxa"/>
              <w:right w:w="0"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Відносна зміна 2025-2021, %</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Кількість укладених договорів купівлі-продажу, тис.</w:t>
            </w:r>
          </w:p>
        </w:tc>
        <w:tc>
          <w:tcPr>
            <w:tcW w:w="707"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66,2</w:t>
            </w:r>
          </w:p>
        </w:tc>
        <w:tc>
          <w:tcPr>
            <w:tcW w:w="709"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41,5</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56,1</w:t>
            </w:r>
          </w:p>
        </w:tc>
        <w:tc>
          <w:tcPr>
            <w:tcW w:w="708"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68,5</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74</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7,8</w:t>
            </w:r>
          </w:p>
        </w:tc>
        <w:tc>
          <w:tcPr>
            <w:tcW w:w="122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+11,78%</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Площа земель в обігу, тис. га</w:t>
            </w:r>
          </w:p>
        </w:tc>
        <w:tc>
          <w:tcPr>
            <w:tcW w:w="707"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178,3</w:t>
            </w:r>
          </w:p>
        </w:tc>
        <w:tc>
          <w:tcPr>
            <w:tcW w:w="709"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81</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115,5</w:t>
            </w:r>
          </w:p>
        </w:tc>
        <w:tc>
          <w:tcPr>
            <w:tcW w:w="708"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160</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185</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6,7</w:t>
            </w:r>
          </w:p>
        </w:tc>
        <w:tc>
          <w:tcPr>
            <w:tcW w:w="122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+3,76%</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 xml:space="preserve">Середня ціна 1 га сільгоспземель, тис. </w:t>
            </w:r>
            <w:r w:rsidRPr="00400BAB">
              <w:rPr>
                <w:rFonts w:ascii="Times New Roman" w:hAnsi="Times New Roman"/>
                <w:lang w:val="uk-UA"/>
              </w:rPr>
              <w:t>г</w:t>
            </w:r>
            <w:r w:rsidRPr="00400BAB">
              <w:rPr>
                <w:rFonts w:ascii="Times New Roman" w:hAnsi="Times New Roman"/>
              </w:rPr>
              <w:t>рн</w:t>
            </w:r>
          </w:p>
        </w:tc>
        <w:tc>
          <w:tcPr>
            <w:tcW w:w="707"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29,1</w:t>
            </w:r>
          </w:p>
        </w:tc>
        <w:tc>
          <w:tcPr>
            <w:tcW w:w="709"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30,5</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37</w:t>
            </w:r>
          </w:p>
        </w:tc>
        <w:tc>
          <w:tcPr>
            <w:tcW w:w="708"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44,5</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52</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22,9</w:t>
            </w:r>
          </w:p>
        </w:tc>
        <w:tc>
          <w:tcPr>
            <w:tcW w:w="122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+78,69%</w:t>
            </w:r>
          </w:p>
        </w:tc>
      </w:tr>
      <w:tr w:rsidR="0055571B" w:rsidRPr="00400BAB" w:rsidTr="00EB5B4E">
        <w:trPr>
          <w:cantSplit/>
          <w:trHeight w:val="315"/>
        </w:trPr>
        <w:tc>
          <w:tcPr>
            <w:tcW w:w="0" w:type="auto"/>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Індекс капіталізації земельних активів, % до 2021</w:t>
            </w:r>
          </w:p>
        </w:tc>
        <w:tc>
          <w:tcPr>
            <w:tcW w:w="707"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100</w:t>
            </w:r>
          </w:p>
        </w:tc>
        <w:tc>
          <w:tcPr>
            <w:tcW w:w="709"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104,8</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127,1</w:t>
            </w:r>
          </w:p>
        </w:tc>
        <w:tc>
          <w:tcPr>
            <w:tcW w:w="708"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152,9</w:t>
            </w:r>
          </w:p>
        </w:tc>
        <w:tc>
          <w:tcPr>
            <w:tcW w:w="851"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178,7</w:t>
            </w:r>
          </w:p>
        </w:tc>
        <w:tc>
          <w:tcPr>
            <w:tcW w:w="1276"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78,7</w:t>
            </w:r>
          </w:p>
        </w:tc>
        <w:tc>
          <w:tcPr>
            <w:tcW w:w="122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+78,70%</w:t>
            </w:r>
          </w:p>
        </w:tc>
      </w:tr>
    </w:tbl>
    <w:p w:rsidR="0055571B" w:rsidRPr="00872207" w:rsidRDefault="0055571B" w:rsidP="0055571B">
      <w:pPr>
        <w:spacing w:after="0" w:line="360" w:lineRule="auto"/>
        <w:ind w:firstLine="709"/>
        <w:jc w:val="both"/>
        <w:rPr>
          <w:rFonts w:ascii="Times New Roman" w:hAnsi="Times New Roman"/>
        </w:rPr>
      </w:pPr>
      <w:r w:rsidRPr="00400BAB">
        <w:rPr>
          <w:rFonts w:ascii="Times New Roman" w:hAnsi="Times New Roman"/>
          <w:i/>
          <w:iCs/>
          <w:color w:val="000000"/>
          <w:lang w:val="uk-UA"/>
        </w:rPr>
        <w:t xml:space="preserve">Джерело: обраховано автором за даними </w:t>
      </w:r>
      <w:r w:rsidRPr="00872207">
        <w:rPr>
          <w:rFonts w:ascii="Times New Roman" w:hAnsi="Times New Roman"/>
          <w:i/>
          <w:iCs/>
          <w:color w:val="000000"/>
          <w:lang w:val="uk-UA"/>
        </w:rPr>
        <w:t>Держстат України</w:t>
      </w:r>
      <w:r w:rsidRPr="00872207">
        <w:rPr>
          <w:rFonts w:ascii="Times New Roman" w:hAnsi="Times New Roman"/>
          <w:i/>
          <w:iCs/>
          <w:color w:val="000000"/>
        </w:rPr>
        <w:t xml:space="preserve"> </w:t>
      </w:r>
      <w:r w:rsidRPr="00872207">
        <w:rPr>
          <w:rFonts w:ascii="Times New Roman" w:eastAsia="Times New Roman" w:hAnsi="Times New Roman"/>
          <w:i/>
          <w:iCs/>
          <w:color w:val="000000"/>
          <w:sz w:val="28"/>
          <w:szCs w:val="28"/>
        </w:rPr>
        <w:t>[110]</w:t>
      </w:r>
      <w:r w:rsidRPr="00872207">
        <w:rPr>
          <w:rFonts w:ascii="Times New Roman" w:hAnsi="Times New Roman"/>
          <w:i/>
          <w:iCs/>
          <w:color w:val="000000"/>
        </w:rPr>
        <w:t>.</w:t>
      </w:r>
    </w:p>
    <w:p w:rsidR="0055571B" w:rsidRPr="00400BAB" w:rsidRDefault="0055571B" w:rsidP="0055571B">
      <w:pPr>
        <w:spacing w:after="0" w:line="360" w:lineRule="auto"/>
        <w:jc w:val="both"/>
        <w:rPr>
          <w:rFonts w:ascii="Times New Roman" w:hAnsi="Times New Roman"/>
          <w:color w:val="000000"/>
          <w:sz w:val="28"/>
          <w:szCs w:val="28"/>
          <w:lang w:val="uk-UA"/>
        </w:rPr>
      </w:pP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Такими як заміновані території сільськогосподарського призначення та відповідні інвестиційні вливання що складають орієнтовну вартість розмінування земельного фонду в наслідок військової агресії (рис. В.4 (додаток В)). Спираючись на отримані результати, подані на рис. В.1 (додаток В) – 2.8, які різнопланово відображають стан та динаміку змін власності в земельному фонді України, можна сформувати базову уявлення про стан та перспективи змін інвестиційної привабливості сільськогосподарського сектору України. На даний час воєнно – економічні фактори, що суттєво змінюють інституційне середовище переформатовають свої вектори розвитку з регуляторного спрямування в площину формування стратегічних активів, що формують базис для економічного механізму підприємств.</w:t>
      </w:r>
    </w:p>
    <w:p w:rsidR="00B37265"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lastRenderedPageBreak/>
        <w:t xml:space="preserve">Щодо більш деталізованого обґрунтування отриманих результатів, то отримані результати аналізу стану кількості відчужених земельних ділянок станом на кінець 2025 р. (представлені на рис. В.1 (додаток В)) засвідчують високий рівень активності ринку в більшій мірі в центральних </w:t>
      </w:r>
      <w:r w:rsidR="00420030" w:rsidRPr="00400BAB">
        <w:rPr>
          <w:rFonts w:ascii="Times New Roman" w:hAnsi="Times New Roman"/>
          <w:color w:val="000000"/>
          <w:sz w:val="28"/>
          <w:szCs w:val="28"/>
          <w:lang w:val="uk-UA"/>
        </w:rPr>
        <w:t>та західних регіонах, де значення змінюються від 62,6 до 138,6 тис. га. Тобто інвестиційна привабливість має прояв в більш безпекових регіонах, що створює нові центри капіталізації аграрного виробництва. Але в той же час, варто відмітити і зміни в прифронтових територіях, де можливі спекулятивні або шахрайські дії притаманні для заволодіння земельними ресурсами.</w:t>
      </w:r>
    </w:p>
    <w:p w:rsidR="00420030" w:rsidRPr="00400BAB" w:rsidRDefault="00420030" w:rsidP="00420030">
      <w:pPr>
        <w:spacing w:after="0" w:line="360" w:lineRule="auto"/>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Виробничі потужності в даних регіонах не є активними з огляду на показники формування виручки, але наявні значення засвідчують здійснення вимушених транзакцій. Для того щоб зменшувати дані дії та унормовувати ризики, варто звернути увагу на впровадження специфічного інструментарію щодо адаптації економічного механізму інвестиційної привабливості в межах збереження інтересів власників та землекористувачів в умовах активних військових дій.</w:t>
      </w:r>
    </w:p>
    <w:p w:rsidR="00435FDC" w:rsidRDefault="00EB5B4E" w:rsidP="0055571B">
      <w:pPr>
        <w:spacing w:after="0" w:line="360" w:lineRule="auto"/>
        <w:ind w:firstLine="709"/>
        <w:jc w:val="both"/>
      </w:pPr>
      <w:r>
        <w:rPr>
          <w:rFonts w:ascii="Times New Roman" w:eastAsia="Times New Roman" w:hAnsi="Times New Roman"/>
          <w:sz w:val="28"/>
        </w:rPr>
        <w:t>Картографічні та графічні матеріали щодо земельних ділянок і розмінування наведено в додатку В (рис. В.1–В.4).</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Окремо варто більше детально проаналізувати отримані результати рис. В.2 (додаток В), на якому представлено придбання землі юридичними особами станом на кінець 2025 р. Це прямо вказує на активізацію інвестиційної діяльності, що формує новий перехід до розвитку моделі аграрного сектору економіки. Значення, що отримані в результаті обрахунків вказують, що площ угідь придбаних різними підприємства (від 2,5 до 9,5 тис. га останній рік дослідження) формують нові консолідовані земельні масиви. Тобто реалізуються нові інвестиційні проєкти в безпечних регіонах, що формує довгострокові перспективні моделі економічного розвитку сільськогосподарських підприємств. Додатковим компонентом для представленої тенденції є державна програма «Земельний банк», що проаналізована на рис. В.3 (додаток В). Тобто з боку інституціонального </w:t>
      </w:r>
      <w:r w:rsidRPr="00400BAB">
        <w:rPr>
          <w:rFonts w:ascii="Times New Roman" w:hAnsi="Times New Roman"/>
          <w:color w:val="000000"/>
          <w:sz w:val="28"/>
          <w:szCs w:val="28"/>
          <w:lang w:val="uk-UA"/>
        </w:rPr>
        <w:lastRenderedPageBreak/>
        <w:t>середовища присутня підтримки в межах оформлення довгострокової оренди через прозорі і відкриті аукціони. Відповідно, такі дії консолідовано спрямовані на створення жвавої конкуренції в безпечних регіонах, зниження корупційної складової та формують нову парадигм інвестиційного клімату в аграрному секторі. Відповідно, для представників даної галузі це можливість швидко розширювати межі своєї присутності в регіональному аспекті за чітко регламентованими правилами, що знижує інституційні ризики.</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І завершальним етапом аналізу земельного банку України стало представлення орієнтованої вартості коштів, що необхідні для розмінування територій. Нажаль більша частина з них перебуває в окупації тривалий час, а активні бойові дії не дають можливість здійснити інвестиційні вливання саме в даному напрямі. Саме в аспекті військових перепон має бути спрямовано удосконалення інструментального підґрунтя щодо оновлення економічного механізму управління інвестиційною привабливістю аграрних підприємств. </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Узагальнюючи, варто відмітити, що на даний час воєнно – економічні фактори сукупно мають великий вплив на формування інвестиційної привабливості галузі сільського господарства в Україні. Хоч отримані дані щодо адаптивності виробничого процесу і наявні за останні роки дослідження, все ж таки залишається низка не вирішених питань, що стосуються ризиків зовнішнього оточення та негативного впливу активних бойових дій. </w:t>
      </w:r>
    </w:p>
    <w:p w:rsidR="00B37265" w:rsidRPr="00400BAB" w:rsidRDefault="00B37265" w:rsidP="00400BAB">
      <w:pPr>
        <w:spacing w:after="0" w:line="360" w:lineRule="auto"/>
        <w:ind w:firstLine="709"/>
        <w:jc w:val="both"/>
        <w:rPr>
          <w:rFonts w:ascii="Times New Roman" w:hAnsi="Times New Roman"/>
          <w:color w:val="000000"/>
          <w:sz w:val="28"/>
          <w:szCs w:val="28"/>
          <w:lang w:val="uk-UA"/>
        </w:rPr>
      </w:pPr>
    </w:p>
    <w:p w:rsidR="00B37265" w:rsidRPr="00CB6B34" w:rsidRDefault="00B37265" w:rsidP="00CB6B34">
      <w:pPr>
        <w:spacing w:after="0" w:line="360" w:lineRule="auto"/>
        <w:ind w:firstLine="709"/>
        <w:jc w:val="both"/>
        <w:rPr>
          <w:rFonts w:ascii="Times New Roman" w:hAnsi="Times New Roman"/>
          <w:b/>
          <w:color w:val="000000"/>
          <w:sz w:val="28"/>
          <w:szCs w:val="28"/>
          <w:lang w:val="uk-UA"/>
        </w:rPr>
      </w:pPr>
      <w:r w:rsidRPr="00CB6B34">
        <w:rPr>
          <w:rFonts w:ascii="Times New Roman" w:hAnsi="Times New Roman"/>
          <w:b/>
          <w:color w:val="000000"/>
          <w:sz w:val="28"/>
          <w:szCs w:val="28"/>
          <w:lang w:val="uk-UA"/>
        </w:rPr>
        <w:t>2.2 Комплексний аналіз результативності та фінансово-економічного стану сільськогосподарських підприємств</w:t>
      </w:r>
    </w:p>
    <w:p w:rsidR="00B37265" w:rsidRPr="00CB6B34" w:rsidRDefault="00B37265" w:rsidP="00CB6B34">
      <w:pPr>
        <w:spacing w:after="0" w:line="360" w:lineRule="auto"/>
        <w:ind w:firstLine="709"/>
        <w:jc w:val="both"/>
        <w:rPr>
          <w:rFonts w:ascii="Times New Roman" w:hAnsi="Times New Roman"/>
          <w:color w:val="000000"/>
          <w:sz w:val="28"/>
          <w:szCs w:val="28"/>
          <w:lang w:val="uk-UA"/>
        </w:rPr>
      </w:pPr>
    </w:p>
    <w:p w:rsidR="00B37265" w:rsidRPr="00400BAB" w:rsidRDefault="00B37265" w:rsidP="00CB6B3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Детальний аналіз попереднього розділу вказує на структурні зміни сектору сільського господарства в Україні за 2021 – 2025 рр. Для того щоб аргументовано обрати суб’єктів даного ринку було здійснено деталізований аналіз фінансово – економічного стану галузі та визначено лідерів ринку за напрямом побудови нової парадигми інвестиційної привабливості. За </w:t>
      </w:r>
      <w:r w:rsidRPr="00400BAB">
        <w:rPr>
          <w:rFonts w:ascii="Times New Roman" w:hAnsi="Times New Roman"/>
          <w:color w:val="000000"/>
          <w:sz w:val="28"/>
          <w:szCs w:val="28"/>
          <w:lang w:val="uk-UA"/>
        </w:rPr>
        <w:lastRenderedPageBreak/>
        <w:t>досліджуваний період 2021 – 2025 рр. на ринку агарної продукції України помітними стали суттєві зміни щодо концентрації капіталу, які формують необхідність у застосуванні багатокритеріального підходу до вибору конкретних представників. З метою підвищення ступеню об’єктивності під час вибору було застосовано усталений інструментарій, який включає: аналіз ринкової частки за показником виручки підприємств, оцінка інтегрального показника стійкості та матричний метод інвестиційної привабливості.</w:t>
      </w:r>
    </w:p>
    <w:p w:rsidR="00420030"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На першому етапу проаналізовано представників сільського господарства України за період 2021 – 2025 рр. за показником виробництва сільськогоспо</w:t>
      </w:r>
      <w:r w:rsidR="00C32176">
        <w:rPr>
          <w:rFonts w:ascii="Times New Roman" w:hAnsi="Times New Roman"/>
          <w:color w:val="000000"/>
          <w:sz w:val="28"/>
          <w:szCs w:val="28"/>
          <w:lang w:val="uk-UA"/>
        </w:rPr>
        <w:t>дарської продукції (табл. 2.3).</w:t>
      </w:r>
    </w:p>
    <w:p w:rsidR="00B37265" w:rsidRPr="00CB6B34" w:rsidRDefault="00B37265" w:rsidP="00C32176">
      <w:pPr>
        <w:spacing w:after="0" w:line="360" w:lineRule="auto"/>
        <w:ind w:firstLine="709"/>
        <w:jc w:val="right"/>
        <w:rPr>
          <w:rFonts w:ascii="Times New Roman" w:hAnsi="Times New Roman"/>
          <w:color w:val="000000"/>
          <w:sz w:val="28"/>
          <w:szCs w:val="28"/>
          <w:lang w:val="uk-UA"/>
        </w:rPr>
      </w:pPr>
      <w:r w:rsidRPr="00CB6B34">
        <w:rPr>
          <w:rFonts w:ascii="Times New Roman" w:hAnsi="Times New Roman"/>
          <w:color w:val="000000"/>
          <w:sz w:val="28"/>
          <w:szCs w:val="28"/>
          <w:lang w:val="uk-UA"/>
        </w:rPr>
        <w:t>Таблиця 2.3</w:t>
      </w:r>
    </w:p>
    <w:p w:rsidR="00B37265" w:rsidRPr="00400BAB" w:rsidRDefault="00B37265" w:rsidP="00671574">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lang w:val="uk-UA"/>
        </w:rPr>
        <w:t>Динаміка виручки підприємств сільського господарства України за 2021 – 2025 рр., млрд. грн</w:t>
      </w:r>
    </w:p>
    <w:tbl>
      <w:tblPr>
        <w:tblW w:w="940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125"/>
        <w:gridCol w:w="847"/>
        <w:gridCol w:w="709"/>
        <w:gridCol w:w="850"/>
        <w:gridCol w:w="851"/>
        <w:gridCol w:w="992"/>
        <w:gridCol w:w="1609"/>
        <w:gridCol w:w="1418"/>
      </w:tblGrid>
      <w:tr w:rsidR="00B37265" w:rsidRPr="00400BAB" w:rsidTr="00116DD6">
        <w:trPr>
          <w:cantSplit/>
          <w:trHeight w:val="315"/>
          <w:tblHeader/>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Назва підприємства</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2021</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2023</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 xml:space="preserve">2024 </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 xml:space="preserve">2025 </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Абсолютні зміни</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Відносні зміни</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Kernel</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152,4</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114,2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120,6</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128,4</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134,8</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-17,6</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-11,55%</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M</w:t>
            </w:r>
            <w:r w:rsidRPr="00400BAB">
              <w:rPr>
                <w:rFonts w:ascii="Times New Roman" w:hAnsi="Times New Roman"/>
                <w:lang w:val="uk-UA"/>
              </w:rPr>
              <w:t>ХП</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67,8</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72,5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85,2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90,8</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94,5</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26,7</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39,38%</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Astarta-Kyiv</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14,2</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16,5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18,9</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20,4</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22,1</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7,9</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55,63%</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Nibulon</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40,5</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22,4</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25,6</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28,9</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-11,6</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-28,64%</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Continental Farmers</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12,6</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13,1</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13,8</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14,5</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15,2</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2,6</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20,63%</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Agroprosperis</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35,4</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28,6</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31,2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33,5</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35,8</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0,4</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1,13%</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IMC</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5,2</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5,4</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5,9</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6,2</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19,23%</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Ukrlandfarming</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28,4</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15,8</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16,4</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-42,25%</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HarvEast Holding</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4,8</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2,1</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2,4</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3,2</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-1,6</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-33,33%</w:t>
            </w:r>
          </w:p>
        </w:tc>
      </w:tr>
      <w:tr w:rsidR="00B37265" w:rsidRPr="00400BAB" w:rsidTr="00116DD6">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Agroliga Group</w:t>
            </w:r>
          </w:p>
        </w:tc>
        <w:tc>
          <w:tcPr>
            <w:tcW w:w="847"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w:t>
            </w:r>
          </w:p>
        </w:tc>
        <w:tc>
          <w:tcPr>
            <w:tcW w:w="7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1,6</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1,9</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2,1</w:t>
            </w:r>
          </w:p>
        </w:tc>
        <w:tc>
          <w:tcPr>
            <w:tcW w:w="992"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2,3</w:t>
            </w:r>
          </w:p>
        </w:tc>
        <w:tc>
          <w:tcPr>
            <w:tcW w:w="1609"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0,5</w:t>
            </w:r>
          </w:p>
        </w:tc>
        <w:tc>
          <w:tcPr>
            <w:tcW w:w="1418"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27,78%</w:t>
            </w:r>
          </w:p>
        </w:tc>
      </w:tr>
    </w:tbl>
    <w:p w:rsidR="00B37265" w:rsidRPr="00400BAB" w:rsidRDefault="00B37265" w:rsidP="00671574">
      <w:pPr>
        <w:spacing w:after="0"/>
        <w:ind w:firstLine="709"/>
        <w:jc w:val="both"/>
        <w:rPr>
          <w:rFonts w:ascii="Times New Roman" w:hAnsi="Times New Roman"/>
          <w:i/>
          <w:iCs/>
          <w:color w:val="000000"/>
          <w:lang w:val="uk-UA"/>
        </w:rPr>
      </w:pPr>
      <w:r w:rsidRPr="00400BAB">
        <w:rPr>
          <w:rFonts w:ascii="Times New Roman" w:hAnsi="Times New Roman"/>
          <w:i/>
          <w:iCs/>
          <w:color w:val="000000"/>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p>
    <w:p w:rsidR="0055571B" w:rsidRDefault="0055571B" w:rsidP="0055571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Отримані результати вказують на формування лідерів галузі, до яких варто віднести </w:t>
      </w:r>
      <w:r w:rsidRPr="00400BAB">
        <w:rPr>
          <w:rFonts w:ascii="Times New Roman" w:hAnsi="Times New Roman"/>
          <w:color w:val="000000"/>
          <w:sz w:val="28"/>
          <w:szCs w:val="28"/>
          <w:lang w:val="en-US"/>
        </w:rPr>
        <w:t>Kernel</w:t>
      </w:r>
      <w:r w:rsidRPr="00400BAB">
        <w:rPr>
          <w:rFonts w:ascii="Times New Roman" w:hAnsi="Times New Roman"/>
          <w:color w:val="000000"/>
          <w:sz w:val="28"/>
          <w:szCs w:val="28"/>
          <w:lang w:val="uk-UA"/>
        </w:rPr>
        <w:t xml:space="preserve">, МХП та </w:t>
      </w:r>
      <w:r w:rsidRPr="00400BAB">
        <w:rPr>
          <w:rFonts w:ascii="Times New Roman" w:hAnsi="Times New Roman"/>
          <w:color w:val="000000"/>
          <w:sz w:val="28"/>
          <w:szCs w:val="28"/>
          <w:lang w:val="en-US"/>
        </w:rPr>
        <w:t>Astarta</w:t>
      </w:r>
      <w:r w:rsidRPr="00400BAB">
        <w:rPr>
          <w:rFonts w:ascii="Times New Roman" w:hAnsi="Times New Roman"/>
          <w:color w:val="000000"/>
          <w:sz w:val="28"/>
          <w:szCs w:val="28"/>
          <w:lang w:val="uk-UA"/>
        </w:rPr>
        <w:t>-</w:t>
      </w:r>
      <w:r w:rsidRPr="00400BAB">
        <w:rPr>
          <w:rFonts w:ascii="Times New Roman" w:hAnsi="Times New Roman"/>
          <w:color w:val="000000"/>
          <w:sz w:val="28"/>
          <w:szCs w:val="28"/>
          <w:lang w:val="en-US"/>
        </w:rPr>
        <w:t>Kyiv</w:t>
      </w:r>
      <w:r w:rsidRPr="00400BAB">
        <w:rPr>
          <w:rFonts w:ascii="Times New Roman" w:hAnsi="Times New Roman"/>
          <w:color w:val="000000"/>
          <w:sz w:val="28"/>
          <w:szCs w:val="28"/>
          <w:lang w:val="uk-UA"/>
        </w:rPr>
        <w:t>. Загальна кількість представлених даних підприємств складає станом на 2025 р. 3,5 млн. грн, що забезпечує 45% виручки галузі.</w:t>
      </w:r>
      <w:r>
        <w:rPr>
          <w:rFonts w:ascii="Times New Roman" w:hAnsi="Times New Roman"/>
          <w:color w:val="000000"/>
          <w:sz w:val="28"/>
          <w:szCs w:val="28"/>
          <w:lang w:val="uk-UA"/>
        </w:rPr>
        <w:t xml:space="preserve"> </w:t>
      </w:r>
      <w:r w:rsidRPr="00400BAB">
        <w:rPr>
          <w:rFonts w:ascii="Times New Roman" w:hAnsi="Times New Roman"/>
          <w:color w:val="000000"/>
          <w:sz w:val="28"/>
          <w:szCs w:val="28"/>
          <w:lang w:val="uk-UA"/>
        </w:rPr>
        <w:t xml:space="preserve">Вказані підприємства займають більшу частину серед загальної кількості виробленої сільськогосподарської </w:t>
      </w:r>
      <w:r w:rsidRPr="00400BAB">
        <w:rPr>
          <w:rFonts w:ascii="Times New Roman" w:hAnsi="Times New Roman"/>
          <w:color w:val="000000"/>
          <w:sz w:val="28"/>
          <w:szCs w:val="28"/>
          <w:lang w:val="uk-UA"/>
        </w:rPr>
        <w:lastRenderedPageBreak/>
        <w:t>продукції в Україні, хоча показники за роки дослідження мають деякі коливання.</w:t>
      </w:r>
    </w:p>
    <w:p w:rsidR="00B37265" w:rsidRPr="00400BAB" w:rsidRDefault="00B37265" w:rsidP="00116DD6">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 подальшому для наукового обґрунтування вибору суб’єктів ринку проведеного було здійснено обрахунок коефіцієнту фінансового здоровʼя підприємств галузі, який враховує рівень боргових зобов’язань (</w:t>
      </w:r>
      <w:r w:rsidRPr="00400BAB">
        <w:rPr>
          <w:rFonts w:ascii="Times New Roman" w:hAnsi="Times New Roman"/>
          <w:color w:val="000000"/>
          <w:sz w:val="28"/>
          <w:szCs w:val="28"/>
          <w:lang w:val="en-US"/>
        </w:rPr>
        <w:t>EBITDA</w:t>
      </w:r>
      <w:r w:rsidRPr="00400BAB">
        <w:rPr>
          <w:rFonts w:ascii="Times New Roman" w:hAnsi="Times New Roman"/>
          <w:color w:val="000000"/>
          <w:sz w:val="28"/>
          <w:szCs w:val="28"/>
          <w:lang w:val="uk-UA"/>
        </w:rPr>
        <w:t>) та поточної ліквідності (табл. 2.4). Методично обрахунок здійснювався наступним чином:</w:t>
      </w:r>
    </w:p>
    <w:p w:rsidR="00B37265" w:rsidRPr="00400BAB" w:rsidRDefault="00EB5B4E" w:rsidP="00671574">
      <w:pPr>
        <w:spacing w:after="0" w:line="360" w:lineRule="auto"/>
        <w:jc w:val="center"/>
        <w:rPr>
          <w:rFonts w:ascii="Times New Roman" w:hAnsi="Times New Roman"/>
          <w:color w:val="000000"/>
          <w:sz w:val="28"/>
          <w:szCs w:val="28"/>
          <w:lang w:val="en-US"/>
        </w:rPr>
      </w:pPr>
      <m:oMathPara>
        <m:oMath>
          <m:eqArr>
            <m:eqArrPr>
              <m:maxDist m:val="1"/>
              <m:ctrlPr>
                <w:rPr>
                  <w:rFonts w:ascii="Cambria Math" w:hAnsi="Cambria Math"/>
                  <w:i/>
                  <w:color w:val="000000"/>
                  <w:sz w:val="28"/>
                  <w:szCs w:val="28"/>
                  <w:lang w:val="en-US"/>
                </w:rPr>
              </m:ctrlPr>
            </m:eqArrPr>
            <m:e>
              <m:sSub>
                <m:sSubPr>
                  <m:ctrlPr>
                    <w:rPr>
                      <w:rFonts w:ascii="Cambria Math" w:hAnsi="Cambria Math"/>
                      <w:i/>
                      <w:color w:val="000000"/>
                      <w:sz w:val="28"/>
                      <w:szCs w:val="28"/>
                      <w:lang w:val="uk-UA"/>
                    </w:rPr>
                  </m:ctrlPr>
                </m:sSubPr>
                <m:e>
                  <m:r>
                    <w:rPr>
                      <w:rFonts w:ascii="Cambria Math" w:hAnsi="Cambria Math"/>
                      <w:color w:val="000000"/>
                      <w:sz w:val="28"/>
                      <w:szCs w:val="28"/>
                      <w:lang w:val="en-US"/>
                    </w:rPr>
                    <m:t>S</m:t>
                  </m:r>
                </m:e>
                <m:sub>
                  <m:r>
                    <w:rPr>
                      <w:rFonts w:ascii="Cambria Math" w:hAnsi="Cambria Math"/>
                      <w:color w:val="000000"/>
                      <w:sz w:val="28"/>
                      <w:szCs w:val="28"/>
                      <w:lang w:val="uk-UA"/>
                    </w:rPr>
                    <m:t>f</m:t>
                  </m:r>
                </m:sub>
              </m:sSub>
              <m:r>
                <w:rPr>
                  <w:rFonts w:ascii="Cambria Math" w:hAnsi="Cambria Math"/>
                  <w:color w:val="000000"/>
                  <w:sz w:val="28"/>
                  <w:szCs w:val="28"/>
                  <w:lang w:val="en-US"/>
                </w:rPr>
                <m:t xml:space="preserve">= </m:t>
              </m:r>
              <m:f>
                <m:fPr>
                  <m:ctrlPr>
                    <w:rPr>
                      <w:rFonts w:ascii="Cambria Math" w:hAnsi="Cambria Math"/>
                      <w:i/>
                      <w:color w:val="000000"/>
                      <w:sz w:val="28"/>
                      <w:szCs w:val="28"/>
                      <w:lang w:val="en-US"/>
                    </w:rPr>
                  </m:ctrlPr>
                </m:fPr>
                <m:num>
                  <m:sSub>
                    <m:sSubPr>
                      <m:ctrlPr>
                        <w:rPr>
                          <w:rFonts w:ascii="Cambria Math" w:hAnsi="Cambria Math"/>
                          <w:i/>
                          <w:color w:val="000000"/>
                          <w:sz w:val="28"/>
                          <w:szCs w:val="28"/>
                          <w:lang w:val="en-US"/>
                        </w:rPr>
                      </m:ctrlPr>
                    </m:sSubPr>
                    <m:e>
                      <m:r>
                        <w:rPr>
                          <w:rFonts w:ascii="Cambria Math" w:hAnsi="Cambria Math"/>
                          <w:color w:val="000000"/>
                          <w:sz w:val="28"/>
                          <w:szCs w:val="28"/>
                          <w:lang w:val="en-US"/>
                        </w:rPr>
                        <m:t>K</m:t>
                      </m:r>
                    </m:e>
                    <m:sub>
                      <m:r>
                        <w:rPr>
                          <w:rFonts w:ascii="Cambria Math" w:hAnsi="Cambria Math"/>
                          <w:color w:val="000000"/>
                          <w:sz w:val="28"/>
                          <w:szCs w:val="28"/>
                          <w:lang w:val="en-US"/>
                        </w:rPr>
                        <m:t>out</m:t>
                      </m:r>
                    </m:sub>
                  </m:sSub>
                  <m:r>
                    <w:rPr>
                      <w:rFonts w:ascii="Cambria Math" w:hAnsi="Cambria Math"/>
                      <w:color w:val="000000"/>
                      <w:sz w:val="28"/>
                      <w:szCs w:val="28"/>
                      <w:lang w:val="en-US"/>
                    </w:rPr>
                    <m:t>+</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K</m:t>
                      </m:r>
                    </m:e>
                    <m:sub>
                      <m:r>
                        <w:rPr>
                          <w:rFonts w:ascii="Cambria Math" w:hAnsi="Cambria Math"/>
                          <w:color w:val="000000"/>
                          <w:sz w:val="28"/>
                          <w:szCs w:val="28"/>
                          <w:lang w:val="en-US"/>
                        </w:rPr>
                        <m:t>liq</m:t>
                      </m:r>
                    </m:sub>
                  </m:sSub>
                  <m:r>
                    <w:rPr>
                      <w:rFonts w:ascii="Cambria Math" w:hAnsi="Cambria Math"/>
                      <w:color w:val="000000"/>
                      <w:sz w:val="28"/>
                      <w:szCs w:val="28"/>
                      <w:lang w:val="en-US"/>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1-</m:t>
                      </m:r>
                      <m:f>
                        <m:fPr>
                          <m:type m:val="skw"/>
                          <m:ctrlPr>
                            <w:rPr>
                              <w:rFonts w:ascii="Cambria Math" w:hAnsi="Cambria Math"/>
                              <w:i/>
                              <w:color w:val="000000"/>
                              <w:sz w:val="28"/>
                              <w:szCs w:val="28"/>
                              <w:lang w:val="en-US"/>
                            </w:rPr>
                          </m:ctrlPr>
                        </m:fPr>
                        <m:num>
                          <m:r>
                            <w:rPr>
                              <w:rFonts w:ascii="Cambria Math" w:hAnsi="Cambria Math"/>
                              <w:color w:val="000000"/>
                              <w:sz w:val="28"/>
                              <w:szCs w:val="28"/>
                              <w:lang w:val="en-US"/>
                            </w:rPr>
                            <m:t>D</m:t>
                          </m:r>
                        </m:num>
                        <m:den>
                          <m:r>
                            <w:rPr>
                              <w:rFonts w:ascii="Cambria Math" w:hAnsi="Cambria Math"/>
                              <w:color w:val="000000"/>
                              <w:sz w:val="28"/>
                              <w:szCs w:val="28"/>
                              <w:lang w:val="en-US"/>
                            </w:rPr>
                            <m:t>e</m:t>
                          </m:r>
                        </m:den>
                      </m:f>
                    </m:e>
                  </m:d>
                </m:num>
                <m:den>
                  <m:r>
                    <w:rPr>
                      <w:rFonts w:ascii="Cambria Math" w:hAnsi="Cambria Math"/>
                      <w:color w:val="000000"/>
                      <w:sz w:val="28"/>
                      <w:szCs w:val="28"/>
                      <w:lang w:val="en-US"/>
                    </w:rPr>
                    <m:t>3</m:t>
                  </m:r>
                </m:den>
              </m:f>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2.1</m:t>
                  </m:r>
                </m:e>
              </m:d>
              <m:ctrlPr>
                <w:rPr>
                  <w:rFonts w:ascii="Cambria Math" w:hAnsi="Cambria Math"/>
                  <w:i/>
                  <w:color w:val="000000"/>
                  <w:sz w:val="28"/>
                  <w:szCs w:val="28"/>
                  <w:lang w:val="uk-UA"/>
                </w:rPr>
              </m:ctrlPr>
            </m:e>
          </m:eqArr>
        </m:oMath>
      </m:oMathPara>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де </w:t>
      </w:r>
      <w:r w:rsidRPr="00400BAB">
        <w:rPr>
          <w:rFonts w:ascii="Times New Roman" w:hAnsi="Times New Roman"/>
          <w:color w:val="000000"/>
          <w:sz w:val="28"/>
          <w:szCs w:val="28"/>
          <w:lang w:val="en-US"/>
        </w:rPr>
        <w:t>S</w:t>
      </w:r>
      <w:r w:rsidRPr="00400BAB">
        <w:rPr>
          <w:rFonts w:ascii="Times New Roman" w:hAnsi="Times New Roman"/>
          <w:color w:val="000000"/>
          <w:sz w:val="28"/>
          <w:szCs w:val="28"/>
          <w:vertAlign w:val="subscript"/>
          <w:lang w:val="en-US"/>
        </w:rPr>
        <w:t>f</w:t>
      </w:r>
      <w:r w:rsidRPr="00400BAB">
        <w:rPr>
          <w:rFonts w:ascii="Times New Roman" w:hAnsi="Times New Roman"/>
          <w:color w:val="000000"/>
          <w:sz w:val="28"/>
          <w:szCs w:val="28"/>
          <w:lang w:val="uk-UA"/>
        </w:rPr>
        <w:t xml:space="preserve"> – інтегральний показник фінансової стійкості;</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    </w:t>
      </w:r>
      <w:r w:rsidRPr="00400BAB">
        <w:rPr>
          <w:rFonts w:ascii="Times New Roman" w:hAnsi="Times New Roman"/>
          <w:color w:val="000000"/>
          <w:sz w:val="28"/>
          <w:szCs w:val="28"/>
          <w:lang w:val="en-US"/>
        </w:rPr>
        <w:t>K</w:t>
      </w:r>
      <w:r w:rsidRPr="00400BAB">
        <w:rPr>
          <w:rFonts w:ascii="Times New Roman" w:hAnsi="Times New Roman"/>
          <w:color w:val="000000"/>
          <w:sz w:val="28"/>
          <w:szCs w:val="28"/>
          <w:vertAlign w:val="subscript"/>
          <w:lang w:val="en-US"/>
        </w:rPr>
        <w:t>out</w:t>
      </w:r>
      <w:r w:rsidRPr="00400BAB">
        <w:rPr>
          <w:rFonts w:ascii="Times New Roman" w:hAnsi="Times New Roman"/>
          <w:color w:val="000000"/>
          <w:sz w:val="28"/>
          <w:szCs w:val="28"/>
          <w:vertAlign w:val="subscript"/>
          <w:lang w:val="uk-UA"/>
        </w:rPr>
        <w:t xml:space="preserve"> </w:t>
      </w:r>
      <w:r w:rsidRPr="00400BAB">
        <w:rPr>
          <w:rFonts w:ascii="Times New Roman" w:hAnsi="Times New Roman"/>
          <w:color w:val="000000"/>
          <w:sz w:val="28"/>
          <w:szCs w:val="28"/>
          <w:lang w:val="uk-UA"/>
        </w:rPr>
        <w:t>– коефіцієнт автономії;</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    </w:t>
      </w:r>
      <w:r w:rsidRPr="00400BAB">
        <w:rPr>
          <w:rFonts w:ascii="Times New Roman" w:hAnsi="Times New Roman"/>
          <w:color w:val="000000"/>
          <w:sz w:val="28"/>
          <w:szCs w:val="28"/>
          <w:lang w:val="en-US"/>
        </w:rPr>
        <w:t>K</w:t>
      </w:r>
      <w:r w:rsidRPr="00400BAB">
        <w:rPr>
          <w:rFonts w:ascii="Times New Roman" w:hAnsi="Times New Roman"/>
          <w:color w:val="000000"/>
          <w:sz w:val="28"/>
          <w:szCs w:val="28"/>
          <w:vertAlign w:val="subscript"/>
          <w:lang w:val="en-US"/>
        </w:rPr>
        <w:t>liq</w:t>
      </w:r>
      <w:r w:rsidRPr="00400BAB">
        <w:rPr>
          <w:rFonts w:ascii="Times New Roman" w:hAnsi="Times New Roman"/>
          <w:color w:val="000000"/>
          <w:sz w:val="28"/>
          <w:szCs w:val="28"/>
          <w:lang w:val="uk-UA"/>
        </w:rPr>
        <w:t xml:space="preserve"> – коефіцієнт поточної ліквідності;</w:t>
      </w:r>
    </w:p>
    <w:p w:rsidR="00420030"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    </w:t>
      </w:r>
      <w:r w:rsidRPr="00400BAB">
        <w:rPr>
          <w:rFonts w:ascii="Times New Roman" w:hAnsi="Times New Roman"/>
          <w:color w:val="000000"/>
          <w:sz w:val="28"/>
          <w:szCs w:val="28"/>
          <w:lang w:val="en-US"/>
        </w:rPr>
        <w:t>D</w:t>
      </w:r>
      <w:r w:rsidRPr="00400BAB">
        <w:rPr>
          <w:rFonts w:ascii="Times New Roman" w:hAnsi="Times New Roman"/>
          <w:color w:val="000000"/>
          <w:sz w:val="28"/>
          <w:szCs w:val="28"/>
        </w:rPr>
        <w:t>/</w:t>
      </w:r>
      <w:r w:rsidRPr="00400BAB">
        <w:rPr>
          <w:rFonts w:ascii="Times New Roman" w:hAnsi="Times New Roman"/>
          <w:color w:val="000000"/>
          <w:sz w:val="28"/>
          <w:szCs w:val="28"/>
          <w:lang w:val="en-US"/>
        </w:rPr>
        <w:t>E</w:t>
      </w:r>
      <w:r w:rsidRPr="00400BAB">
        <w:rPr>
          <w:rFonts w:ascii="Times New Roman" w:hAnsi="Times New Roman"/>
          <w:color w:val="000000"/>
          <w:sz w:val="28"/>
          <w:szCs w:val="28"/>
          <w:lang w:val="uk-UA"/>
        </w:rPr>
        <w:t xml:space="preserve"> – співвідношення чистого боргу до </w:t>
      </w:r>
      <w:r w:rsidRPr="00400BAB">
        <w:rPr>
          <w:rFonts w:ascii="Times New Roman" w:hAnsi="Times New Roman"/>
          <w:color w:val="000000"/>
          <w:sz w:val="28"/>
          <w:szCs w:val="28"/>
          <w:lang w:val="en-US"/>
        </w:rPr>
        <w:t>EBITDA</w:t>
      </w:r>
      <w:r w:rsidR="00420030">
        <w:rPr>
          <w:rFonts w:ascii="Times New Roman" w:hAnsi="Times New Roman"/>
          <w:color w:val="000000"/>
          <w:sz w:val="28"/>
          <w:szCs w:val="28"/>
          <w:lang w:val="uk-UA"/>
        </w:rPr>
        <w:t>.</w:t>
      </w:r>
    </w:p>
    <w:p w:rsidR="00B37265" w:rsidRPr="00CB6B34" w:rsidRDefault="00B37265" w:rsidP="00420030">
      <w:pPr>
        <w:spacing w:after="0" w:line="360" w:lineRule="auto"/>
        <w:ind w:firstLine="709"/>
        <w:jc w:val="right"/>
        <w:rPr>
          <w:rFonts w:ascii="Times New Roman" w:hAnsi="Times New Roman"/>
          <w:color w:val="000000"/>
          <w:sz w:val="28"/>
          <w:szCs w:val="28"/>
          <w:lang w:val="uk-UA"/>
        </w:rPr>
      </w:pPr>
      <w:r w:rsidRPr="00CB6B34">
        <w:rPr>
          <w:rFonts w:ascii="Times New Roman" w:hAnsi="Times New Roman"/>
          <w:color w:val="000000"/>
          <w:sz w:val="28"/>
          <w:szCs w:val="28"/>
          <w:lang w:val="uk-UA"/>
        </w:rPr>
        <w:t>Таблиця 2.4</w:t>
      </w:r>
    </w:p>
    <w:p w:rsidR="00B37265" w:rsidRPr="00400BAB" w:rsidRDefault="00B37265" w:rsidP="00671574">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lang w:val="uk-UA"/>
        </w:rPr>
        <w:t>Інтегральний показник фінансової стійкості (</w:t>
      </w:r>
      <w:r w:rsidRPr="00400BAB">
        <w:rPr>
          <w:rFonts w:ascii="Times New Roman" w:hAnsi="Times New Roman"/>
          <w:b/>
          <w:bCs/>
          <w:color w:val="000000"/>
          <w:sz w:val="28"/>
          <w:szCs w:val="28"/>
          <w:lang w:val="en-US"/>
        </w:rPr>
        <w:t>S</w:t>
      </w:r>
      <w:r w:rsidRPr="00400BAB">
        <w:rPr>
          <w:rFonts w:ascii="Times New Roman" w:hAnsi="Times New Roman"/>
          <w:b/>
          <w:bCs/>
          <w:color w:val="000000"/>
          <w:sz w:val="28"/>
          <w:szCs w:val="28"/>
          <w:vertAlign w:val="subscript"/>
          <w:lang w:val="en-US"/>
        </w:rPr>
        <w:t>f</w:t>
      </w:r>
      <w:r w:rsidRPr="00400BAB">
        <w:rPr>
          <w:rFonts w:ascii="Times New Roman" w:hAnsi="Times New Roman"/>
          <w:b/>
          <w:bCs/>
          <w:color w:val="000000"/>
          <w:sz w:val="28"/>
          <w:szCs w:val="28"/>
          <w:lang w:val="uk-UA"/>
        </w:rPr>
        <w:t>) підприємств сільського господарства України за 2021 – 2025 рр.</w:t>
      </w:r>
    </w:p>
    <w:tbl>
      <w:tblPr>
        <w:tblW w:w="940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256"/>
        <w:gridCol w:w="1134"/>
        <w:gridCol w:w="1134"/>
        <w:gridCol w:w="850"/>
        <w:gridCol w:w="851"/>
        <w:gridCol w:w="850"/>
        <w:gridCol w:w="1326"/>
      </w:tblGrid>
      <w:tr w:rsidR="00B37265" w:rsidRPr="00400BAB" w:rsidTr="00116DD6">
        <w:trPr>
          <w:cantSplit/>
          <w:trHeight w:val="315"/>
          <w:tblHeader/>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Підприємство</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2021</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2023</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2024</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2025</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Ранг</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Kernel</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0,85</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0,42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0,68</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0,75</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lang w:val="uk-UA"/>
              </w:rPr>
              <w:t>МХП</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0,78</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0,91</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Astarta-Kyiv</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0,92</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0,91</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0,89</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0,9</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Nibulon</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0,74</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0,15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0,32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0,45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0,52</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IV</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Continental Farmers</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0,81</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0,76</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0,79</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0,82</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III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Agroprosperis</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0,79</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0,77</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III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IMC</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0,88</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0,74</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0,84</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II</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Ukrlandfarming</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0,42</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0,12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0,15</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0,18</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0,21</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V</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HarvEast Holding</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0,75</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0,22</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0,28</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0,35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0,4</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IV</w:t>
            </w:r>
          </w:p>
        </w:tc>
      </w:tr>
      <w:tr w:rsidR="00B37265" w:rsidRPr="00400BAB" w:rsidTr="00116DD6">
        <w:trPr>
          <w:cantSplit/>
          <w:trHeight w:val="315"/>
        </w:trPr>
        <w:tc>
          <w:tcPr>
            <w:tcW w:w="325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Agroliga Group</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0,68</w:t>
            </w:r>
          </w:p>
        </w:tc>
        <w:tc>
          <w:tcPr>
            <w:tcW w:w="113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0,55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0,62</w:t>
            </w:r>
          </w:p>
        </w:tc>
        <w:tc>
          <w:tcPr>
            <w:tcW w:w="851"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0,65</w:t>
            </w:r>
          </w:p>
        </w:tc>
        <w:tc>
          <w:tcPr>
            <w:tcW w:w="85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0,68</w:t>
            </w:r>
          </w:p>
        </w:tc>
        <w:tc>
          <w:tcPr>
            <w:tcW w:w="1326"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IV</w:t>
            </w:r>
          </w:p>
        </w:tc>
      </w:tr>
    </w:tbl>
    <w:p w:rsidR="00B37265" w:rsidRPr="00400BAB" w:rsidRDefault="00B37265" w:rsidP="00671574">
      <w:pPr>
        <w:spacing w:after="0"/>
        <w:ind w:firstLine="709"/>
        <w:jc w:val="both"/>
        <w:rPr>
          <w:rFonts w:ascii="Times New Roman" w:hAnsi="Times New Roman"/>
          <w:i/>
          <w:iCs/>
          <w:color w:val="000000"/>
          <w:lang w:val="uk-UA"/>
        </w:rPr>
      </w:pPr>
      <w:r w:rsidRPr="00400BAB">
        <w:rPr>
          <w:rFonts w:ascii="Times New Roman" w:hAnsi="Times New Roman"/>
          <w:i/>
          <w:iCs/>
          <w:color w:val="000000"/>
          <w:lang w:val="uk-UA"/>
        </w:rPr>
        <w:t>Джерело: обраховано автором за даними підприємств</w:t>
      </w:r>
    </w:p>
    <w:p w:rsidR="00671574" w:rsidRDefault="00671574" w:rsidP="00671574">
      <w:pPr>
        <w:spacing w:after="0" w:line="360" w:lineRule="auto"/>
        <w:ind w:firstLine="709"/>
        <w:jc w:val="both"/>
        <w:rPr>
          <w:rFonts w:ascii="Times New Roman" w:hAnsi="Times New Roman"/>
          <w:color w:val="000000"/>
          <w:sz w:val="28"/>
          <w:szCs w:val="28"/>
          <w:lang w:val="uk-UA"/>
        </w:rPr>
      </w:pPr>
    </w:p>
    <w:p w:rsidR="0055571B" w:rsidRDefault="0055571B" w:rsidP="0055571B">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Отриманими результатами, рейтинг підприємств суттєво не змінився в порівнянні з попередніми обрахунками. Лідерами також визначено </w:t>
      </w:r>
      <w:r w:rsidRPr="00400BAB">
        <w:rPr>
          <w:rFonts w:ascii="Times New Roman" w:hAnsi="Times New Roman"/>
          <w:color w:val="000000"/>
          <w:sz w:val="28"/>
          <w:szCs w:val="28"/>
          <w:lang w:val="en-US"/>
        </w:rPr>
        <w:t>Kernel</w:t>
      </w:r>
      <w:r w:rsidRPr="00400BAB">
        <w:rPr>
          <w:rFonts w:ascii="Times New Roman" w:hAnsi="Times New Roman"/>
          <w:color w:val="000000"/>
          <w:sz w:val="28"/>
          <w:szCs w:val="28"/>
          <w:lang w:val="uk-UA"/>
        </w:rPr>
        <w:t xml:space="preserve">, МХП та </w:t>
      </w:r>
      <w:r w:rsidRPr="00400BAB">
        <w:rPr>
          <w:rFonts w:ascii="Times New Roman" w:hAnsi="Times New Roman"/>
          <w:color w:val="000000"/>
          <w:sz w:val="28"/>
          <w:szCs w:val="28"/>
          <w:lang w:val="en-US"/>
        </w:rPr>
        <w:t>Astarta</w:t>
      </w:r>
      <w:r w:rsidRPr="00400BAB">
        <w:rPr>
          <w:rFonts w:ascii="Times New Roman" w:hAnsi="Times New Roman"/>
          <w:color w:val="000000"/>
          <w:sz w:val="28"/>
          <w:szCs w:val="28"/>
          <w:lang w:val="uk-UA"/>
        </w:rPr>
        <w:t>-</w:t>
      </w:r>
      <w:r w:rsidRPr="00400BAB">
        <w:rPr>
          <w:rFonts w:ascii="Times New Roman" w:hAnsi="Times New Roman"/>
          <w:color w:val="000000"/>
          <w:sz w:val="28"/>
          <w:szCs w:val="28"/>
          <w:lang w:val="en-US"/>
        </w:rPr>
        <w:t>Kyiv</w:t>
      </w:r>
      <w:r w:rsidRPr="00400BAB">
        <w:rPr>
          <w:rFonts w:ascii="Times New Roman" w:hAnsi="Times New Roman"/>
          <w:color w:val="000000"/>
          <w:sz w:val="28"/>
          <w:szCs w:val="28"/>
          <w:lang w:val="uk-UA"/>
        </w:rPr>
        <w:t xml:space="preserve">. Вказані сільськогосподарські компанії обіймають за </w:t>
      </w:r>
      <w:r w:rsidRPr="00400BAB">
        <w:rPr>
          <w:rFonts w:ascii="Times New Roman" w:hAnsi="Times New Roman"/>
          <w:color w:val="000000"/>
          <w:sz w:val="28"/>
          <w:szCs w:val="28"/>
          <w:lang w:val="uk-UA"/>
        </w:rPr>
        <w:lastRenderedPageBreak/>
        <w:t>рангом І та ІІ місце, що вказує на високий рівень фінансової стійкості, навіть з врахуванням негативних факторів впливу зовнішнього середовища.</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Отриманими результатами, рейтинг підприємств суттєво не змінився в порівнянні з попередніми обрахунками. Лідерами також визначено </w:t>
      </w:r>
      <w:r w:rsidRPr="00400BAB">
        <w:rPr>
          <w:rFonts w:ascii="Times New Roman" w:hAnsi="Times New Roman"/>
          <w:color w:val="000000"/>
          <w:sz w:val="28"/>
          <w:szCs w:val="28"/>
          <w:lang w:val="en-US"/>
        </w:rPr>
        <w:t>Kernel</w:t>
      </w:r>
      <w:r w:rsidRPr="00400BAB">
        <w:rPr>
          <w:rFonts w:ascii="Times New Roman" w:hAnsi="Times New Roman"/>
          <w:color w:val="000000"/>
          <w:sz w:val="28"/>
          <w:szCs w:val="28"/>
          <w:lang w:val="uk-UA"/>
        </w:rPr>
        <w:t xml:space="preserve">, МХП та </w:t>
      </w:r>
      <w:r w:rsidRPr="00400BAB">
        <w:rPr>
          <w:rFonts w:ascii="Times New Roman" w:hAnsi="Times New Roman"/>
          <w:color w:val="000000"/>
          <w:sz w:val="28"/>
          <w:szCs w:val="28"/>
          <w:lang w:val="en-US"/>
        </w:rPr>
        <w:t>Astarta</w:t>
      </w:r>
      <w:r w:rsidRPr="00400BAB">
        <w:rPr>
          <w:rFonts w:ascii="Times New Roman" w:hAnsi="Times New Roman"/>
          <w:color w:val="000000"/>
          <w:sz w:val="28"/>
          <w:szCs w:val="28"/>
          <w:lang w:val="uk-UA"/>
        </w:rPr>
        <w:t>-</w:t>
      </w:r>
      <w:r w:rsidRPr="00400BAB">
        <w:rPr>
          <w:rFonts w:ascii="Times New Roman" w:hAnsi="Times New Roman"/>
          <w:color w:val="000000"/>
          <w:sz w:val="28"/>
          <w:szCs w:val="28"/>
          <w:lang w:val="en-US"/>
        </w:rPr>
        <w:t>Kyiv</w:t>
      </w:r>
      <w:r w:rsidRPr="00400BAB">
        <w:rPr>
          <w:rFonts w:ascii="Times New Roman" w:hAnsi="Times New Roman"/>
          <w:color w:val="000000"/>
          <w:sz w:val="28"/>
          <w:szCs w:val="28"/>
          <w:lang w:val="uk-UA"/>
        </w:rPr>
        <w:t>. Вказані сільськогосподарські компанії обіймають за рангом І та ІІ місце, що вказує на високий рівень фінансової стійкості, навіть з врахуванням негативних факторів впливу зовнішнього середовища.</w:t>
      </w:r>
    </w:p>
    <w:p w:rsidR="00116DD6"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Наступним методом аналізу ринку є визначення інтенсивності інвестування, адже виручка та боргові зобов’язання більше характеризують основні бізнес – процеси підприємства та його поточний стан фінансових надходжень. А саме в розрізі нашого наукового дослідження варто звернути увагу на компанії що на постійній основі включають інвестиційні проєкти в свою діяльність та вдало ними управляють. Відповідно, було здійснено обрахунок темпів приросту капітальних інвестицій по відношенню до приросту активів підприємств (табл. 2.5). Вказаний коефіцієнт дозволяє ідентифікувати агро компанії, які постійно стратегічно зростають і розвиваються, а не лише підтримують достатній рівень своєї господарської діяльності. </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Обрахунок було здійснено на основі наступного методологічного підходу:</w:t>
      </w:r>
    </w:p>
    <w:p w:rsidR="00B37265" w:rsidRPr="00400BAB" w:rsidRDefault="00EB5B4E" w:rsidP="00671574">
      <w:pPr>
        <w:spacing w:after="0" w:line="360" w:lineRule="auto"/>
        <w:jc w:val="center"/>
        <w:rPr>
          <w:rFonts w:ascii="Times New Roman" w:hAnsi="Times New Roman"/>
          <w:color w:val="000000"/>
          <w:sz w:val="28"/>
          <w:szCs w:val="28"/>
          <w:lang w:val="en-US"/>
        </w:rPr>
      </w:pPr>
      <m:oMathPara>
        <m:oMath>
          <m:eqArr>
            <m:eqArrPr>
              <m:maxDist m:val="1"/>
              <m:ctrlPr>
                <w:rPr>
                  <w:rFonts w:ascii="Cambria Math" w:hAnsi="Cambria Math"/>
                  <w:i/>
                  <w:color w:val="000000"/>
                  <w:sz w:val="28"/>
                  <w:szCs w:val="28"/>
                  <w:lang w:val="en-US"/>
                </w:rPr>
              </m:ctrlPr>
            </m:eqArrPr>
            <m:e>
              <m:sSub>
                <m:sSubPr>
                  <m:ctrlPr>
                    <w:rPr>
                      <w:rFonts w:ascii="Cambria Math" w:hAnsi="Cambria Math"/>
                      <w:i/>
                      <w:color w:val="000000"/>
                      <w:sz w:val="28"/>
                      <w:szCs w:val="28"/>
                      <w:lang w:val="uk-UA"/>
                    </w:rPr>
                  </m:ctrlPr>
                </m:sSubPr>
                <m:e>
                  <m:r>
                    <w:rPr>
                      <w:rFonts w:ascii="Cambria Math" w:hAnsi="Cambria Math"/>
                      <w:color w:val="000000"/>
                      <w:sz w:val="28"/>
                      <w:szCs w:val="28"/>
                      <w:lang w:val="en-US"/>
                    </w:rPr>
                    <m:t>I</m:t>
                  </m:r>
                </m:e>
                <m:sub>
                  <m:r>
                    <w:rPr>
                      <w:rFonts w:ascii="Cambria Math" w:hAnsi="Cambria Math"/>
                      <w:color w:val="000000"/>
                      <w:sz w:val="28"/>
                      <w:szCs w:val="28"/>
                      <w:lang w:val="uk-UA"/>
                    </w:rPr>
                    <m:t>i</m:t>
                  </m:r>
                  <m:r>
                    <w:rPr>
                      <w:rFonts w:ascii="Cambria Math" w:hAnsi="Cambria Math"/>
                      <w:color w:val="000000"/>
                      <w:sz w:val="28"/>
                      <w:szCs w:val="28"/>
                      <w:lang w:val="en-US"/>
                    </w:rPr>
                    <m:t>nv</m:t>
                  </m:r>
                </m:sub>
              </m:sSub>
              <m:r>
                <w:rPr>
                  <w:rFonts w:ascii="Cambria Math" w:hAnsi="Cambria Math"/>
                  <w:color w:val="000000"/>
                  <w:sz w:val="28"/>
                  <w:szCs w:val="28"/>
                  <w:lang w:val="en-US"/>
                </w:rPr>
                <m:t xml:space="preserve">= </m:t>
              </m:r>
              <m:f>
                <m:fPr>
                  <m:ctrlPr>
                    <w:rPr>
                      <w:rFonts w:ascii="Cambria Math" w:hAnsi="Cambria Math"/>
                      <w:i/>
                      <w:color w:val="000000"/>
                      <w:sz w:val="28"/>
                      <w:szCs w:val="28"/>
                      <w:lang w:val="en-US"/>
                    </w:rPr>
                  </m:ctrlPr>
                </m:fPr>
                <m:num>
                  <m:r>
                    <w:rPr>
                      <w:rFonts w:ascii="Cambria Math" w:hAnsi="Cambria Math"/>
                      <w:color w:val="000000"/>
                      <w:sz w:val="28"/>
                      <w:szCs w:val="28"/>
                      <w:lang w:val="en-US"/>
                    </w:rPr>
                    <m:t>CAPEX</m:t>
                  </m:r>
                </m:num>
                <m:den>
                  <m:r>
                    <w:rPr>
                      <w:rFonts w:ascii="Cambria Math" w:hAnsi="Cambria Math"/>
                      <w:color w:val="000000"/>
                      <w:sz w:val="28"/>
                      <w:szCs w:val="28"/>
                      <w:lang w:val="en-US"/>
                    </w:rPr>
                    <m:t>A</m:t>
                  </m:r>
                </m:den>
              </m:f>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2.2</m:t>
                  </m:r>
                </m:e>
              </m:d>
              <m:ctrlPr>
                <w:rPr>
                  <w:rFonts w:ascii="Cambria Math" w:hAnsi="Cambria Math"/>
                  <w:i/>
                  <w:color w:val="000000"/>
                  <w:sz w:val="28"/>
                  <w:szCs w:val="28"/>
                  <w:lang w:val="uk-UA"/>
                </w:rPr>
              </m:ctrlPr>
            </m:e>
          </m:eqArr>
        </m:oMath>
      </m:oMathPara>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де </w:t>
      </w:r>
      <w:r w:rsidRPr="00400BAB">
        <w:rPr>
          <w:rFonts w:ascii="Times New Roman" w:hAnsi="Times New Roman"/>
          <w:color w:val="000000"/>
          <w:sz w:val="28"/>
          <w:szCs w:val="28"/>
          <w:lang w:val="en-US"/>
        </w:rPr>
        <w:t>I</w:t>
      </w:r>
      <w:r w:rsidRPr="00400BAB">
        <w:rPr>
          <w:rFonts w:ascii="Times New Roman" w:hAnsi="Times New Roman"/>
          <w:color w:val="000000"/>
          <w:sz w:val="28"/>
          <w:szCs w:val="28"/>
          <w:vertAlign w:val="subscript"/>
          <w:lang w:val="en-US"/>
        </w:rPr>
        <w:t>inv</w:t>
      </w:r>
      <w:r w:rsidRPr="00400BAB">
        <w:rPr>
          <w:rFonts w:ascii="Times New Roman" w:hAnsi="Times New Roman"/>
          <w:color w:val="000000"/>
          <w:sz w:val="28"/>
          <w:szCs w:val="28"/>
          <w:lang w:val="uk-UA"/>
        </w:rPr>
        <w:t xml:space="preserve"> – коефіцієнт інтенсивності інвестування;</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    </w:t>
      </w:r>
      <w:r w:rsidRPr="00400BAB">
        <w:rPr>
          <w:rFonts w:ascii="Times New Roman" w:hAnsi="Times New Roman"/>
          <w:color w:val="000000"/>
          <w:sz w:val="28"/>
          <w:szCs w:val="28"/>
          <w:lang w:val="en-US"/>
        </w:rPr>
        <w:t>CAPEX</w:t>
      </w:r>
      <w:r w:rsidRPr="00400BAB">
        <w:rPr>
          <w:rFonts w:ascii="Times New Roman" w:hAnsi="Times New Roman"/>
          <w:color w:val="000000"/>
          <w:sz w:val="28"/>
          <w:szCs w:val="28"/>
        </w:rPr>
        <w:t xml:space="preserve"> – </w:t>
      </w:r>
      <w:r w:rsidRPr="00400BAB">
        <w:rPr>
          <w:rFonts w:ascii="Times New Roman" w:hAnsi="Times New Roman"/>
          <w:color w:val="000000"/>
          <w:sz w:val="28"/>
          <w:szCs w:val="28"/>
          <w:lang w:val="uk-UA"/>
        </w:rPr>
        <w:t>капітальні витрати підприємства за звітний період;</w:t>
      </w:r>
    </w:p>
    <w:p w:rsidR="00420030" w:rsidRDefault="00B37265" w:rsidP="00420030">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    А – сума а</w:t>
      </w:r>
      <w:r w:rsidR="00420030">
        <w:rPr>
          <w:rFonts w:ascii="Times New Roman" w:hAnsi="Times New Roman"/>
          <w:color w:val="000000"/>
          <w:sz w:val="28"/>
          <w:szCs w:val="28"/>
          <w:lang w:val="uk-UA"/>
        </w:rPr>
        <w:t>мортизації необоротних активів.</w:t>
      </w:r>
    </w:p>
    <w:p w:rsidR="0055571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В загальному розумінні серед всіх досліджуваних підприємств отримано досить різні результати, які вказують на взаємодоповнюючі моделі реалізації економічного механізму розвитку інвестиційної привабливості. Так, компанія </w:t>
      </w:r>
      <w:r w:rsidRPr="00400BAB">
        <w:rPr>
          <w:rFonts w:ascii="Times New Roman" w:hAnsi="Times New Roman"/>
          <w:color w:val="000000"/>
          <w:sz w:val="28"/>
          <w:szCs w:val="28"/>
          <w:lang w:val="en-US"/>
        </w:rPr>
        <w:t>Kernel</w:t>
      </w:r>
      <w:r w:rsidRPr="00400BAB">
        <w:rPr>
          <w:rFonts w:ascii="Times New Roman" w:hAnsi="Times New Roman"/>
          <w:color w:val="000000"/>
          <w:sz w:val="28"/>
          <w:szCs w:val="28"/>
          <w:lang w:val="uk-UA"/>
        </w:rPr>
        <w:t xml:space="preserve"> має високий показник інфраструктурно – логістичного </w:t>
      </w:r>
      <w:r w:rsidRPr="00400BAB">
        <w:rPr>
          <w:rFonts w:ascii="Times New Roman" w:hAnsi="Times New Roman"/>
          <w:color w:val="000000"/>
          <w:sz w:val="28"/>
          <w:szCs w:val="28"/>
          <w:lang w:val="uk-UA"/>
        </w:rPr>
        <w:lastRenderedPageBreak/>
        <w:t xml:space="preserve">потенціалу, що відповідає важливому показнику експортної орієнтації економіки країни. </w:t>
      </w:r>
    </w:p>
    <w:p w:rsidR="0055571B" w:rsidRPr="00CB6B34" w:rsidRDefault="0055571B" w:rsidP="0055571B">
      <w:pPr>
        <w:spacing w:after="0" w:line="360" w:lineRule="auto"/>
        <w:ind w:firstLine="709"/>
        <w:jc w:val="right"/>
        <w:rPr>
          <w:rFonts w:ascii="Times New Roman" w:hAnsi="Times New Roman"/>
          <w:color w:val="000000"/>
          <w:sz w:val="28"/>
          <w:szCs w:val="28"/>
          <w:lang w:val="uk-UA"/>
        </w:rPr>
      </w:pPr>
      <w:r w:rsidRPr="00CB6B34">
        <w:rPr>
          <w:rFonts w:ascii="Times New Roman" w:hAnsi="Times New Roman"/>
          <w:color w:val="000000"/>
          <w:sz w:val="28"/>
          <w:szCs w:val="28"/>
          <w:lang w:val="uk-UA"/>
        </w:rPr>
        <w:t>Таблиця 2.5</w:t>
      </w:r>
    </w:p>
    <w:p w:rsidR="0055571B" w:rsidRPr="00400BAB" w:rsidRDefault="0055571B" w:rsidP="0055571B">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lang w:val="uk-UA"/>
        </w:rPr>
        <w:t>Коефіцієнт інтенсивності інвестування (І</w:t>
      </w:r>
      <w:r w:rsidRPr="00400BAB">
        <w:rPr>
          <w:rFonts w:ascii="Times New Roman" w:hAnsi="Times New Roman"/>
          <w:b/>
          <w:bCs/>
          <w:color w:val="000000"/>
          <w:sz w:val="28"/>
          <w:szCs w:val="28"/>
          <w:vertAlign w:val="subscript"/>
          <w:lang w:val="en-US"/>
        </w:rPr>
        <w:t>inv</w:t>
      </w:r>
      <w:r w:rsidRPr="00400BAB">
        <w:rPr>
          <w:rFonts w:ascii="Times New Roman" w:hAnsi="Times New Roman"/>
          <w:b/>
          <w:bCs/>
          <w:color w:val="000000"/>
          <w:sz w:val="28"/>
          <w:szCs w:val="28"/>
          <w:lang w:val="uk-UA"/>
        </w:rPr>
        <w:t>) підприємств сільського господарства України за 2021 – 2025 рр. (безрозмірний показник)</w:t>
      </w:r>
    </w:p>
    <w:tbl>
      <w:tblPr>
        <w:tblW w:w="920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122"/>
        <w:gridCol w:w="992"/>
        <w:gridCol w:w="992"/>
        <w:gridCol w:w="992"/>
        <w:gridCol w:w="1134"/>
        <w:gridCol w:w="1134"/>
        <w:gridCol w:w="1843"/>
      </w:tblGrid>
      <w:tr w:rsidR="0055571B" w:rsidRPr="00400BAB" w:rsidTr="00EB5B4E">
        <w:trPr>
          <w:cantSplit/>
          <w:trHeight w:val="315"/>
          <w:tblHeader/>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Підприємство</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2021</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2022</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2023</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2024</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2025</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Тип активності</w:t>
            </w:r>
          </w:p>
        </w:tc>
      </w:tr>
      <w:tr w:rsidR="0055571B" w:rsidRPr="00400BAB" w:rsidTr="00EB5B4E">
        <w:trPr>
          <w:cantSplit/>
          <w:trHeight w:val="315"/>
        </w:trPr>
        <w:tc>
          <w:tcPr>
            <w:tcW w:w="2122"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1</w:t>
            </w:r>
          </w:p>
        </w:tc>
        <w:tc>
          <w:tcPr>
            <w:tcW w:w="992"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2</w:t>
            </w:r>
          </w:p>
        </w:tc>
        <w:tc>
          <w:tcPr>
            <w:tcW w:w="992"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3</w:t>
            </w:r>
          </w:p>
        </w:tc>
        <w:tc>
          <w:tcPr>
            <w:tcW w:w="992"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4</w:t>
            </w:r>
          </w:p>
        </w:tc>
        <w:tc>
          <w:tcPr>
            <w:tcW w:w="1134"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5</w:t>
            </w:r>
          </w:p>
        </w:tc>
        <w:tc>
          <w:tcPr>
            <w:tcW w:w="1134"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6</w:t>
            </w:r>
          </w:p>
        </w:tc>
        <w:tc>
          <w:tcPr>
            <w:tcW w:w="1843" w:type="dxa"/>
            <w:tcMar>
              <w:top w:w="30" w:type="dxa"/>
              <w:left w:w="45" w:type="dxa"/>
              <w:bottom w:w="30" w:type="dxa"/>
              <w:right w:w="45" w:type="dxa"/>
            </w:tcMar>
            <w:vAlign w:val="center"/>
          </w:tcPr>
          <w:p w:rsidR="0055571B" w:rsidRPr="00400BAB" w:rsidRDefault="0055571B" w:rsidP="00EB5B4E">
            <w:pPr>
              <w:spacing w:after="0"/>
              <w:jc w:val="center"/>
              <w:rPr>
                <w:rFonts w:ascii="Times New Roman" w:hAnsi="Times New Roman"/>
                <w:lang w:val="uk-UA"/>
              </w:rPr>
            </w:pPr>
            <w:r w:rsidRPr="00400BAB">
              <w:rPr>
                <w:rFonts w:ascii="Times New Roman" w:hAnsi="Times New Roman"/>
                <w:lang w:val="uk-UA"/>
              </w:rPr>
              <w:t>7</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Kernel</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1,85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0,65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0,92</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1,3</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Наздоганяюча</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lang w:val="uk-UA"/>
              </w:rPr>
            </w:pPr>
            <w:r w:rsidRPr="00400BAB">
              <w:rPr>
                <w:rFonts w:ascii="Times New Roman" w:hAnsi="Times New Roman"/>
              </w:rPr>
              <w:t>M</w:t>
            </w:r>
            <w:r w:rsidRPr="00400BAB">
              <w:rPr>
                <w:rFonts w:ascii="Times New Roman" w:hAnsi="Times New Roman"/>
                <w:lang w:val="uk-UA"/>
              </w:rPr>
              <w:t>ХП</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1,42</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1,55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1,72</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1,8</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Стратегічна</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Astarta-Kyiv</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1,2</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1,35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1,45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1,52</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Раціональна</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Nibulon</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2,1</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0,35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0,55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0,85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1,05</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Реабілітаційна</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Continental Farmers</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1,25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0,95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1,18</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Підтримуюча</w:t>
            </w:r>
          </w:p>
        </w:tc>
      </w:tr>
      <w:tr w:rsidR="0055571B" w:rsidRPr="00400BAB" w:rsidTr="00EB5B4E">
        <w:trPr>
          <w:cantSplit/>
          <w:trHeight w:val="315"/>
        </w:trPr>
        <w:tc>
          <w:tcPr>
            <w:tcW w:w="212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Agroprosperis</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1,15</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0,8</w:t>
            </w:r>
          </w:p>
        </w:tc>
        <w:tc>
          <w:tcPr>
            <w:tcW w:w="992"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0,95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1,05</w:t>
            </w:r>
          </w:p>
        </w:tc>
        <w:tc>
          <w:tcPr>
            <w:tcW w:w="1134"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1,1</w:t>
            </w:r>
          </w:p>
        </w:tc>
        <w:tc>
          <w:tcPr>
            <w:tcW w:w="1843" w:type="dxa"/>
            <w:tcMar>
              <w:top w:w="30" w:type="dxa"/>
              <w:left w:w="45" w:type="dxa"/>
              <w:bottom w:w="30" w:type="dxa"/>
              <w:right w:w="45" w:type="dxa"/>
            </w:tcMar>
            <w:vAlign w:val="center"/>
            <w:hideMark/>
          </w:tcPr>
          <w:p w:rsidR="0055571B" w:rsidRPr="00400BAB" w:rsidRDefault="0055571B" w:rsidP="00EB5B4E">
            <w:pPr>
              <w:spacing w:after="0"/>
              <w:jc w:val="center"/>
              <w:rPr>
                <w:rFonts w:ascii="Times New Roman" w:hAnsi="Times New Roman"/>
              </w:rPr>
            </w:pPr>
            <w:r w:rsidRPr="00400BAB">
              <w:rPr>
                <w:rFonts w:ascii="Times New Roman" w:hAnsi="Times New Roman"/>
              </w:rPr>
              <w:t>Консервативна</w:t>
            </w:r>
          </w:p>
        </w:tc>
      </w:tr>
      <w:tr w:rsidR="0055571B" w:rsidRPr="00400BAB" w:rsidTr="00EB5B4E">
        <w:trPr>
          <w:cantSplit/>
          <w:trHeight w:val="315"/>
        </w:trPr>
        <w:tc>
          <w:tcPr>
            <w:tcW w:w="212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IMC</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1,35</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0,85</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1,05</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1,2</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1,35</w:t>
            </w:r>
          </w:p>
        </w:tc>
        <w:tc>
          <w:tcPr>
            <w:tcW w:w="1843"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Помірна</w:t>
            </w:r>
          </w:p>
        </w:tc>
      </w:tr>
      <w:tr w:rsidR="0055571B" w:rsidRPr="00400BAB" w:rsidTr="00EB5B4E">
        <w:trPr>
          <w:cantSplit/>
          <w:trHeight w:val="315"/>
        </w:trPr>
        <w:tc>
          <w:tcPr>
            <w:tcW w:w="212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Ukrlandfarming</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0,65</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0,05</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0,1</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0,15</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0,2</w:t>
            </w:r>
          </w:p>
        </w:tc>
        <w:tc>
          <w:tcPr>
            <w:tcW w:w="1843"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Регресивна</w:t>
            </w:r>
          </w:p>
        </w:tc>
      </w:tr>
      <w:tr w:rsidR="0055571B" w:rsidRPr="00400BAB" w:rsidTr="00EB5B4E">
        <w:trPr>
          <w:cantSplit/>
          <w:trHeight w:val="315"/>
        </w:trPr>
        <w:tc>
          <w:tcPr>
            <w:tcW w:w="212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HarvEast Holding</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1,1</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0,2</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0,35</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0,45</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0,55</w:t>
            </w:r>
          </w:p>
        </w:tc>
        <w:tc>
          <w:tcPr>
            <w:tcW w:w="1843"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Вимушена</w:t>
            </w:r>
          </w:p>
        </w:tc>
      </w:tr>
      <w:tr w:rsidR="0055571B" w:rsidRPr="00400BAB" w:rsidTr="00EB5B4E">
        <w:trPr>
          <w:cantSplit/>
          <w:trHeight w:val="315"/>
        </w:trPr>
        <w:tc>
          <w:tcPr>
            <w:tcW w:w="212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Agroliga Group</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1,05</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0,82</w:t>
            </w:r>
          </w:p>
        </w:tc>
        <w:tc>
          <w:tcPr>
            <w:tcW w:w="992"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0,92</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0,98</w:t>
            </w:r>
          </w:p>
        </w:tc>
        <w:tc>
          <w:tcPr>
            <w:tcW w:w="1134"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1,02</w:t>
            </w:r>
          </w:p>
        </w:tc>
        <w:tc>
          <w:tcPr>
            <w:tcW w:w="1843" w:type="dxa"/>
            <w:tcMar>
              <w:top w:w="30" w:type="dxa"/>
              <w:left w:w="45" w:type="dxa"/>
              <w:bottom w:w="30" w:type="dxa"/>
              <w:right w:w="45" w:type="dxa"/>
            </w:tcMar>
          </w:tcPr>
          <w:p w:rsidR="0055571B" w:rsidRPr="00C32176" w:rsidRDefault="0055571B" w:rsidP="00EB5B4E">
            <w:pPr>
              <w:jc w:val="center"/>
              <w:rPr>
                <w:rFonts w:ascii="Times New Roman" w:hAnsi="Times New Roman"/>
                <w:sz w:val="24"/>
                <w:szCs w:val="24"/>
              </w:rPr>
            </w:pPr>
            <w:r w:rsidRPr="00C32176">
              <w:rPr>
                <w:rFonts w:ascii="Times New Roman" w:hAnsi="Times New Roman"/>
                <w:sz w:val="24"/>
                <w:szCs w:val="24"/>
              </w:rPr>
              <w:t>Стабільна</w:t>
            </w:r>
          </w:p>
        </w:tc>
      </w:tr>
    </w:tbl>
    <w:p w:rsidR="0055571B" w:rsidRDefault="0055571B" w:rsidP="0055571B">
      <w:pPr>
        <w:spacing w:after="0"/>
        <w:ind w:firstLine="709"/>
        <w:rPr>
          <w:rFonts w:ascii="Times New Roman" w:hAnsi="Times New Roman"/>
          <w:i/>
          <w:iCs/>
          <w:color w:val="000000"/>
          <w:lang w:val="uk-UA"/>
        </w:rPr>
      </w:pPr>
      <w:r w:rsidRPr="00400BAB">
        <w:rPr>
          <w:rFonts w:ascii="Times New Roman" w:hAnsi="Times New Roman"/>
          <w:i/>
          <w:iCs/>
          <w:color w:val="000000"/>
          <w:lang w:val="uk-UA"/>
        </w:rPr>
        <w:t>Джерело: обрахова</w:t>
      </w:r>
      <w:r>
        <w:rPr>
          <w:rFonts w:ascii="Times New Roman" w:hAnsi="Times New Roman"/>
          <w:i/>
          <w:iCs/>
          <w:color w:val="000000"/>
          <w:lang w:val="uk-UA"/>
        </w:rPr>
        <w:t>но автором за даними підприємст</w:t>
      </w:r>
    </w:p>
    <w:p w:rsidR="0055571B" w:rsidRPr="00C32176" w:rsidRDefault="0055571B" w:rsidP="0055571B">
      <w:pPr>
        <w:spacing w:after="0"/>
        <w:rPr>
          <w:rFonts w:ascii="Times New Roman" w:hAnsi="Times New Roman"/>
          <w:i/>
          <w:iCs/>
          <w:color w:val="000000"/>
          <w:lang w:val="uk-UA"/>
        </w:rPr>
      </w:pP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 xml:space="preserve">Тобто як складова економічного механізму інвестиційної привабливості, компанія застосовує важливі інструменти для швидкої адаптації та відповіді на зовнішні негативні впливи. Аграрна компанія МХП посідає за всіма показниками другу сходинку, але отримані результати аналізу її діяльності допомогли продовжити висунути гіпотезу (розділ 1) щодо переваг вертикально інтегрованих суб’єктів створювати продукт з більшою доданою цінністю, а відповідно, і мати більше інвестиційних перевагах серед конкурентів. Для даного підприємства високий результат інтенсивності інвестування в період кризи (2022 – 2024 рр.) засвідчує внутрішні процеси інвестування, що знижує залежність від зовнішніх джерел та кредиторів. Також варто відмітити компанію </w:t>
      </w:r>
      <w:r w:rsidRPr="00400BAB">
        <w:rPr>
          <w:rFonts w:ascii="Times New Roman" w:hAnsi="Times New Roman"/>
          <w:color w:val="000000"/>
          <w:sz w:val="28"/>
          <w:szCs w:val="28"/>
          <w:lang w:val="en-US"/>
        </w:rPr>
        <w:t>Astarta</w:t>
      </w:r>
      <w:r w:rsidRPr="00400BAB">
        <w:rPr>
          <w:rFonts w:ascii="Times New Roman" w:hAnsi="Times New Roman"/>
          <w:color w:val="000000"/>
          <w:sz w:val="28"/>
          <w:szCs w:val="28"/>
          <w:lang w:val="uk-UA"/>
        </w:rPr>
        <w:t>-</w:t>
      </w:r>
      <w:r w:rsidRPr="00400BAB">
        <w:rPr>
          <w:rFonts w:ascii="Times New Roman" w:hAnsi="Times New Roman"/>
          <w:color w:val="000000"/>
          <w:sz w:val="28"/>
          <w:szCs w:val="28"/>
          <w:lang w:val="en-US"/>
        </w:rPr>
        <w:t>Kyiv</w:t>
      </w:r>
      <w:r w:rsidRPr="00400BAB">
        <w:rPr>
          <w:rFonts w:ascii="Times New Roman" w:hAnsi="Times New Roman"/>
          <w:color w:val="000000"/>
          <w:sz w:val="28"/>
          <w:szCs w:val="28"/>
          <w:lang w:val="uk-UA"/>
        </w:rPr>
        <w:t xml:space="preserve">, яка характеризується високими стандартами сталого розвитку та енергонезалежності. Відповідно, таке спрямування робить підприємство </w:t>
      </w:r>
      <w:r w:rsidRPr="00400BAB">
        <w:rPr>
          <w:rFonts w:ascii="Times New Roman" w:hAnsi="Times New Roman"/>
          <w:color w:val="000000"/>
          <w:sz w:val="28"/>
          <w:szCs w:val="28"/>
          <w:lang w:val="uk-UA"/>
        </w:rPr>
        <w:lastRenderedPageBreak/>
        <w:t>інвестиційно привабливим для європейських інвесторів, адже підтримка процесу декарбонізації є вагомим аргументом для іноземних фінансових вливань. Відповідно, сукупно проведений аналіз вказує на чітке виокремлення лідерів ринку за показниками трансформаційних змін, а саме: логістична стійкість, технологічна зрілість, екологічна відповідальність та створення конкурентного продукту галузі.</w:t>
      </w:r>
    </w:p>
    <w:p w:rsidR="00C32176" w:rsidRDefault="00B37265" w:rsidP="00C32176">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 подальшому було здійснено аналіз досліджуваних підприємств в межах результативності їх фінансово – господарської діяльності за 2021 – 2025 рр. (табл. 2.6).</w:t>
      </w:r>
    </w:p>
    <w:p w:rsidR="00B37265" w:rsidRPr="00CB6B34" w:rsidRDefault="00B37265" w:rsidP="00C32176">
      <w:pPr>
        <w:spacing w:after="0" w:line="360" w:lineRule="auto"/>
        <w:ind w:firstLine="709"/>
        <w:jc w:val="right"/>
        <w:rPr>
          <w:rFonts w:ascii="Times New Roman" w:hAnsi="Times New Roman"/>
          <w:color w:val="000000"/>
          <w:sz w:val="28"/>
          <w:szCs w:val="28"/>
          <w:lang w:val="uk-UA"/>
        </w:rPr>
      </w:pPr>
      <w:r w:rsidRPr="00CB6B34">
        <w:rPr>
          <w:rFonts w:ascii="Times New Roman" w:hAnsi="Times New Roman"/>
          <w:color w:val="000000"/>
          <w:sz w:val="28"/>
          <w:szCs w:val="28"/>
          <w:lang w:val="uk-UA"/>
        </w:rPr>
        <w:t>Таблиця 2.6</w:t>
      </w:r>
    </w:p>
    <w:p w:rsidR="00B37265" w:rsidRPr="00400BAB" w:rsidRDefault="00B37265" w:rsidP="00671574">
      <w:pPr>
        <w:spacing w:after="0" w:line="360" w:lineRule="auto"/>
        <w:jc w:val="center"/>
        <w:rPr>
          <w:rFonts w:ascii="Times New Roman" w:hAnsi="Times New Roman"/>
          <w:b/>
          <w:bCs/>
          <w:color w:val="000000"/>
          <w:sz w:val="28"/>
          <w:szCs w:val="28"/>
          <w:lang w:val="uk-UA"/>
        </w:rPr>
      </w:pPr>
      <w:r w:rsidRPr="00400BAB">
        <w:rPr>
          <w:rFonts w:ascii="Times New Roman" w:hAnsi="Times New Roman"/>
          <w:b/>
          <w:bCs/>
          <w:sz w:val="28"/>
          <w:szCs w:val="28"/>
          <w:lang w:val="uk-UA"/>
        </w:rPr>
        <w:t xml:space="preserve">Порівняльний аналіз господарської діяльності </w:t>
      </w:r>
      <w:r w:rsidRPr="00400BAB">
        <w:rPr>
          <w:rFonts w:ascii="Times New Roman" w:hAnsi="Times New Roman"/>
          <w:b/>
          <w:bCs/>
          <w:sz w:val="28"/>
          <w:szCs w:val="28"/>
          <w:lang w:val="en-US"/>
        </w:rPr>
        <w:t>Kernel</w:t>
      </w:r>
      <w:r w:rsidRPr="00400BAB">
        <w:rPr>
          <w:rFonts w:ascii="Times New Roman" w:hAnsi="Times New Roman"/>
          <w:b/>
          <w:bCs/>
          <w:sz w:val="28"/>
          <w:szCs w:val="28"/>
          <w:lang w:val="uk-UA"/>
        </w:rPr>
        <w:t xml:space="preserve">, МХП та </w:t>
      </w:r>
      <w:r w:rsidRPr="00400BAB">
        <w:rPr>
          <w:rFonts w:ascii="Times New Roman" w:hAnsi="Times New Roman"/>
          <w:b/>
          <w:bCs/>
          <w:sz w:val="28"/>
          <w:szCs w:val="28"/>
          <w:lang w:val="en-US"/>
        </w:rPr>
        <w:t>Astarta</w:t>
      </w:r>
      <w:r w:rsidRPr="00400BAB">
        <w:rPr>
          <w:rFonts w:ascii="Times New Roman" w:hAnsi="Times New Roman"/>
          <w:b/>
          <w:bCs/>
          <w:sz w:val="28"/>
          <w:szCs w:val="28"/>
          <w:lang w:val="uk-UA"/>
        </w:rPr>
        <w:t>-</w:t>
      </w:r>
      <w:r w:rsidRPr="00400BAB">
        <w:rPr>
          <w:rFonts w:ascii="Times New Roman" w:hAnsi="Times New Roman"/>
          <w:b/>
          <w:bCs/>
          <w:sz w:val="28"/>
          <w:szCs w:val="28"/>
          <w:lang w:val="en-US"/>
        </w:rPr>
        <w:t>Kyiv</w:t>
      </w:r>
      <w:r w:rsidRPr="00400BAB">
        <w:rPr>
          <w:rFonts w:ascii="Times New Roman" w:hAnsi="Times New Roman"/>
          <w:b/>
          <w:bCs/>
          <w:sz w:val="28"/>
          <w:szCs w:val="28"/>
          <w:lang w:val="uk-UA"/>
        </w:rPr>
        <w:t xml:space="preserve"> за 2021 – 2025 рр., млн. грн</w:t>
      </w:r>
    </w:p>
    <w:tbl>
      <w:tblPr>
        <w:tblW w:w="901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864"/>
        <w:gridCol w:w="750"/>
        <w:gridCol w:w="750"/>
        <w:gridCol w:w="750"/>
        <w:gridCol w:w="750"/>
        <w:gridCol w:w="810"/>
        <w:gridCol w:w="1704"/>
        <w:gridCol w:w="1638"/>
      </w:tblGrid>
      <w:tr w:rsidR="00B37265" w:rsidRPr="00400BAB" w:rsidTr="00B37265">
        <w:trPr>
          <w:cantSplit/>
          <w:trHeight w:val="315"/>
          <w:tblHeader/>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 xml:space="preserve">Підприємство </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2021</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2022</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2023</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2024</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2025</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Відносні зміни 2025 - 2021</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Абс. зміна 2025 - 2021</w:t>
            </w:r>
          </w:p>
        </w:tc>
      </w:tr>
      <w:tr w:rsidR="00B37265" w:rsidRPr="00400BAB" w:rsidTr="00B37265">
        <w:trPr>
          <w:cantSplit/>
          <w:trHeight w:val="315"/>
        </w:trPr>
        <w:tc>
          <w:tcPr>
            <w:tcW w:w="0" w:type="auto"/>
            <w:gridSpan w:val="8"/>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 xml:space="preserve">Kernel </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дохід</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152410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114220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120650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128400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134800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-17610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lang w:val="uk-UA"/>
              </w:rPr>
              <w:t xml:space="preserve">- </w:t>
            </w:r>
            <w:r w:rsidRPr="00400BAB">
              <w:rPr>
                <w:rFonts w:ascii="Times New Roman" w:hAnsi="Times New Roman"/>
              </w:rPr>
              <w:t>11,55%</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прибуток</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18520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3210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10540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11200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12850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-5670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lang w:val="uk-UA"/>
              </w:rPr>
              <w:t xml:space="preserve">- </w:t>
            </w:r>
            <w:r w:rsidRPr="00400BAB">
              <w:rPr>
                <w:rFonts w:ascii="Times New Roman" w:hAnsi="Times New Roman"/>
              </w:rPr>
              <w:t>30,62%</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Активи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148350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132100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140500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145600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152300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3950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2,66%</w:t>
            </w:r>
          </w:p>
        </w:tc>
      </w:tr>
      <w:tr w:rsidR="00B37265" w:rsidRPr="00400BAB" w:rsidTr="00B37265">
        <w:trPr>
          <w:cantSplit/>
          <w:trHeight w:val="315"/>
        </w:trPr>
        <w:tc>
          <w:tcPr>
            <w:tcW w:w="0" w:type="auto"/>
            <w:gridSpan w:val="8"/>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МХ</w:t>
            </w:r>
            <w:r w:rsidRPr="00400BAB">
              <w:rPr>
                <w:rFonts w:ascii="Times New Roman" w:hAnsi="Times New Roman"/>
                <w:lang w:val="uk-UA"/>
              </w:rPr>
              <w:t>П</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дохід</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67840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72530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85210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90850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94500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26660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39,30%</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прибуток</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11240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-580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1260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4550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6800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-4440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lang w:val="uk-UA"/>
              </w:rPr>
              <w:t xml:space="preserve">- </w:t>
            </w:r>
            <w:r w:rsidRPr="00400BAB">
              <w:rPr>
                <w:rFonts w:ascii="Times New Roman" w:hAnsi="Times New Roman"/>
              </w:rPr>
              <w:t>39,50%</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Активи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34110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42560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46780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49200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51500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17390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50,98%</w:t>
            </w:r>
          </w:p>
        </w:tc>
      </w:tr>
      <w:tr w:rsidR="00B37265" w:rsidRPr="00400BAB" w:rsidTr="00B37265">
        <w:trPr>
          <w:cantSplit/>
          <w:trHeight w:val="315"/>
        </w:trPr>
        <w:tc>
          <w:tcPr>
            <w:tcW w:w="0" w:type="auto"/>
            <w:gridSpan w:val="8"/>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Astarta-Kyiv</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дохід</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14180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16540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18920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20450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22100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7920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55,85%</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Чистий прибуток</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3850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2150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2840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3100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3450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-400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lang w:val="uk-UA"/>
              </w:rPr>
              <w:t xml:space="preserve">- </w:t>
            </w:r>
            <w:r w:rsidRPr="00400BAB">
              <w:rPr>
                <w:rFonts w:ascii="Times New Roman" w:hAnsi="Times New Roman"/>
              </w:rPr>
              <w:t>10,39%</w:t>
            </w:r>
          </w:p>
        </w:tc>
      </w:tr>
      <w:tr w:rsidR="00B37265" w:rsidRPr="00400BAB" w:rsidTr="00B37265">
        <w:trPr>
          <w:cantSplit/>
          <w:trHeight w:val="315"/>
        </w:trPr>
        <w:tc>
          <w:tcPr>
            <w:tcW w:w="186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Активи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15020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17230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18550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19800</w:t>
            </w:r>
          </w:p>
        </w:tc>
        <w:tc>
          <w:tcPr>
            <w:tcW w:w="810"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21200</w:t>
            </w:r>
          </w:p>
        </w:tc>
        <w:tc>
          <w:tcPr>
            <w:tcW w:w="1704" w:type="dxa"/>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6180</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41,15%</w:t>
            </w:r>
          </w:p>
        </w:tc>
      </w:tr>
    </w:tbl>
    <w:p w:rsidR="00B37265" w:rsidRPr="00400BAB" w:rsidRDefault="00B37265" w:rsidP="00671574">
      <w:pPr>
        <w:spacing w:after="0" w:line="360" w:lineRule="auto"/>
        <w:ind w:firstLine="709"/>
        <w:jc w:val="both"/>
        <w:rPr>
          <w:rFonts w:ascii="Times New Roman" w:hAnsi="Times New Roman"/>
          <w:i/>
          <w:iCs/>
          <w:color w:val="000000"/>
          <w:lang w:val="uk-UA"/>
        </w:rPr>
      </w:pPr>
      <w:r w:rsidRPr="00400BAB">
        <w:rPr>
          <w:rFonts w:ascii="Times New Roman" w:hAnsi="Times New Roman"/>
          <w:i/>
          <w:iCs/>
          <w:color w:val="000000"/>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p>
    <w:p w:rsidR="0055571B" w:rsidRDefault="0055571B" w:rsidP="0055571B">
      <w:pPr>
        <w:spacing w:after="0" w:line="360" w:lineRule="auto"/>
        <w:ind w:firstLine="709"/>
        <w:jc w:val="both"/>
        <w:rPr>
          <w:rFonts w:ascii="Times New Roman" w:hAnsi="Times New Roman"/>
          <w:sz w:val="28"/>
          <w:szCs w:val="28"/>
          <w:lang w:val="uk-UA"/>
        </w:rPr>
      </w:pPr>
      <w:r w:rsidRPr="00400BAB">
        <w:rPr>
          <w:rFonts w:ascii="Times New Roman" w:hAnsi="Times New Roman"/>
          <w:color w:val="000000"/>
          <w:sz w:val="28"/>
          <w:szCs w:val="28"/>
          <w:lang w:val="uk-UA"/>
        </w:rPr>
        <w:t xml:space="preserve">В результаті обрахунків основних показників прибутковості підприємств за 2021 – 2025 рр. отримано дані, які вказують на значну диференціацію стратегій виживання та розвитку аграрних підприємств. Найбільше значення чистого доходу спостерігається в компанії </w:t>
      </w:r>
      <w:r w:rsidRPr="00400BAB">
        <w:rPr>
          <w:rFonts w:ascii="Times New Roman" w:hAnsi="Times New Roman"/>
          <w:sz w:val="28"/>
          <w:szCs w:val="28"/>
        </w:rPr>
        <w:t>Astarta</w:t>
      </w:r>
      <w:r w:rsidRPr="00400BAB">
        <w:rPr>
          <w:rFonts w:ascii="Times New Roman" w:hAnsi="Times New Roman"/>
          <w:sz w:val="28"/>
          <w:szCs w:val="28"/>
          <w:lang w:val="uk-UA"/>
        </w:rPr>
        <w:t>-</w:t>
      </w:r>
      <w:r w:rsidRPr="00400BAB">
        <w:rPr>
          <w:rFonts w:ascii="Times New Roman" w:hAnsi="Times New Roman"/>
          <w:sz w:val="28"/>
          <w:szCs w:val="28"/>
        </w:rPr>
        <w:t>Kyiv</w:t>
      </w:r>
      <w:r w:rsidRPr="00400BAB">
        <w:rPr>
          <w:rFonts w:ascii="Times New Roman" w:hAnsi="Times New Roman"/>
          <w:sz w:val="28"/>
          <w:szCs w:val="28"/>
          <w:lang w:val="uk-UA"/>
        </w:rPr>
        <w:t xml:space="preserve"> </w:t>
      </w:r>
      <w:r w:rsidRPr="00400BAB">
        <w:rPr>
          <w:rFonts w:ascii="Times New Roman" w:hAnsi="Times New Roman"/>
          <w:sz w:val="28"/>
          <w:szCs w:val="28"/>
          <w:lang w:val="uk-UA"/>
        </w:rPr>
        <w:lastRenderedPageBreak/>
        <w:t>та МХП, де наявні виробничі ланки переробного сегменту та орієнтація як на вітчизняний ринко, так і на експорт продукції з високою доданою вартістю.</w:t>
      </w:r>
    </w:p>
    <w:p w:rsidR="0055571B" w:rsidRPr="00420030" w:rsidRDefault="0055571B" w:rsidP="0055571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Для аграрного підприємства МХП отримання чистого прибутку в розмірі 94500 млн грн в 2025 р. та одночасне збільшення активів на 50,98% засвідчує поступове якісне застосування моделі повного циклу виробництва (можливо і замкнутого виробничого процесу), що суттєво знижує зовнішні логістичні ризики.</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той же час, отримані значення для </w:t>
      </w:r>
      <w:r w:rsidRPr="00400BAB">
        <w:rPr>
          <w:rFonts w:ascii="Times New Roman" w:hAnsi="Times New Roman"/>
          <w:sz w:val="28"/>
          <w:szCs w:val="28"/>
          <w:lang w:val="en-US"/>
        </w:rPr>
        <w:t>Kernel</w:t>
      </w:r>
      <w:r w:rsidRPr="00400BAB">
        <w:rPr>
          <w:rFonts w:ascii="Times New Roman" w:hAnsi="Times New Roman"/>
          <w:sz w:val="28"/>
          <w:szCs w:val="28"/>
          <w:lang w:val="uk-UA"/>
        </w:rPr>
        <w:t xml:space="preserve"> мають менші результати, що вказує на високу чутливість до наявних військово – економічних ризиків. Отримані результати компанії в 2022 р. та їх суттєве зниження на 11,55% за досліджуваний період вказують на залежність підприємства від усталених маршрутів збуту та блокування портових відправлень. В останні роки аналізу наявні хоч і не суттєві, але покращення результатів, тобто підприємство поступово адаптується на знаходить нові шляхи вирішення проблемних питань. Варто зауважити, що швидкість реагування серед трьох досліджуваних підприємств звісно різна, але наявні позитивні тенденції покращення сукупних значень є вагомим аргументом для побудови гіпотези щодо формування базових елементів економічного механізму інвестиційної привабливості. </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Окремим елементом аналізу варто виділити обрахунок змін активів підприємств, які безпосередньо вказують на залучення інвестиційних коштів в межах вдосконалення виробничих процесів. Отримані результати вказують по – перше на переоцінку активів з врахуванням інфляційних коливань. Тобто за роки дослідження, Україна перебуваючи в активній фазі військових дій, має нажаль значні коливання національної валюти. І зміна вартості активів, це не тільки їх переоцінка. Тому по-друге, отримані результати для всіх підприємств мають позитивну динаміку змін, тобто покращення від 2,66% до 50,98 % для досліджуваних підприємств є досить високим результатом. Вкладення та інвестиційні проєкти підприємств в більшій частині спрямовані на перебудову енергетичної залежності та технологічну </w:t>
      </w:r>
      <w:r w:rsidRPr="00400BAB">
        <w:rPr>
          <w:rFonts w:ascii="Times New Roman" w:hAnsi="Times New Roman"/>
          <w:sz w:val="28"/>
          <w:szCs w:val="28"/>
          <w:lang w:val="uk-UA"/>
        </w:rPr>
        <w:lastRenderedPageBreak/>
        <w:t xml:space="preserve">модернізацію виробничих процесів. Тобто, можна сформувати попередню думку, що аграрні компанії за роки дослідження нарощують свою результативність та створюють підґрунтя для розвитку інвестиційної привабливості. </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В подальшому, з метою визначення інших економічних показників, відстеження їх кореляційного зв’язку та формування загального ефекту було здійснено аналіз показників показників рентабельності продажів (</w:t>
      </w:r>
      <w:r w:rsidRPr="00400BAB">
        <w:rPr>
          <w:rFonts w:ascii="Times New Roman" w:hAnsi="Times New Roman"/>
          <w:sz w:val="28"/>
          <w:szCs w:val="28"/>
          <w:lang w:val="en-US"/>
        </w:rPr>
        <w:t>ROS</w:t>
      </w:r>
      <w:r w:rsidRPr="00400BAB">
        <w:rPr>
          <w:rFonts w:ascii="Times New Roman" w:hAnsi="Times New Roman"/>
          <w:sz w:val="28"/>
          <w:szCs w:val="28"/>
          <w:lang w:val="uk-UA"/>
        </w:rPr>
        <w:t>), рентабельності активів (</w:t>
      </w:r>
      <w:r w:rsidRPr="00400BAB">
        <w:rPr>
          <w:rFonts w:ascii="Times New Roman" w:hAnsi="Times New Roman"/>
          <w:sz w:val="28"/>
          <w:szCs w:val="28"/>
          <w:lang w:val="en-US"/>
        </w:rPr>
        <w:t>ROA</w:t>
      </w:r>
      <w:r w:rsidRPr="00400BAB">
        <w:rPr>
          <w:rFonts w:ascii="Times New Roman" w:hAnsi="Times New Roman"/>
          <w:sz w:val="28"/>
          <w:szCs w:val="28"/>
          <w:lang w:val="uk-UA"/>
        </w:rPr>
        <w:t>), рентабельності власного капіталу (</w:t>
      </w:r>
      <w:r w:rsidRPr="00400BAB">
        <w:rPr>
          <w:rFonts w:ascii="Times New Roman" w:hAnsi="Times New Roman"/>
          <w:sz w:val="28"/>
          <w:szCs w:val="28"/>
          <w:lang w:val="en-US"/>
        </w:rPr>
        <w:t>ROE</w:t>
      </w:r>
      <w:r w:rsidRPr="00400BAB">
        <w:rPr>
          <w:rFonts w:ascii="Times New Roman" w:hAnsi="Times New Roman"/>
          <w:sz w:val="28"/>
          <w:szCs w:val="28"/>
          <w:lang w:val="uk-UA"/>
        </w:rPr>
        <w:t>), валової маржі (</w:t>
      </w:r>
      <w:r w:rsidRPr="00400BAB">
        <w:rPr>
          <w:rFonts w:ascii="Times New Roman" w:hAnsi="Times New Roman"/>
          <w:sz w:val="28"/>
          <w:szCs w:val="28"/>
          <w:lang w:val="en-US"/>
        </w:rPr>
        <w:t>GPM</w:t>
      </w:r>
      <w:r w:rsidRPr="00400BAB">
        <w:rPr>
          <w:rFonts w:ascii="Times New Roman" w:hAnsi="Times New Roman"/>
          <w:sz w:val="28"/>
          <w:szCs w:val="28"/>
          <w:lang w:val="uk-UA"/>
        </w:rPr>
        <w:t>) та операційної маржі (</w:t>
      </w:r>
      <w:r w:rsidRPr="00400BAB">
        <w:rPr>
          <w:rFonts w:ascii="Times New Roman" w:hAnsi="Times New Roman"/>
          <w:sz w:val="28"/>
          <w:szCs w:val="28"/>
          <w:lang w:val="en-US"/>
        </w:rPr>
        <w:t>OPM</w:t>
      </w:r>
      <w:r w:rsidRPr="00400BAB">
        <w:rPr>
          <w:rFonts w:ascii="Times New Roman" w:hAnsi="Times New Roman"/>
          <w:sz w:val="28"/>
          <w:szCs w:val="28"/>
          <w:lang w:val="uk-UA"/>
        </w:rPr>
        <w:t xml:space="preserve">). Первісно було здійснено визначення пов’язаних між собою показників, таких як </w:t>
      </w:r>
      <w:r w:rsidRPr="00400BAB">
        <w:rPr>
          <w:rFonts w:ascii="Times New Roman" w:hAnsi="Times New Roman"/>
          <w:sz w:val="28"/>
          <w:szCs w:val="28"/>
          <w:lang w:val="en-US"/>
        </w:rPr>
        <w:t>GPM</w:t>
      </w:r>
      <w:r w:rsidRPr="00400BAB">
        <w:rPr>
          <w:rFonts w:ascii="Times New Roman" w:hAnsi="Times New Roman"/>
          <w:sz w:val="28"/>
          <w:szCs w:val="28"/>
          <w:lang w:val="uk-UA"/>
        </w:rPr>
        <w:t xml:space="preserve"> (рис. 2.4), </w:t>
      </w:r>
      <w:r w:rsidRPr="00400BAB">
        <w:rPr>
          <w:rFonts w:ascii="Times New Roman" w:hAnsi="Times New Roman"/>
          <w:sz w:val="28"/>
          <w:szCs w:val="28"/>
          <w:lang w:val="en-US"/>
        </w:rPr>
        <w:t>OPM</w:t>
      </w:r>
      <w:r w:rsidRPr="00400BAB">
        <w:rPr>
          <w:rFonts w:ascii="Times New Roman" w:hAnsi="Times New Roman"/>
          <w:sz w:val="28"/>
          <w:szCs w:val="28"/>
          <w:lang w:val="uk-UA"/>
        </w:rPr>
        <w:t xml:space="preserve"> (рис. 2.5) та </w:t>
      </w:r>
      <w:r w:rsidRPr="00400BAB">
        <w:rPr>
          <w:rFonts w:ascii="Times New Roman" w:hAnsi="Times New Roman"/>
          <w:sz w:val="28"/>
          <w:szCs w:val="28"/>
          <w:lang w:val="en-US"/>
        </w:rPr>
        <w:t>ROS</w:t>
      </w:r>
      <w:r w:rsidRPr="00400BAB">
        <w:rPr>
          <w:rFonts w:ascii="Times New Roman" w:hAnsi="Times New Roman"/>
          <w:sz w:val="28"/>
          <w:szCs w:val="28"/>
          <w:lang w:val="uk-UA"/>
        </w:rPr>
        <w:t xml:space="preserve"> (2.11).</w:t>
      </w:r>
    </w:p>
    <w:p w:rsidR="00B37265" w:rsidRPr="00400BAB" w:rsidRDefault="00B37265" w:rsidP="00671574">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drawing>
          <wp:inline distT="0" distB="0" distL="0" distR="0" wp14:anchorId="3591166C" wp14:editId="1A161098">
            <wp:extent cx="5699051" cy="3795395"/>
            <wp:effectExtent l="0" t="0" r="16510" b="14605"/>
            <wp:docPr id="2050337480"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37265" w:rsidRPr="00400BAB" w:rsidRDefault="00B37265" w:rsidP="00671574">
      <w:pPr>
        <w:keepNext/>
        <w:spacing w:after="0" w:line="360" w:lineRule="auto"/>
        <w:ind w:firstLine="709"/>
        <w:jc w:val="both"/>
        <w:rPr>
          <w:rFonts w:ascii="Times New Roman" w:hAnsi="Times New Roman"/>
          <w:b/>
          <w:bCs/>
          <w:sz w:val="28"/>
          <w:szCs w:val="28"/>
          <w:lang w:val="uk-UA"/>
        </w:rPr>
      </w:pPr>
      <w:r w:rsidRPr="00400BAB">
        <w:rPr>
          <w:rFonts w:ascii="Times New Roman" w:hAnsi="Times New Roman"/>
          <w:b/>
          <w:bCs/>
          <w:color w:val="000000"/>
          <w:sz w:val="28"/>
          <w:szCs w:val="28"/>
          <w:lang w:val="uk-UA"/>
        </w:rPr>
        <w:t xml:space="preserve">Рис. 2.4 </w:t>
      </w:r>
      <w:r w:rsidRPr="00400BAB">
        <w:rPr>
          <w:rFonts w:ascii="Times New Roman" w:hAnsi="Times New Roman"/>
          <w:b/>
          <w:bCs/>
          <w:sz w:val="28"/>
          <w:szCs w:val="28"/>
          <w:lang w:val="uk-UA"/>
        </w:rPr>
        <w:t xml:space="preserve">Динаміка змін валової маржі </w:t>
      </w:r>
      <w:r w:rsidRPr="00400BAB">
        <w:rPr>
          <w:rFonts w:ascii="Times New Roman" w:hAnsi="Times New Roman"/>
          <w:b/>
          <w:bCs/>
          <w:sz w:val="28"/>
          <w:szCs w:val="28"/>
          <w:lang w:val="en-US"/>
        </w:rPr>
        <w:t>Kernel</w:t>
      </w:r>
      <w:r w:rsidRPr="00400BAB">
        <w:rPr>
          <w:rFonts w:ascii="Times New Roman" w:hAnsi="Times New Roman"/>
          <w:b/>
          <w:bCs/>
          <w:sz w:val="28"/>
          <w:szCs w:val="28"/>
          <w:lang w:val="uk-UA"/>
        </w:rPr>
        <w:t xml:space="preserve">, МХП та </w:t>
      </w:r>
      <w:r w:rsidRPr="00400BAB">
        <w:rPr>
          <w:rFonts w:ascii="Times New Roman" w:hAnsi="Times New Roman"/>
          <w:b/>
          <w:bCs/>
          <w:sz w:val="28"/>
          <w:szCs w:val="28"/>
          <w:lang w:val="en-US"/>
        </w:rPr>
        <w:t>Astarta</w:t>
      </w:r>
      <w:r w:rsidRPr="00400BAB">
        <w:rPr>
          <w:rFonts w:ascii="Times New Roman" w:hAnsi="Times New Roman"/>
          <w:b/>
          <w:bCs/>
          <w:sz w:val="28"/>
          <w:szCs w:val="28"/>
          <w:lang w:val="uk-UA"/>
        </w:rPr>
        <w:t>-</w:t>
      </w:r>
      <w:r w:rsidRPr="00400BAB">
        <w:rPr>
          <w:rFonts w:ascii="Times New Roman" w:hAnsi="Times New Roman"/>
          <w:b/>
          <w:bCs/>
          <w:sz w:val="28"/>
          <w:szCs w:val="28"/>
          <w:lang w:val="en-US"/>
        </w:rPr>
        <w:t>Kyiv</w:t>
      </w:r>
      <w:r w:rsidRPr="00400BAB">
        <w:rPr>
          <w:rFonts w:ascii="Times New Roman" w:hAnsi="Times New Roman"/>
          <w:b/>
          <w:bCs/>
          <w:sz w:val="28"/>
          <w:szCs w:val="28"/>
          <w:lang w:val="uk-UA"/>
        </w:rPr>
        <w:t xml:space="preserve"> за 2021 – 2025 рр.</w:t>
      </w:r>
    </w:p>
    <w:p w:rsidR="00B37265" w:rsidRPr="00400BAB" w:rsidRDefault="00B37265" w:rsidP="00671574">
      <w:pPr>
        <w:spacing w:after="0" w:line="360" w:lineRule="auto"/>
        <w:ind w:firstLine="709"/>
        <w:jc w:val="both"/>
        <w:rPr>
          <w:rFonts w:ascii="Times New Roman" w:hAnsi="Times New Roman"/>
          <w:i/>
          <w:iCs/>
          <w:color w:val="000000"/>
          <w:lang w:val="uk-UA"/>
        </w:rPr>
      </w:pPr>
      <w:r w:rsidRPr="00400BAB">
        <w:rPr>
          <w:rFonts w:ascii="Times New Roman" w:hAnsi="Times New Roman"/>
          <w:i/>
          <w:iCs/>
          <w:lang w:val="uk-UA"/>
        </w:rPr>
        <w:t>Джерело: обраховано автором за даними підприємств</w:t>
      </w:r>
    </w:p>
    <w:p w:rsidR="00B37265" w:rsidRPr="00400BAB" w:rsidRDefault="00B37265" w:rsidP="00671574">
      <w:pPr>
        <w:spacing w:after="0" w:line="360" w:lineRule="auto"/>
        <w:jc w:val="both"/>
        <w:rPr>
          <w:rFonts w:ascii="Times New Roman" w:hAnsi="Times New Roman"/>
          <w:sz w:val="28"/>
          <w:szCs w:val="28"/>
          <w:lang w:val="uk-UA"/>
        </w:rPr>
      </w:pP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Обрахунок представленого показника для сільськогосподарських підприємств є вагомим показником для визначення їх поточного рівня </w:t>
      </w:r>
      <w:r w:rsidRPr="00400BAB">
        <w:rPr>
          <w:rFonts w:ascii="Times New Roman" w:hAnsi="Times New Roman"/>
          <w:sz w:val="28"/>
          <w:szCs w:val="28"/>
          <w:lang w:val="uk-UA"/>
        </w:rPr>
        <w:lastRenderedPageBreak/>
        <w:t>інвестиційної привабливості, адже напряму вказує на ефективність виробництва, здатність підприємства контролювати процеси ціноутворення та відповідно генерувати прибуток на кожного обороті оборотних коштів. Тобто до відрахувань всіх основних фінансових витрат (операційні, адміністративні, податкові тощо) позитивна динаміка валової маржі є вагомим аргументом для інвесторів в межах зниження інвестиційних ризиків.</w:t>
      </w:r>
    </w:p>
    <w:p w:rsidR="00B37265" w:rsidRPr="00400BAB" w:rsidRDefault="00B37265" w:rsidP="00671574">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drawing>
          <wp:inline distT="0" distB="0" distL="0" distR="0" wp14:anchorId="5B87509D" wp14:editId="712C761E">
            <wp:extent cx="5816009" cy="3817088"/>
            <wp:effectExtent l="0" t="0" r="13335" b="12065"/>
            <wp:docPr id="1945072559"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16DD6" w:rsidRDefault="00116DD6" w:rsidP="00671574">
      <w:pPr>
        <w:keepNext/>
        <w:spacing w:after="0" w:line="360" w:lineRule="auto"/>
        <w:ind w:firstLine="709"/>
        <w:jc w:val="both"/>
        <w:rPr>
          <w:rFonts w:ascii="Times New Roman" w:hAnsi="Times New Roman"/>
          <w:b/>
          <w:bCs/>
          <w:color w:val="000000"/>
          <w:sz w:val="28"/>
          <w:szCs w:val="28"/>
          <w:lang w:val="uk-UA"/>
        </w:rPr>
      </w:pPr>
    </w:p>
    <w:p w:rsidR="00B37265" w:rsidRPr="00400BAB" w:rsidRDefault="00B37265" w:rsidP="00671574">
      <w:pPr>
        <w:keepNext/>
        <w:spacing w:after="0" w:line="360" w:lineRule="auto"/>
        <w:ind w:firstLine="709"/>
        <w:jc w:val="both"/>
        <w:rPr>
          <w:rFonts w:ascii="Times New Roman" w:hAnsi="Times New Roman"/>
          <w:b/>
          <w:bCs/>
          <w:sz w:val="28"/>
          <w:szCs w:val="28"/>
          <w:lang w:val="uk-UA"/>
        </w:rPr>
      </w:pPr>
      <w:r w:rsidRPr="00400BAB">
        <w:rPr>
          <w:rFonts w:ascii="Times New Roman" w:hAnsi="Times New Roman"/>
          <w:b/>
          <w:bCs/>
          <w:color w:val="000000"/>
          <w:sz w:val="28"/>
          <w:szCs w:val="28"/>
          <w:lang w:val="uk-UA"/>
        </w:rPr>
        <w:t xml:space="preserve">Рис. 2.5 </w:t>
      </w:r>
      <w:r w:rsidRPr="00400BAB">
        <w:rPr>
          <w:rFonts w:ascii="Times New Roman" w:hAnsi="Times New Roman"/>
          <w:b/>
          <w:bCs/>
          <w:sz w:val="28"/>
          <w:szCs w:val="28"/>
          <w:lang w:val="uk-UA"/>
        </w:rPr>
        <w:t xml:space="preserve">Динаміка змін операційної маржі </w:t>
      </w:r>
      <w:r w:rsidRPr="00400BAB">
        <w:rPr>
          <w:rFonts w:ascii="Times New Roman" w:hAnsi="Times New Roman"/>
          <w:b/>
          <w:bCs/>
          <w:sz w:val="28"/>
          <w:szCs w:val="28"/>
          <w:lang w:val="en-US"/>
        </w:rPr>
        <w:t>Kernel</w:t>
      </w:r>
      <w:r w:rsidRPr="00400BAB">
        <w:rPr>
          <w:rFonts w:ascii="Times New Roman" w:hAnsi="Times New Roman"/>
          <w:b/>
          <w:bCs/>
          <w:sz w:val="28"/>
          <w:szCs w:val="28"/>
          <w:lang w:val="uk-UA"/>
        </w:rPr>
        <w:t xml:space="preserve">, МХП та </w:t>
      </w:r>
      <w:r w:rsidRPr="00400BAB">
        <w:rPr>
          <w:rFonts w:ascii="Times New Roman" w:hAnsi="Times New Roman"/>
          <w:b/>
          <w:bCs/>
          <w:sz w:val="28"/>
          <w:szCs w:val="28"/>
          <w:lang w:val="en-US"/>
        </w:rPr>
        <w:t>Astarta</w:t>
      </w:r>
      <w:r w:rsidRPr="00400BAB">
        <w:rPr>
          <w:rFonts w:ascii="Times New Roman" w:hAnsi="Times New Roman"/>
          <w:b/>
          <w:bCs/>
          <w:sz w:val="28"/>
          <w:szCs w:val="28"/>
          <w:lang w:val="uk-UA"/>
        </w:rPr>
        <w:t>-</w:t>
      </w:r>
      <w:r w:rsidRPr="00400BAB">
        <w:rPr>
          <w:rFonts w:ascii="Times New Roman" w:hAnsi="Times New Roman"/>
          <w:b/>
          <w:bCs/>
          <w:sz w:val="28"/>
          <w:szCs w:val="28"/>
          <w:lang w:val="en-US"/>
        </w:rPr>
        <w:t>Kyiv</w:t>
      </w:r>
      <w:r w:rsidRPr="00400BAB">
        <w:rPr>
          <w:rFonts w:ascii="Times New Roman" w:hAnsi="Times New Roman"/>
          <w:b/>
          <w:bCs/>
          <w:sz w:val="28"/>
          <w:szCs w:val="28"/>
          <w:lang w:val="uk-UA"/>
        </w:rPr>
        <w:t xml:space="preserve"> за 2021 – 2025 рр.</w:t>
      </w:r>
    </w:p>
    <w:p w:rsidR="00B37265" w:rsidRPr="00400BAB" w:rsidRDefault="00B37265" w:rsidP="00671574">
      <w:pPr>
        <w:spacing w:after="0" w:line="360" w:lineRule="auto"/>
        <w:ind w:firstLine="709"/>
        <w:jc w:val="both"/>
        <w:rPr>
          <w:rFonts w:ascii="Times New Roman" w:hAnsi="Times New Roman"/>
          <w:i/>
          <w:iCs/>
          <w:lang w:val="uk-UA"/>
        </w:rPr>
      </w:pPr>
      <w:r w:rsidRPr="00400BAB">
        <w:rPr>
          <w:rFonts w:ascii="Times New Roman" w:hAnsi="Times New Roman"/>
          <w:i/>
          <w:iCs/>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sz w:val="28"/>
          <w:szCs w:val="28"/>
          <w:lang w:val="uk-UA"/>
        </w:rPr>
      </w:pPr>
    </w:p>
    <w:p w:rsidR="00B37265" w:rsidRPr="00116DD6"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Визначення динаміки змін показника операційної маржі є складовою формування рівня довіри інвесторів до підприємства. Такі дані вказують на ефективне управління на підприємстві, зниження собівартості та застосування ефе</w:t>
      </w:r>
      <w:r w:rsidR="00116DD6">
        <w:rPr>
          <w:rFonts w:ascii="Times New Roman" w:hAnsi="Times New Roman"/>
          <w:color w:val="000000"/>
          <w:sz w:val="28"/>
          <w:szCs w:val="28"/>
          <w:lang w:val="uk-UA"/>
        </w:rPr>
        <w:t>ктивної маркетингової стратегії</w:t>
      </w:r>
      <w:r w:rsidRPr="00400BAB">
        <w:rPr>
          <w:rFonts w:ascii="Times New Roman" w:hAnsi="Times New Roman"/>
          <w:color w:val="000000"/>
          <w:sz w:val="28"/>
          <w:szCs w:val="28"/>
          <w:lang w:val="uk-UA"/>
        </w:rPr>
        <w:t xml:space="preserve"> </w:t>
      </w:r>
      <w:r w:rsidRPr="00116DD6">
        <w:rPr>
          <w:rFonts w:ascii="Times New Roman" w:eastAsia="Times New Roman" w:hAnsi="Times New Roman"/>
          <w:color w:val="000000"/>
          <w:sz w:val="28"/>
          <w:szCs w:val="28"/>
          <w:lang w:val="uk-UA"/>
        </w:rPr>
        <w:t>[79]</w:t>
      </w:r>
      <w:r w:rsidR="00116DD6" w:rsidRPr="00116DD6">
        <w:rPr>
          <w:rFonts w:ascii="Times New Roman" w:hAnsi="Times New Roman"/>
          <w:color w:val="000000"/>
          <w:sz w:val="28"/>
          <w:szCs w:val="28"/>
          <w:lang w:val="uk-UA"/>
        </w:rPr>
        <w:t>.</w:t>
      </w:r>
    </w:p>
    <w:p w:rsidR="00B37265" w:rsidRPr="00400BAB" w:rsidRDefault="00B37265" w:rsidP="00671574">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lastRenderedPageBreak/>
        <w:drawing>
          <wp:inline distT="0" distB="0" distL="0" distR="0" wp14:anchorId="51BC49FE" wp14:editId="3F6F8118">
            <wp:extent cx="5784111" cy="4125433"/>
            <wp:effectExtent l="0" t="0" r="7620" b="15240"/>
            <wp:docPr id="1671159249"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37265" w:rsidRPr="00400BAB" w:rsidRDefault="00B37265" w:rsidP="00671574">
      <w:pPr>
        <w:keepNext/>
        <w:spacing w:after="0" w:line="360" w:lineRule="auto"/>
        <w:ind w:firstLine="709"/>
        <w:jc w:val="both"/>
        <w:rPr>
          <w:rFonts w:ascii="Times New Roman" w:hAnsi="Times New Roman"/>
          <w:b/>
          <w:bCs/>
          <w:sz w:val="28"/>
          <w:szCs w:val="28"/>
          <w:lang w:val="uk-UA"/>
        </w:rPr>
      </w:pPr>
      <w:r w:rsidRPr="00400BAB">
        <w:rPr>
          <w:rFonts w:ascii="Times New Roman" w:hAnsi="Times New Roman"/>
          <w:b/>
          <w:bCs/>
          <w:color w:val="000000"/>
          <w:sz w:val="28"/>
          <w:szCs w:val="28"/>
          <w:lang w:val="uk-UA"/>
        </w:rPr>
        <w:t xml:space="preserve">Рис. 2.6 </w:t>
      </w:r>
      <w:r w:rsidRPr="00400BAB">
        <w:rPr>
          <w:rFonts w:ascii="Times New Roman" w:hAnsi="Times New Roman"/>
          <w:b/>
          <w:bCs/>
          <w:sz w:val="28"/>
          <w:szCs w:val="28"/>
          <w:lang w:val="uk-UA"/>
        </w:rPr>
        <w:t xml:space="preserve">Динаміка змін коефіцієнту рентабельності продажів </w:t>
      </w:r>
      <w:r w:rsidRPr="00400BAB">
        <w:rPr>
          <w:rFonts w:ascii="Times New Roman" w:hAnsi="Times New Roman"/>
          <w:b/>
          <w:bCs/>
          <w:sz w:val="28"/>
          <w:szCs w:val="28"/>
          <w:lang w:val="en-US"/>
        </w:rPr>
        <w:t>Kernel</w:t>
      </w:r>
      <w:r w:rsidRPr="00400BAB">
        <w:rPr>
          <w:rFonts w:ascii="Times New Roman" w:hAnsi="Times New Roman"/>
          <w:b/>
          <w:bCs/>
          <w:sz w:val="28"/>
          <w:szCs w:val="28"/>
          <w:lang w:val="uk-UA"/>
        </w:rPr>
        <w:t xml:space="preserve">, МХП та </w:t>
      </w:r>
      <w:r w:rsidRPr="00400BAB">
        <w:rPr>
          <w:rFonts w:ascii="Times New Roman" w:hAnsi="Times New Roman"/>
          <w:b/>
          <w:bCs/>
          <w:sz w:val="28"/>
          <w:szCs w:val="28"/>
          <w:lang w:val="en-US"/>
        </w:rPr>
        <w:t>Astarta</w:t>
      </w:r>
      <w:r w:rsidRPr="00400BAB">
        <w:rPr>
          <w:rFonts w:ascii="Times New Roman" w:hAnsi="Times New Roman"/>
          <w:b/>
          <w:bCs/>
          <w:sz w:val="28"/>
          <w:szCs w:val="28"/>
          <w:lang w:val="uk-UA"/>
        </w:rPr>
        <w:t>-</w:t>
      </w:r>
      <w:r w:rsidRPr="00400BAB">
        <w:rPr>
          <w:rFonts w:ascii="Times New Roman" w:hAnsi="Times New Roman"/>
          <w:b/>
          <w:bCs/>
          <w:sz w:val="28"/>
          <w:szCs w:val="28"/>
          <w:lang w:val="en-US"/>
        </w:rPr>
        <w:t>Kyiv</w:t>
      </w:r>
      <w:r w:rsidRPr="00400BAB">
        <w:rPr>
          <w:rFonts w:ascii="Times New Roman" w:hAnsi="Times New Roman"/>
          <w:b/>
          <w:bCs/>
          <w:sz w:val="28"/>
          <w:szCs w:val="28"/>
          <w:lang w:val="uk-UA"/>
        </w:rPr>
        <w:t xml:space="preserve"> за 2021 – 2025 рр.</w:t>
      </w:r>
    </w:p>
    <w:p w:rsidR="00B37265" w:rsidRPr="00400BAB" w:rsidRDefault="00B37265" w:rsidP="00671574">
      <w:pPr>
        <w:spacing w:after="0" w:line="360" w:lineRule="auto"/>
        <w:ind w:firstLine="709"/>
        <w:jc w:val="both"/>
        <w:rPr>
          <w:rFonts w:ascii="Times New Roman" w:hAnsi="Times New Roman"/>
          <w:i/>
          <w:iCs/>
          <w:color w:val="000000"/>
          <w:lang w:val="uk-UA"/>
        </w:rPr>
      </w:pPr>
      <w:r w:rsidRPr="00400BAB">
        <w:rPr>
          <w:rFonts w:ascii="Times New Roman" w:hAnsi="Times New Roman"/>
          <w:i/>
          <w:iCs/>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sz w:val="28"/>
          <w:szCs w:val="28"/>
          <w:lang w:val="uk-UA"/>
        </w:rPr>
      </w:pP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загальному представлені результати обрахунку взаємопов’язаних показників господарської діяльності сільськогосподарських підприємств за 2021 – 2025 рр. вказують на суттєві трансформаційні процеси для кожного представника, що відбуваються під впливом макроекономічних чинників та зсуву геополітичних рухів. Варто відмітити, що за кумулятивним підходом аналізу отриманих результатів показників </w:t>
      </w:r>
      <w:r w:rsidRPr="00400BAB">
        <w:rPr>
          <w:rFonts w:ascii="Times New Roman" w:hAnsi="Times New Roman"/>
          <w:sz w:val="28"/>
          <w:szCs w:val="28"/>
          <w:lang w:val="en-US"/>
        </w:rPr>
        <w:t>GPM</w:t>
      </w:r>
      <w:r w:rsidRPr="00400BAB">
        <w:rPr>
          <w:rFonts w:ascii="Times New Roman" w:hAnsi="Times New Roman"/>
          <w:sz w:val="28"/>
          <w:szCs w:val="28"/>
          <w:lang w:val="uk-UA"/>
        </w:rPr>
        <w:t xml:space="preserve"> та </w:t>
      </w:r>
      <w:r w:rsidRPr="00400BAB">
        <w:rPr>
          <w:rFonts w:ascii="Times New Roman" w:hAnsi="Times New Roman"/>
          <w:sz w:val="28"/>
          <w:szCs w:val="28"/>
          <w:lang w:val="en-US"/>
        </w:rPr>
        <w:t>OPM</w:t>
      </w:r>
      <w:r w:rsidRPr="00400BAB">
        <w:rPr>
          <w:rFonts w:ascii="Times New Roman" w:hAnsi="Times New Roman"/>
          <w:sz w:val="28"/>
          <w:szCs w:val="28"/>
          <w:lang w:val="uk-UA"/>
        </w:rPr>
        <w:t xml:space="preserve"> можна узагальнити, що найбільш стійке положення наявне в компанії </w:t>
      </w:r>
      <w:r w:rsidRPr="00400BAB">
        <w:rPr>
          <w:rFonts w:ascii="Times New Roman" w:hAnsi="Times New Roman"/>
          <w:sz w:val="28"/>
          <w:szCs w:val="28"/>
          <w:lang w:val="en-US"/>
        </w:rPr>
        <w:t>Astarta</w:t>
      </w:r>
      <w:r w:rsidRPr="00400BAB">
        <w:rPr>
          <w:rFonts w:ascii="Times New Roman" w:hAnsi="Times New Roman"/>
          <w:sz w:val="28"/>
          <w:szCs w:val="28"/>
          <w:lang w:val="uk-UA"/>
        </w:rPr>
        <w:t>-</w:t>
      </w:r>
      <w:r w:rsidRPr="00400BAB">
        <w:rPr>
          <w:rFonts w:ascii="Times New Roman" w:hAnsi="Times New Roman"/>
          <w:sz w:val="28"/>
          <w:szCs w:val="28"/>
          <w:lang w:val="en-US"/>
        </w:rPr>
        <w:t>Kyiv</w:t>
      </w:r>
      <w:r w:rsidRPr="00400BAB">
        <w:rPr>
          <w:rFonts w:ascii="Times New Roman" w:hAnsi="Times New Roman"/>
          <w:sz w:val="28"/>
          <w:szCs w:val="28"/>
          <w:lang w:val="uk-UA"/>
        </w:rPr>
        <w:t>. Так, в результаті обрахунків отримано значення показника валової маржі на рівні 32,4 в 2021 р. та 30,55 в 2025 р., що є найбільшим значенням серед досліджуваних підприємств. Зафіксоване зниження в абсолютному вимірі складає -1,9 та відносному зменшення на 5,8</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 створює підґрунтя вважати дану аграрну компанію досить стабільною з подальшими перспективами </w:t>
      </w:r>
      <w:r w:rsidRPr="00400BAB">
        <w:rPr>
          <w:rFonts w:ascii="Times New Roman" w:hAnsi="Times New Roman"/>
          <w:sz w:val="28"/>
          <w:szCs w:val="28"/>
          <w:lang w:val="uk-UA"/>
        </w:rPr>
        <w:lastRenderedPageBreak/>
        <w:t xml:space="preserve">розвитку інвестиційної привабливості. Тобто в своїй операційній діяльності </w:t>
      </w:r>
      <w:r w:rsidRPr="00400BAB">
        <w:rPr>
          <w:rFonts w:ascii="Times New Roman" w:hAnsi="Times New Roman"/>
          <w:sz w:val="28"/>
          <w:szCs w:val="28"/>
          <w:lang w:val="en-US"/>
        </w:rPr>
        <w:t>Astarta</w:t>
      </w:r>
      <w:r w:rsidRPr="00400BAB">
        <w:rPr>
          <w:rFonts w:ascii="Times New Roman" w:hAnsi="Times New Roman"/>
          <w:sz w:val="28"/>
          <w:szCs w:val="28"/>
          <w:lang w:val="uk-UA"/>
        </w:rPr>
        <w:t>-</w:t>
      </w:r>
      <w:r w:rsidRPr="00400BAB">
        <w:rPr>
          <w:rFonts w:ascii="Times New Roman" w:hAnsi="Times New Roman"/>
          <w:sz w:val="28"/>
          <w:szCs w:val="28"/>
          <w:lang w:val="en-US"/>
        </w:rPr>
        <w:t>Kyiv</w:t>
      </w:r>
      <w:r w:rsidRPr="00400BAB">
        <w:rPr>
          <w:rFonts w:ascii="Times New Roman" w:hAnsi="Times New Roman"/>
          <w:sz w:val="28"/>
          <w:szCs w:val="28"/>
          <w:lang w:val="uk-UA"/>
        </w:rPr>
        <w:t xml:space="preserve"> виграє серед конкурентів за рахунок високої частки доданої вартості в продукті (сегмент цукрового виробництва) та за рахунок застосування стратегії енергозбереження виробничих процесів.</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Інші досліджувані підприємства характеризується різноспрямованими показниками щодо маржинальності. Так, для МХП отримані показники засвідчують її швидке відновлення операційної складової. Найгірше отримане значення в 2022 р. 8,4</w:t>
      </w:r>
      <w:r w:rsidR="00420030">
        <w:rPr>
          <w:rFonts w:ascii="Times New Roman" w:hAnsi="Times New Roman"/>
          <w:sz w:val="28"/>
          <w:szCs w:val="28"/>
          <w:lang w:val="uk-UA"/>
        </w:rPr>
        <w:t xml:space="preserve"> </w:t>
      </w:r>
      <w:r w:rsidRPr="00400BAB">
        <w:rPr>
          <w:rFonts w:ascii="Times New Roman" w:hAnsi="Times New Roman"/>
          <w:sz w:val="28"/>
          <w:szCs w:val="28"/>
          <w:lang w:val="uk-UA"/>
        </w:rPr>
        <w:t>% має позитивну динаміку до збільшення в розмірі 17,4</w:t>
      </w:r>
      <w:r w:rsidR="00420030">
        <w:rPr>
          <w:rFonts w:ascii="Times New Roman" w:hAnsi="Times New Roman"/>
          <w:sz w:val="28"/>
          <w:szCs w:val="28"/>
          <w:lang w:val="uk-UA"/>
        </w:rPr>
        <w:t xml:space="preserve"> </w:t>
      </w:r>
      <w:r w:rsidRPr="00400BAB">
        <w:rPr>
          <w:rFonts w:ascii="Times New Roman" w:hAnsi="Times New Roman"/>
          <w:sz w:val="28"/>
          <w:szCs w:val="28"/>
          <w:lang w:val="uk-UA"/>
        </w:rPr>
        <w:t>% в 2025, що становить не велике зменшення за досліджуваний період на 4,39</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 Тобто показник майже дорівнює значенню в до військовий період. На наш погляд, такі результати вказують на переформатування внутрішнього менеджменту підприємства та спричинені побудовою вертикально інтегрованого підприємства, де розпочато власне виробництво сировини (кормів) з метою нівелювання залежності від постачальників. В той же час, серед досліджуваних сільськогосподарських компаній найбільш вразливим визначено компанію </w:t>
      </w:r>
      <w:r w:rsidRPr="00400BAB">
        <w:rPr>
          <w:rFonts w:ascii="Times New Roman" w:hAnsi="Times New Roman"/>
          <w:sz w:val="28"/>
          <w:szCs w:val="28"/>
          <w:lang w:val="en-US"/>
        </w:rPr>
        <w:t>Kernel</w:t>
      </w:r>
      <w:r w:rsidRPr="00400BAB">
        <w:rPr>
          <w:rFonts w:ascii="Times New Roman" w:hAnsi="Times New Roman"/>
          <w:sz w:val="28"/>
          <w:szCs w:val="28"/>
          <w:lang w:val="uk-UA"/>
        </w:rPr>
        <w:t>. Отриманий показник рентабельності продажів має найменше значення в 2022 р. в зв’язку з активними бойовими діями та повною блокадою логістичних маршрутів для підприємства. Поступово в результаті аналіз за роки було визначено збільшення показника до рівня 9,5 % в 2025</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р., що пов’язано зі змінами в зовнішньоекономічному середовищі країни. Тобто можна сказати, що саме для </w:t>
      </w:r>
      <w:r w:rsidRPr="00400BAB">
        <w:rPr>
          <w:rFonts w:ascii="Times New Roman" w:hAnsi="Times New Roman"/>
          <w:sz w:val="28"/>
          <w:szCs w:val="28"/>
          <w:lang w:val="en-US"/>
        </w:rPr>
        <w:t>Kernel</w:t>
      </w:r>
      <w:r w:rsidRPr="00400BAB">
        <w:rPr>
          <w:rFonts w:ascii="Times New Roman" w:hAnsi="Times New Roman"/>
          <w:sz w:val="28"/>
          <w:szCs w:val="28"/>
          <w:lang w:val="uk-UA"/>
        </w:rPr>
        <w:t xml:space="preserve"> зовнішні ризики є найбільш вагомими для отримання прибутковості своєї діяльності. </w:t>
      </w:r>
    </w:p>
    <w:p w:rsidR="00B37265"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В той же час варто зробити ще одне узагальнення для всіх досліджуваних підприємств. Проведений аналіз засвідчує звуження спреду між валовою та операційною маржою для всіх досліджуваних підприємств (рис. 2.7).</w:t>
      </w:r>
    </w:p>
    <w:p w:rsidR="0055571B" w:rsidRPr="00400BAB" w:rsidRDefault="0055571B"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В результаті отриманих даних варто звернути увагу, що такого роду обчислення вказує на оптимізацію адміністративних та збутових витрат, що вказує на загальну тенденцію до поліпшення внутрішніх бізнес – процесів для лідерів сільськогосподарської галузі.</w:t>
      </w:r>
    </w:p>
    <w:p w:rsidR="00420030" w:rsidRDefault="00B37265" w:rsidP="00420030">
      <w:pPr>
        <w:spacing w:after="0" w:line="360" w:lineRule="auto"/>
        <w:jc w:val="both"/>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lastRenderedPageBreak/>
        <w:drawing>
          <wp:inline distT="0" distB="0" distL="0" distR="0" wp14:anchorId="33B85E2B" wp14:editId="43017967">
            <wp:extent cx="5731510" cy="4087823"/>
            <wp:effectExtent l="0" t="0" r="8890" b="14605"/>
            <wp:docPr id="437569069"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37265" w:rsidRPr="00420030" w:rsidRDefault="00B37265" w:rsidP="00420030">
      <w:pPr>
        <w:spacing w:after="0" w:line="360" w:lineRule="auto"/>
        <w:ind w:firstLine="709"/>
        <w:jc w:val="both"/>
        <w:rPr>
          <w:rFonts w:ascii="Times New Roman" w:hAnsi="Times New Roman"/>
          <w:sz w:val="28"/>
          <w:szCs w:val="28"/>
          <w:lang w:val="uk-UA"/>
        </w:rPr>
      </w:pPr>
      <w:r w:rsidRPr="00400BAB">
        <w:rPr>
          <w:rFonts w:ascii="Times New Roman" w:hAnsi="Times New Roman"/>
          <w:b/>
          <w:bCs/>
          <w:sz w:val="28"/>
          <w:szCs w:val="28"/>
          <w:lang w:val="uk-UA"/>
        </w:rPr>
        <w:t xml:space="preserve">Рис. 2.7 </w:t>
      </w:r>
      <w:r w:rsidRPr="00400BAB">
        <w:rPr>
          <w:rFonts w:ascii="Times New Roman" w:hAnsi="Times New Roman"/>
          <w:b/>
          <w:bCs/>
          <w:color w:val="000000"/>
          <w:sz w:val="28"/>
          <w:szCs w:val="28"/>
        </w:rPr>
        <w:t xml:space="preserve">Динаміка спреду між валовою та операційною маржою Kernel, МХП та Astarta-Kyiv </w:t>
      </w:r>
      <w:r w:rsidRPr="00400BAB">
        <w:rPr>
          <w:rFonts w:ascii="Times New Roman" w:hAnsi="Times New Roman"/>
          <w:b/>
          <w:bCs/>
          <w:color w:val="000000"/>
          <w:sz w:val="28"/>
          <w:szCs w:val="28"/>
          <w:lang w:val="uk-UA"/>
        </w:rPr>
        <w:t xml:space="preserve">за </w:t>
      </w:r>
      <w:r w:rsidRPr="00400BAB">
        <w:rPr>
          <w:rFonts w:ascii="Times New Roman" w:hAnsi="Times New Roman"/>
          <w:b/>
          <w:bCs/>
          <w:color w:val="000000"/>
          <w:sz w:val="28"/>
          <w:szCs w:val="28"/>
        </w:rPr>
        <w:t>2021–2025 рр.</w:t>
      </w:r>
    </w:p>
    <w:p w:rsidR="00B37265" w:rsidRPr="00400BAB" w:rsidRDefault="00B37265" w:rsidP="00671574">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sz w:val="28"/>
          <w:szCs w:val="28"/>
          <w:lang w:val="uk-UA"/>
        </w:rPr>
      </w:pP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sz w:val="28"/>
          <w:szCs w:val="28"/>
          <w:lang w:val="uk-UA"/>
        </w:rPr>
        <w:t xml:space="preserve">Найбільш виразні значення для МХП та </w:t>
      </w:r>
      <w:r w:rsidRPr="00400BAB">
        <w:rPr>
          <w:rFonts w:ascii="Times New Roman" w:hAnsi="Times New Roman"/>
          <w:color w:val="000000"/>
          <w:sz w:val="28"/>
          <w:szCs w:val="28"/>
        </w:rPr>
        <w:t>Astarta-Kyiv</w:t>
      </w:r>
      <w:r w:rsidRPr="00400BAB">
        <w:rPr>
          <w:rFonts w:ascii="Times New Roman" w:hAnsi="Times New Roman"/>
          <w:color w:val="000000"/>
          <w:sz w:val="28"/>
          <w:szCs w:val="28"/>
          <w:lang w:val="uk-UA"/>
        </w:rPr>
        <w:t>, в яких отримано значення на рівні скорочення спреду на 1,1 та 0,9 відповідно. З точки зору наукового підґрунтя це вказує на нарощення або стабілізацію операційного прибутку в компаніях за умов постійної зміни собівартості, враховуючи інфляційні коливання. При цьому підприємства спромоглись зменшити питомі витрати на транспортування, логістику та управлінський апарат підприємств. Варто відмітити МХП, де наявний є застосування цифрових інструментів та жорсткий контроль за ланцюгами поставок, що також позитивно вплинуло на отриманий результат.</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sz w:val="28"/>
          <w:szCs w:val="28"/>
          <w:lang w:val="uk-UA"/>
        </w:rPr>
        <w:t xml:space="preserve">Для аграрного холдингу </w:t>
      </w:r>
      <w:r w:rsidRPr="00400BAB">
        <w:rPr>
          <w:rFonts w:ascii="Times New Roman" w:hAnsi="Times New Roman"/>
          <w:color w:val="000000"/>
          <w:sz w:val="28"/>
          <w:szCs w:val="28"/>
        </w:rPr>
        <w:t>Astarta</w:t>
      </w:r>
      <w:r w:rsidRPr="00400BAB">
        <w:rPr>
          <w:rFonts w:ascii="Times New Roman" w:hAnsi="Times New Roman"/>
          <w:color w:val="000000"/>
          <w:sz w:val="28"/>
          <w:szCs w:val="28"/>
          <w:lang w:val="uk-UA"/>
        </w:rPr>
        <w:t>-</w:t>
      </w:r>
      <w:r w:rsidRPr="00400BAB">
        <w:rPr>
          <w:rFonts w:ascii="Times New Roman" w:hAnsi="Times New Roman"/>
          <w:color w:val="000000"/>
          <w:sz w:val="28"/>
          <w:szCs w:val="28"/>
        </w:rPr>
        <w:t>Kyiv</w:t>
      </w:r>
      <w:r w:rsidRPr="00400BAB">
        <w:rPr>
          <w:rFonts w:ascii="Times New Roman" w:hAnsi="Times New Roman"/>
          <w:color w:val="000000"/>
          <w:sz w:val="28"/>
          <w:szCs w:val="28"/>
          <w:lang w:val="uk-UA"/>
        </w:rPr>
        <w:t xml:space="preserve"> наявна інша динаміка змін, адже саме в цього підприємства були зафіксовані найвищі співвідношення (в </w:t>
      </w:r>
      <w:r w:rsidR="00420030">
        <w:rPr>
          <w:rFonts w:ascii="Times New Roman" w:hAnsi="Times New Roman"/>
          <w:color w:val="000000"/>
          <w:sz w:val="28"/>
          <w:szCs w:val="28"/>
          <w:lang w:val="uk-UA"/>
        </w:rPr>
        <w:br/>
      </w:r>
      <w:r w:rsidRPr="00400BAB">
        <w:rPr>
          <w:rFonts w:ascii="Times New Roman" w:hAnsi="Times New Roman"/>
          <w:color w:val="000000"/>
          <w:sz w:val="28"/>
          <w:szCs w:val="28"/>
          <w:lang w:val="uk-UA"/>
        </w:rPr>
        <w:t xml:space="preserve">2021 р. – 9,6 та 8,7 – в 2025 р.), що говорить про послідовне скорочення та </w:t>
      </w:r>
      <w:r w:rsidRPr="00400BAB">
        <w:rPr>
          <w:rFonts w:ascii="Times New Roman" w:hAnsi="Times New Roman"/>
          <w:color w:val="000000"/>
          <w:sz w:val="28"/>
          <w:szCs w:val="28"/>
          <w:lang w:val="uk-UA"/>
        </w:rPr>
        <w:lastRenderedPageBreak/>
        <w:t xml:space="preserve">зменшення спреду. Вбачається, що така тенденція для компанії спостерігається за рахунок переформатування бізнес- моделі та переходу на ощадливе виробництво. Для </w:t>
      </w:r>
      <w:r w:rsidRPr="00400BAB">
        <w:rPr>
          <w:rFonts w:ascii="Times New Roman" w:hAnsi="Times New Roman"/>
          <w:color w:val="000000"/>
          <w:sz w:val="28"/>
          <w:szCs w:val="28"/>
        </w:rPr>
        <w:t>Kernel</w:t>
      </w:r>
      <w:r w:rsidRPr="00400BAB">
        <w:rPr>
          <w:rFonts w:ascii="Times New Roman" w:hAnsi="Times New Roman"/>
          <w:color w:val="000000"/>
          <w:sz w:val="28"/>
          <w:szCs w:val="28"/>
          <w:lang w:val="uk-UA"/>
        </w:rPr>
        <w:t xml:space="preserve"> наявна інша спрямованість скорочення співвідношення. За досліджуваний період підприємство приймало більш радикальні рішення та скоротило штат працівників і витрати на маркетинг. В останні ж роки дослідження </w:t>
      </w:r>
      <w:r w:rsidRPr="00400BAB">
        <w:rPr>
          <w:rFonts w:ascii="Times New Roman" w:hAnsi="Times New Roman"/>
          <w:color w:val="000000"/>
          <w:sz w:val="28"/>
          <w:szCs w:val="28"/>
        </w:rPr>
        <w:t>Kernel</w:t>
      </w:r>
      <w:r w:rsidRPr="00400BAB">
        <w:rPr>
          <w:rFonts w:ascii="Times New Roman" w:hAnsi="Times New Roman"/>
          <w:color w:val="000000"/>
          <w:sz w:val="28"/>
          <w:szCs w:val="28"/>
          <w:lang w:val="uk-UA"/>
        </w:rPr>
        <w:t xml:space="preserve"> має збільшення показника сперду, адже вкладені до попередні роки інвестиції в розбудову нових логістичних маршрутів, дали свої позитивні результати. Тобто можна сказати, що як будь які додаткові вливання, внутрішні інвестиційні проєкти – це рішення, що мають наявний економічний те результативний ефект лише з часом.</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 останній рік дослідження всі сільськогосподарські холдинги продемонстрували досягнення точки операційної рівноваги, за якого досягається фундаментальний базис для індикаторів зрілості економічного механізму. Тобто для подальшого розвитку вітчизняним аграрним підприємствам потрібно в більшій мірі докладати зусиль на створення якісного управління витратами за рахунок зниження непродуктивних втрат капіталу. А отримані в результаті обрахунку значення є базисом для подальшого дослідження інвестиційної привабливості досліджуваних підприємств.</w:t>
      </w:r>
    </w:p>
    <w:p w:rsidR="00B37265" w:rsidRPr="00400BAB" w:rsidRDefault="00B37265" w:rsidP="00671574">
      <w:pPr>
        <w:spacing w:after="0" w:line="360" w:lineRule="auto"/>
        <w:ind w:firstLine="709"/>
        <w:jc w:val="both"/>
        <w:rPr>
          <w:rFonts w:ascii="Times New Roman" w:hAnsi="Times New Roman"/>
          <w:color w:val="000000"/>
          <w:sz w:val="28"/>
          <w:szCs w:val="28"/>
          <w:lang w:val="uk-UA"/>
        </w:rPr>
      </w:pPr>
      <w:r w:rsidRPr="00400BAB">
        <w:rPr>
          <w:rFonts w:ascii="Times New Roman" w:hAnsi="Times New Roman"/>
          <w:color w:val="000000"/>
          <w:sz w:val="28"/>
          <w:szCs w:val="28"/>
          <w:lang w:val="uk-UA"/>
        </w:rPr>
        <w:t>Відповідно, в подальшому для поглиблення поля наукової проблематики та аналітичного підґрунтя за визначеними завданнями було здійснено аналіз динаміки стійкості капіталу підприємств та ефективності трансформації активів саме в кругообігу грошових потоків. З точки зору інвестиційної привабливості, ефективності використання залучених коштів варто звернути увагу, що умови функціонування суб’єктів господарювання на теперішній момент мають бути спрямовані на відстеження швидкості обороту оборотних коштів та визначення факторів, що впливають на них.</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Одним з вагомих показників, що вказує на формування потоків грошових коштів для підприємств є співвідношення боргових зобов’язань до </w:t>
      </w:r>
      <w:r w:rsidRPr="00400BAB">
        <w:rPr>
          <w:rFonts w:ascii="Times New Roman" w:hAnsi="Times New Roman"/>
          <w:sz w:val="28"/>
          <w:szCs w:val="28"/>
          <w:lang w:val="en-US"/>
        </w:rPr>
        <w:t>EBITDA</w:t>
      </w:r>
      <w:r w:rsidRPr="00400BAB">
        <w:rPr>
          <w:rFonts w:ascii="Times New Roman" w:hAnsi="Times New Roman"/>
          <w:sz w:val="28"/>
          <w:szCs w:val="28"/>
          <w:lang w:val="uk-UA"/>
        </w:rPr>
        <w:t xml:space="preserve">. Даний економічний показник вказує на запас міцності підприємства </w:t>
      </w:r>
      <w:r w:rsidRPr="00400BAB">
        <w:rPr>
          <w:rFonts w:ascii="Times New Roman" w:hAnsi="Times New Roman"/>
          <w:sz w:val="28"/>
          <w:szCs w:val="28"/>
          <w:lang w:val="uk-UA"/>
        </w:rPr>
        <w:lastRenderedPageBreak/>
        <w:t xml:space="preserve">по відношенню до його здатності постійно генерувати прибуток в результаті господарської діяльності та покривати всіх запозичень. </w:t>
      </w:r>
    </w:p>
    <w:p w:rsidR="00420030" w:rsidRDefault="00B37265" w:rsidP="00420030">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drawing>
          <wp:inline distT="0" distB="0" distL="0" distR="0" wp14:anchorId="2A9B3FD5" wp14:editId="20EC98EF">
            <wp:extent cx="5690681" cy="3998068"/>
            <wp:effectExtent l="0" t="0" r="12065" b="15240"/>
            <wp:docPr id="182361646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37265" w:rsidRPr="00420030" w:rsidRDefault="00B37265" w:rsidP="00420030">
      <w:pPr>
        <w:spacing w:after="0" w:line="360" w:lineRule="auto"/>
        <w:ind w:firstLine="709"/>
        <w:jc w:val="both"/>
        <w:rPr>
          <w:rFonts w:ascii="Times New Roman" w:hAnsi="Times New Roman"/>
          <w:sz w:val="28"/>
          <w:szCs w:val="28"/>
          <w:lang w:val="uk-UA"/>
        </w:rPr>
      </w:pPr>
      <w:r w:rsidRPr="00400BAB">
        <w:rPr>
          <w:rFonts w:ascii="Times New Roman" w:hAnsi="Times New Roman"/>
          <w:b/>
          <w:bCs/>
          <w:sz w:val="28"/>
          <w:szCs w:val="28"/>
          <w:lang w:val="uk-UA"/>
        </w:rPr>
        <w:t xml:space="preserve">Рис. 2.8 </w:t>
      </w:r>
      <w:r w:rsidRPr="00400BAB">
        <w:rPr>
          <w:rFonts w:ascii="Times New Roman" w:hAnsi="Times New Roman"/>
          <w:b/>
          <w:bCs/>
          <w:color w:val="000000"/>
          <w:sz w:val="28"/>
          <w:szCs w:val="28"/>
          <w:lang w:val="uk-UA"/>
        </w:rPr>
        <w:t>Аналіз боргового навантаження та платоспроможності</w:t>
      </w:r>
      <w:r w:rsidRPr="00400BAB">
        <w:rPr>
          <w:rFonts w:ascii="Times New Roman" w:hAnsi="Times New Roman"/>
          <w:b/>
          <w:bCs/>
          <w:color w:val="000000"/>
          <w:sz w:val="28"/>
          <w:szCs w:val="28"/>
        </w:rPr>
        <w:t xml:space="preserve"> Kernel, МХП та Astarta-Kyiv </w:t>
      </w:r>
      <w:r w:rsidRPr="00400BAB">
        <w:rPr>
          <w:rFonts w:ascii="Times New Roman" w:hAnsi="Times New Roman"/>
          <w:b/>
          <w:bCs/>
          <w:color w:val="000000"/>
          <w:sz w:val="28"/>
          <w:szCs w:val="28"/>
          <w:lang w:val="uk-UA"/>
        </w:rPr>
        <w:t xml:space="preserve">за </w:t>
      </w:r>
      <w:r w:rsidRPr="00400BAB">
        <w:rPr>
          <w:rFonts w:ascii="Times New Roman" w:hAnsi="Times New Roman"/>
          <w:b/>
          <w:bCs/>
          <w:color w:val="000000"/>
          <w:sz w:val="28"/>
          <w:szCs w:val="28"/>
        </w:rPr>
        <w:t>2021–2025 рр.</w:t>
      </w:r>
    </w:p>
    <w:p w:rsidR="00B37265" w:rsidRPr="00400BAB" w:rsidRDefault="00B37265" w:rsidP="00671574">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37265" w:rsidRPr="00400BAB" w:rsidRDefault="00B37265" w:rsidP="00671574">
      <w:pPr>
        <w:spacing w:after="0" w:line="360" w:lineRule="auto"/>
        <w:ind w:firstLine="709"/>
        <w:jc w:val="both"/>
        <w:rPr>
          <w:rFonts w:ascii="Times New Roman" w:hAnsi="Times New Roman"/>
          <w:sz w:val="28"/>
          <w:szCs w:val="28"/>
        </w:rPr>
      </w:pP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результаті обрахунку визначено, що 2022 р. </w:t>
      </w:r>
      <w:r w:rsidR="00420030">
        <w:rPr>
          <w:rFonts w:ascii="Times New Roman" w:hAnsi="Times New Roman"/>
          <w:sz w:val="28"/>
          <w:szCs w:val="28"/>
          <w:lang w:val="uk-UA"/>
        </w:rPr>
        <w:t>с</w:t>
      </w:r>
      <w:r w:rsidRPr="00400BAB">
        <w:rPr>
          <w:rFonts w:ascii="Times New Roman" w:hAnsi="Times New Roman"/>
          <w:sz w:val="28"/>
          <w:szCs w:val="28"/>
          <w:lang w:val="uk-UA"/>
        </w:rPr>
        <w:t xml:space="preserve">тав найбільш небезпечним для всіх досліджуваних підприємств, а борговий тиск був найбільшим за роки дослідження. Стрімке посилення співвідношення для </w:t>
      </w:r>
      <w:r w:rsidRPr="00400BAB">
        <w:rPr>
          <w:rFonts w:ascii="Times New Roman" w:hAnsi="Times New Roman"/>
          <w:sz w:val="28"/>
          <w:szCs w:val="28"/>
          <w:lang w:val="en-US"/>
        </w:rPr>
        <w:t>Kernel</w:t>
      </w:r>
      <w:r w:rsidRPr="00400BAB">
        <w:rPr>
          <w:rFonts w:ascii="Times New Roman" w:hAnsi="Times New Roman"/>
          <w:sz w:val="28"/>
          <w:szCs w:val="28"/>
          <w:lang w:val="uk-UA"/>
        </w:rPr>
        <w:t xml:space="preserve"> склало 150,7</w:t>
      </w:r>
      <w:r w:rsidR="00420030">
        <w:rPr>
          <w:rFonts w:ascii="Times New Roman" w:hAnsi="Times New Roman"/>
          <w:sz w:val="28"/>
          <w:szCs w:val="28"/>
          <w:lang w:val="uk-UA"/>
        </w:rPr>
        <w:t xml:space="preserve"> </w:t>
      </w:r>
      <w:r w:rsidRPr="00400BAB">
        <w:rPr>
          <w:rFonts w:ascii="Times New Roman" w:hAnsi="Times New Roman"/>
          <w:sz w:val="28"/>
          <w:szCs w:val="28"/>
          <w:lang w:val="uk-UA"/>
        </w:rPr>
        <w:t>%, для МХП – 72,7</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 для </w:t>
      </w:r>
      <w:r w:rsidRPr="00400BAB">
        <w:rPr>
          <w:rFonts w:ascii="Times New Roman" w:hAnsi="Times New Roman"/>
          <w:sz w:val="28"/>
          <w:szCs w:val="28"/>
          <w:lang w:val="en-US"/>
        </w:rPr>
        <w:t>Astarta</w:t>
      </w:r>
      <w:r w:rsidRPr="00400BAB">
        <w:rPr>
          <w:rFonts w:ascii="Times New Roman" w:hAnsi="Times New Roman"/>
          <w:sz w:val="28"/>
          <w:szCs w:val="28"/>
          <w:lang w:val="uk-UA"/>
        </w:rPr>
        <w:t>-</w:t>
      </w:r>
      <w:r w:rsidRPr="00400BAB">
        <w:rPr>
          <w:rFonts w:ascii="Times New Roman" w:hAnsi="Times New Roman"/>
          <w:sz w:val="28"/>
          <w:szCs w:val="28"/>
          <w:lang w:val="en-US"/>
        </w:rPr>
        <w:t>Kyiv</w:t>
      </w:r>
      <w:r w:rsidRPr="00400BAB">
        <w:rPr>
          <w:rFonts w:ascii="Times New Roman" w:hAnsi="Times New Roman"/>
          <w:sz w:val="28"/>
          <w:szCs w:val="28"/>
          <w:lang w:val="uk-UA"/>
        </w:rPr>
        <w:t xml:space="preserve"> – 151,2</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 Такі показники сформовані для першого згаданого підприємства за рахунок одночасного стрімкого падіння операційного прибутку та залучення додаткових коштів, в результаті блокування виробничих запасів. Тобто показник станом на 2022 р. в порівнянні з 2021 р. збільшився в 2,5 рази і підприємство вимучено долучало додаткові фінанси для збереження мінімального рівня прибутковості. В подальші роки для </w:t>
      </w:r>
      <w:r w:rsidRPr="00400BAB">
        <w:rPr>
          <w:rFonts w:ascii="Times New Roman" w:hAnsi="Times New Roman"/>
          <w:sz w:val="28"/>
          <w:szCs w:val="28"/>
          <w:lang w:val="en-US"/>
        </w:rPr>
        <w:t>Kernel</w:t>
      </w:r>
      <w:r w:rsidRPr="00400BAB">
        <w:rPr>
          <w:rFonts w:ascii="Times New Roman" w:hAnsi="Times New Roman"/>
          <w:sz w:val="28"/>
          <w:szCs w:val="28"/>
          <w:lang w:val="uk-UA"/>
        </w:rPr>
        <w:t xml:space="preserve"> спостерігається динаміка до зниження боргового тиску, на що може </w:t>
      </w:r>
      <w:r w:rsidRPr="00400BAB">
        <w:rPr>
          <w:rFonts w:ascii="Times New Roman" w:hAnsi="Times New Roman"/>
          <w:sz w:val="28"/>
          <w:szCs w:val="28"/>
          <w:lang w:val="uk-UA"/>
        </w:rPr>
        <w:lastRenderedPageBreak/>
        <w:t>вказувати застосування дієвого механізму фінансового контролю та реабілітації після впливи ризиків. Схожа ситуація за результатами обрахунків спостерігалась за роки дослідження і для МХП. Підприємство мало сильний борговий тиск в 2022 р., який становив збільшення на 72,7</w:t>
      </w:r>
      <w:r w:rsidR="00420030">
        <w:rPr>
          <w:rFonts w:ascii="Times New Roman" w:hAnsi="Times New Roman"/>
          <w:sz w:val="28"/>
          <w:szCs w:val="28"/>
          <w:lang w:val="uk-UA"/>
        </w:rPr>
        <w:t xml:space="preserve"> </w:t>
      </w:r>
      <w:r w:rsidRPr="00400BAB">
        <w:rPr>
          <w:rFonts w:ascii="Times New Roman" w:hAnsi="Times New Roman"/>
          <w:sz w:val="28"/>
          <w:szCs w:val="28"/>
          <w:lang w:val="uk-UA"/>
        </w:rPr>
        <w:t xml:space="preserve">% в порівнянні з 2021 р. В загальному динаміка змін та значення по кожному року дослідження для обох згаданих підприємств має суттєві спільні характеристики, тобто аграрні компанії мають суттєвий вплив однакових ризиків на свою діяльність. Натомість відмінним залишається структура капіталу </w:t>
      </w:r>
      <w:r w:rsidRPr="00400BAB">
        <w:rPr>
          <w:rFonts w:ascii="Times New Roman" w:hAnsi="Times New Roman"/>
          <w:sz w:val="28"/>
          <w:szCs w:val="28"/>
          <w:lang w:val="en-US"/>
        </w:rPr>
        <w:t>Astarta</w:t>
      </w:r>
      <w:r w:rsidRPr="00400BAB">
        <w:rPr>
          <w:rFonts w:ascii="Times New Roman" w:hAnsi="Times New Roman"/>
          <w:sz w:val="28"/>
          <w:szCs w:val="28"/>
        </w:rPr>
        <w:t>-</w:t>
      </w:r>
      <w:r w:rsidRPr="00400BAB">
        <w:rPr>
          <w:rFonts w:ascii="Times New Roman" w:hAnsi="Times New Roman"/>
          <w:sz w:val="28"/>
          <w:szCs w:val="28"/>
          <w:lang w:val="en-US"/>
        </w:rPr>
        <w:t>Kyiv</w:t>
      </w:r>
      <w:r w:rsidRPr="00400BAB">
        <w:rPr>
          <w:rFonts w:ascii="Times New Roman" w:hAnsi="Times New Roman"/>
          <w:sz w:val="28"/>
          <w:szCs w:val="28"/>
          <w:lang w:val="uk-UA"/>
        </w:rPr>
        <w:t xml:space="preserve">. Для даного підприємства збільшення боргового навантаження теж в пікові кризові роки має значення в розмірі 151,2%, але при цьому значення не перетинають позначку в 1,5. Тобто співвідношення операційного прибутку та боргів для підприємства є досить прийнятного рівня, що відповідає більш привабливим інвестиційним характеристикам. </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Наступним елементом для аналізу інвестиційної привабливості сільськогосподарських підприємств є ідентифікація внутрішніх резервів щодо формування інвестиційної привабливості. Для цього досить логічним є представлення ділової активності, яка має прояв через тривалість операційного циклу виробництва. В зв’язку з тим, що аграрний сектор економіки має досить тривалий виробничий цикл, варто сказати, що його пришвидшення відіграє суттєву роль в процесах обрахунку доходу від етапу вкладення в сировину до погашення дебіторської заборгованості. Відповідно для цього було здійснено аналіз для досліджуваних підприємств, що включає визначення обороту коштів для досліджуваних підприємств за період 2021 – 2025 рр. (рис. 2.9).</w:t>
      </w:r>
    </w:p>
    <w:p w:rsidR="0055571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Отримані результати виробничих циклів підприємств підтверджують загальну тенденцію негативних впливів та ризиків в 2022 р. Для аграрних компаній отримання вкладених коштів збільшилось в середньому на 61,3 % (що складає 96 днів) за рахунок повного переулаштування виробничих процесів, пов’язаних з порушенням логістики, фізичним руйнуванням активів та збільшенням тривалості продажів підприємств. Але за наступні </w:t>
      </w:r>
      <w:r w:rsidRPr="00400BAB">
        <w:rPr>
          <w:rFonts w:ascii="Times New Roman" w:hAnsi="Times New Roman"/>
          <w:sz w:val="28"/>
          <w:szCs w:val="28"/>
          <w:lang w:val="uk-UA"/>
        </w:rPr>
        <w:lastRenderedPageBreak/>
        <w:t xml:space="preserve">роки дослідження відбулось поступове скорочення виробничого циклу та повернення майже на до військові часи, що вказує на адаптацію підприємств та зміну збутової політики. </w:t>
      </w:r>
    </w:p>
    <w:p w:rsidR="0055571B" w:rsidRDefault="0055571B" w:rsidP="0055571B">
      <w:pPr>
        <w:spacing w:after="0"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drawing>
          <wp:inline distT="0" distB="0" distL="0" distR="0" wp14:anchorId="56D240E5" wp14:editId="5B106A9E">
            <wp:extent cx="5690681" cy="3998068"/>
            <wp:effectExtent l="0" t="0" r="12065" b="15240"/>
            <wp:docPr id="51159681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5571B" w:rsidRPr="00420030" w:rsidRDefault="0055571B" w:rsidP="0055571B">
      <w:pPr>
        <w:spacing w:after="0" w:line="360" w:lineRule="auto"/>
        <w:ind w:firstLine="709"/>
        <w:jc w:val="both"/>
        <w:rPr>
          <w:rFonts w:ascii="Times New Roman" w:hAnsi="Times New Roman"/>
          <w:sz w:val="28"/>
          <w:szCs w:val="28"/>
          <w:lang w:val="uk-UA"/>
        </w:rPr>
      </w:pPr>
      <w:r w:rsidRPr="00400BAB">
        <w:rPr>
          <w:rFonts w:ascii="Times New Roman" w:hAnsi="Times New Roman"/>
          <w:b/>
          <w:bCs/>
          <w:sz w:val="28"/>
          <w:szCs w:val="28"/>
          <w:lang w:val="uk-UA"/>
        </w:rPr>
        <w:t xml:space="preserve">Рис. 2.9 </w:t>
      </w:r>
      <w:r w:rsidRPr="00400BAB">
        <w:rPr>
          <w:rFonts w:ascii="Times New Roman" w:hAnsi="Times New Roman"/>
          <w:b/>
          <w:bCs/>
          <w:color w:val="000000"/>
          <w:sz w:val="28"/>
          <w:szCs w:val="28"/>
          <w:lang w:val="uk-UA"/>
        </w:rPr>
        <w:t xml:space="preserve">Динаміка ділової активності та оборотності ресурсів </w:t>
      </w:r>
      <w:r w:rsidRPr="00400BAB">
        <w:rPr>
          <w:rFonts w:ascii="Times New Roman" w:hAnsi="Times New Roman"/>
          <w:b/>
          <w:bCs/>
          <w:color w:val="000000"/>
          <w:sz w:val="28"/>
          <w:szCs w:val="28"/>
        </w:rPr>
        <w:t>Kernel</w:t>
      </w:r>
      <w:r w:rsidRPr="00400BAB">
        <w:rPr>
          <w:rFonts w:ascii="Times New Roman" w:hAnsi="Times New Roman"/>
          <w:b/>
          <w:bCs/>
          <w:color w:val="000000"/>
          <w:sz w:val="28"/>
          <w:szCs w:val="28"/>
          <w:lang w:val="uk-UA"/>
        </w:rPr>
        <w:t xml:space="preserve">, МХП та </w:t>
      </w:r>
      <w:r w:rsidRPr="00400BAB">
        <w:rPr>
          <w:rFonts w:ascii="Times New Roman" w:hAnsi="Times New Roman"/>
          <w:b/>
          <w:bCs/>
          <w:color w:val="000000"/>
          <w:sz w:val="28"/>
          <w:szCs w:val="28"/>
        </w:rPr>
        <w:t>Astarta</w:t>
      </w:r>
      <w:r w:rsidRPr="00400BAB">
        <w:rPr>
          <w:rFonts w:ascii="Times New Roman" w:hAnsi="Times New Roman"/>
          <w:b/>
          <w:bCs/>
          <w:color w:val="000000"/>
          <w:sz w:val="28"/>
          <w:szCs w:val="28"/>
          <w:lang w:val="uk-UA"/>
        </w:rPr>
        <w:t>-</w:t>
      </w:r>
      <w:r w:rsidRPr="00400BAB">
        <w:rPr>
          <w:rFonts w:ascii="Times New Roman" w:hAnsi="Times New Roman"/>
          <w:b/>
          <w:bCs/>
          <w:color w:val="000000"/>
          <w:sz w:val="28"/>
          <w:szCs w:val="28"/>
        </w:rPr>
        <w:t>Kyiv</w:t>
      </w:r>
      <w:r w:rsidRPr="00400BAB">
        <w:rPr>
          <w:rFonts w:ascii="Times New Roman" w:hAnsi="Times New Roman"/>
          <w:b/>
          <w:bCs/>
          <w:color w:val="000000"/>
          <w:sz w:val="28"/>
          <w:szCs w:val="28"/>
          <w:lang w:val="uk-UA"/>
        </w:rPr>
        <w:t xml:space="preserve"> за 2021–2025 рр., дні</w:t>
      </w:r>
    </w:p>
    <w:p w:rsidR="0055571B" w:rsidRPr="00400BAB" w:rsidRDefault="0055571B" w:rsidP="0055571B">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55571B" w:rsidRPr="00400BAB" w:rsidRDefault="0055571B" w:rsidP="0055571B">
      <w:pPr>
        <w:spacing w:after="0" w:line="360" w:lineRule="auto"/>
        <w:ind w:firstLine="709"/>
        <w:jc w:val="both"/>
        <w:rPr>
          <w:rFonts w:ascii="Times New Roman" w:hAnsi="Times New Roman"/>
          <w:sz w:val="28"/>
          <w:szCs w:val="28"/>
          <w:lang w:val="uk-UA"/>
        </w:rPr>
      </w:pP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 такому разі варто звернути увагу, що аграрні підприємства за рахунок усунення наявних вагомих проблем з обігом коштів посилюють свої позиції за рахунок вивільнення капіталу, що є прямим фактором покращення інвестиційної привабливості підприємств. </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Наступним кроком для визначення економічних важелів впливу на інвестиційну привабливість підприємств стало застосування трифакторної моделі Дюпона. Вказаний економічний інструмент надає можливість визначити які саме важелі (рентабельність, оборотні кошти, фінансовий ліверджи) в кінцевому результаті формують прибутковість та збільшення власного капіталу підприємства (</w:t>
      </w:r>
      <w:r w:rsidRPr="00212E70">
        <w:rPr>
          <w:rFonts w:ascii="Times New Roman" w:hAnsi="Times New Roman"/>
          <w:sz w:val="28"/>
          <w:szCs w:val="28"/>
          <w:lang w:val="uk-UA"/>
        </w:rPr>
        <w:t>ROE</w:t>
      </w:r>
      <w:r w:rsidRPr="00400BAB">
        <w:rPr>
          <w:rFonts w:ascii="Times New Roman" w:hAnsi="Times New Roman"/>
          <w:sz w:val="28"/>
          <w:szCs w:val="28"/>
          <w:lang w:val="uk-UA"/>
        </w:rPr>
        <w:t xml:space="preserve">). В попередніх дослідженнях було </w:t>
      </w:r>
      <w:r w:rsidRPr="00400BAB">
        <w:rPr>
          <w:rFonts w:ascii="Times New Roman" w:hAnsi="Times New Roman"/>
          <w:sz w:val="28"/>
          <w:szCs w:val="28"/>
          <w:lang w:val="uk-UA"/>
        </w:rPr>
        <w:lastRenderedPageBreak/>
        <w:t>подано аналіз динаміки змін даного показника, а ось його структурне наповнення прямолінійно впливає на формування та, відповідно, на забезпечення основних показників інвестиційної привабливості для сільськогосподарських підприємств.</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Методологічне підґрунтя для подальшого аналізу полягає в використанні трифакторної моделі Дюпона, а саме в декомпозиції основних показників формування власного капіталу. Математичний обрахунок був здійснений на основі наступного методологічного підґрунтя:</w:t>
      </w:r>
      <w:r>
        <w:t xml:space="preserve"> </w:t>
      </w:r>
      <w:r>
        <w:rPr>
          <w:rFonts w:ascii="Times New Roman" w:eastAsia="Times New Roman" w:hAnsi="Times New Roman"/>
          <w:sz w:val="28"/>
          <w:szCs w:val="28"/>
        </w:rPr>
        <w:t>[143]</w:t>
      </w:r>
      <w:r>
        <w:t>.</w:t>
      </w:r>
    </w:p>
    <w:p w:rsidR="00B37265" w:rsidRPr="00400BAB" w:rsidRDefault="00EB5B4E" w:rsidP="00671574">
      <w:pPr>
        <w:spacing w:after="0" w:line="360" w:lineRule="auto"/>
        <w:jc w:val="center"/>
        <w:rPr>
          <w:rFonts w:ascii="Times New Roman" w:hAnsi="Times New Roman"/>
          <w:sz w:val="28"/>
          <w:szCs w:val="28"/>
          <w:lang w:val="uk-UA"/>
        </w:rPr>
      </w:pPr>
      <m:oMathPara>
        <m:oMath>
          <m:eqArr>
            <m:eqArrPr>
              <m:maxDist m:val="1"/>
              <m:ctrlPr>
                <w:rPr>
                  <w:rFonts w:ascii="Cambria Math" w:hAnsi="Cambria Math"/>
                  <w:i/>
                  <w:sz w:val="28"/>
                  <w:szCs w:val="28"/>
                  <w:lang w:val="en-US"/>
                </w:rPr>
              </m:ctrlPr>
            </m:eqArrPr>
            <m:e>
              <m:r>
                <w:rPr>
                  <w:rFonts w:ascii="Cambria Math" w:hAnsi="Cambria Math"/>
                  <w:sz w:val="28"/>
                  <w:szCs w:val="28"/>
                  <w:lang w:val="uk-UA"/>
                </w:rPr>
                <m:t>R</m:t>
              </m:r>
              <m:r>
                <w:rPr>
                  <w:rFonts w:ascii="Cambria Math" w:hAnsi="Cambria Math"/>
                  <w:sz w:val="28"/>
                  <w:szCs w:val="28"/>
                  <w:lang w:val="en-US"/>
                </w:rPr>
                <m:t xml:space="preserve">OE= </m:t>
              </m:r>
              <m:f>
                <m:fPr>
                  <m:ctrlPr>
                    <w:rPr>
                      <w:rFonts w:ascii="Cambria Math" w:hAnsi="Cambria Math"/>
                      <w:i/>
                      <w:sz w:val="28"/>
                      <w:szCs w:val="28"/>
                      <w:lang w:val="en-US"/>
                    </w:rPr>
                  </m:ctrlPr>
                </m:fPr>
                <m:num>
                  <m:r>
                    <w:rPr>
                      <w:rFonts w:ascii="Cambria Math" w:hAnsi="Cambria Math"/>
                      <w:sz w:val="28"/>
                      <w:szCs w:val="28"/>
                      <w:lang w:val="en-US"/>
                    </w:rPr>
                    <m:t>Net Income</m:t>
                  </m:r>
                </m:num>
                <m:den>
                  <m:r>
                    <w:rPr>
                      <w:rFonts w:ascii="Cambria Math" w:hAnsi="Cambria Math"/>
                      <w:sz w:val="28"/>
                      <w:szCs w:val="28"/>
                      <w:lang w:val="en-US"/>
                    </w:rPr>
                    <m:t>Salea</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Sales</m:t>
                  </m:r>
                </m:num>
                <m:den>
                  <m:r>
                    <w:rPr>
                      <w:rFonts w:ascii="Cambria Math" w:hAnsi="Cambria Math"/>
                      <w:sz w:val="28"/>
                      <w:szCs w:val="28"/>
                      <w:lang w:val="en-US"/>
                    </w:rPr>
                    <m:t>Total Assets</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Total Asseta</m:t>
                  </m:r>
                </m:num>
                <m:den>
                  <m:r>
                    <w:rPr>
                      <w:rFonts w:ascii="Cambria Math" w:hAnsi="Cambria Math"/>
                      <w:sz w:val="28"/>
                      <w:szCs w:val="28"/>
                      <w:lang w:val="en-US"/>
                    </w:rPr>
                    <m:t>Shar</m:t>
                  </m:r>
                  <m:r>
                    <w:rPr>
                      <w:rFonts w:ascii="Cambria Math" w:hAnsi="Cambria Math"/>
                      <w:sz w:val="28"/>
                      <w:szCs w:val="28"/>
                      <w:lang w:val="en-US"/>
                    </w:rPr>
                    <m:t>eholder Equity</m:t>
                  </m:r>
                </m:den>
              </m:f>
              <m:r>
                <w:rPr>
                  <w:rFonts w:ascii="Cambria Math" w:hAnsi="Cambria Math"/>
                  <w:sz w:val="28"/>
                  <w:szCs w:val="28"/>
                  <w:lang w:val="en-US"/>
                </w:rPr>
                <m:t>,</m:t>
              </m:r>
              <m:r>
                <w:rPr>
                  <w:rFonts w:ascii="Cambria Math" w:hAnsi="Cambria Math"/>
                  <w:sz w:val="28"/>
                  <w:szCs w:val="28"/>
                  <w:lang w:val="uk-UA"/>
                </w:rPr>
                <m:t>#</m:t>
              </m:r>
              <m:d>
                <m:dPr>
                  <m:ctrlPr>
                    <w:rPr>
                      <w:rFonts w:ascii="Cambria Math" w:hAnsi="Cambria Math"/>
                      <w:i/>
                      <w:sz w:val="28"/>
                      <w:szCs w:val="28"/>
                      <w:lang w:val="en-US"/>
                    </w:rPr>
                  </m:ctrlPr>
                </m:dPr>
                <m:e>
                  <m:r>
                    <w:rPr>
                      <w:rFonts w:ascii="Cambria Math" w:hAnsi="Cambria Math"/>
                      <w:sz w:val="28"/>
                      <w:szCs w:val="28"/>
                      <w:lang w:val="en-US"/>
                    </w:rPr>
                    <m:t>2.3</m:t>
                  </m:r>
                </m:e>
              </m:d>
              <m:ctrlPr>
                <w:rPr>
                  <w:rFonts w:ascii="Cambria Math" w:hAnsi="Cambria Math"/>
                  <w:i/>
                  <w:sz w:val="28"/>
                  <w:szCs w:val="28"/>
                  <w:lang w:val="uk-UA"/>
                </w:rPr>
              </m:ctrlPr>
            </m:e>
          </m:eqArr>
        </m:oMath>
      </m:oMathPara>
    </w:p>
    <w:p w:rsidR="00B37265" w:rsidRPr="00400BAB" w:rsidRDefault="00B37265" w:rsidP="00671574">
      <w:pPr>
        <w:spacing w:after="0" w:line="360" w:lineRule="auto"/>
        <w:jc w:val="center"/>
        <w:rPr>
          <w:rFonts w:ascii="Times New Roman" w:hAnsi="Times New Roman"/>
          <w:sz w:val="28"/>
          <w:szCs w:val="28"/>
          <w:lang w:val="uk-UA"/>
        </w:rPr>
      </w:pPr>
      <m:oMathPara>
        <m:oMath>
          <m:r>
            <w:rPr>
              <w:rFonts w:ascii="Cambria Math" w:hAnsi="Cambria Math"/>
              <w:sz w:val="28"/>
              <w:szCs w:val="28"/>
              <w:lang w:val="uk-UA"/>
            </w:rPr>
            <m:t xml:space="preserve">або </m:t>
          </m:r>
        </m:oMath>
      </m:oMathPara>
    </w:p>
    <w:p w:rsidR="00B37265" w:rsidRPr="00400BAB" w:rsidRDefault="00EB5B4E" w:rsidP="00671574">
      <w:pPr>
        <w:spacing w:after="0" w:line="360" w:lineRule="auto"/>
        <w:jc w:val="center"/>
        <w:rPr>
          <w:rFonts w:ascii="Times New Roman" w:hAnsi="Times New Roman"/>
          <w:sz w:val="28"/>
          <w:szCs w:val="28"/>
          <w:lang w:val="en-US"/>
        </w:rPr>
      </w:pPr>
      <m:oMathPara>
        <m:oMath>
          <m:eqArr>
            <m:eqArrPr>
              <m:maxDist m:val="1"/>
              <m:ctrlPr>
                <w:rPr>
                  <w:rFonts w:ascii="Cambria Math" w:hAnsi="Cambria Math"/>
                  <w:i/>
                  <w:sz w:val="28"/>
                  <w:szCs w:val="28"/>
                  <w:lang w:val="en-US"/>
                </w:rPr>
              </m:ctrlPr>
            </m:eqArrPr>
            <m:e>
              <m:r>
                <w:rPr>
                  <w:rFonts w:ascii="Cambria Math" w:hAnsi="Cambria Math"/>
                  <w:sz w:val="28"/>
                  <w:szCs w:val="28"/>
                  <w:lang w:val="en-US"/>
                </w:rPr>
                <m:t>ROE=ROS*TAT*EM,#</m:t>
              </m:r>
              <m:d>
                <m:dPr>
                  <m:ctrlPr>
                    <w:rPr>
                      <w:rFonts w:ascii="Cambria Math" w:hAnsi="Cambria Math"/>
                      <w:i/>
                      <w:sz w:val="28"/>
                      <w:szCs w:val="28"/>
                      <w:lang w:val="en-US"/>
                    </w:rPr>
                  </m:ctrlPr>
                </m:dPr>
                <m:e>
                  <m:r>
                    <w:rPr>
                      <w:rFonts w:ascii="Cambria Math" w:hAnsi="Cambria Math"/>
                      <w:sz w:val="28"/>
                      <w:szCs w:val="28"/>
                      <w:lang w:val="en-US"/>
                    </w:rPr>
                    <m:t>2.4</m:t>
                  </m:r>
                </m:e>
              </m:d>
            </m:e>
          </m:eqArr>
        </m:oMath>
      </m:oMathPara>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де </w:t>
      </w:r>
      <w:r w:rsidRPr="00400BAB">
        <w:rPr>
          <w:rFonts w:ascii="Times New Roman" w:hAnsi="Times New Roman"/>
          <w:sz w:val="28"/>
          <w:szCs w:val="28"/>
          <w:lang w:val="en-US"/>
        </w:rPr>
        <w:t>ROS</w:t>
      </w:r>
      <w:r w:rsidRPr="00400BAB">
        <w:rPr>
          <w:rFonts w:ascii="Times New Roman" w:hAnsi="Times New Roman"/>
          <w:sz w:val="28"/>
          <w:szCs w:val="28"/>
          <w:lang w:val="uk-UA"/>
        </w:rPr>
        <w:t xml:space="preserve"> – рентабельність продажів;</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   ТАТ – оборотність активів;</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   ЕМ – мультиплікатор капіталу.</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Вказані економічні показники, якщо їх обраховувати окремо, вказують на загальну тенденцію змін за кожним. Особливістю поданої моделі є об’єднання різнорідних даних з мето визначення закономірностей формування. Відповідно, з врахуванням напряму нашого дослідження важливо відмітити роль кожного компонента трифакторної моделі Дюпона в процесах формування інвестиційної привабливості. Так, рентабельність продажів характеризує операційну ефективність та здатність управлінців підприємства ефективно контролювати поточні витрати, що є основою ціноутворення на продукт (послугу). Для аграрного підприємства прямо впливає на рівень конкурентоспроможності продукції та ефективність регулювання цінової політики. При цьому оборотність активів вказує на ділову активність підприємства, а також інтенсивність використання ресурсів. В аспекті сільськогосподарського виробництва високе значення вказує на раціональне використання найбільш вагомим ресурсом – земельним банком, технічним парком та запасами. Означені активи є </w:t>
      </w:r>
      <w:r w:rsidRPr="00400BAB">
        <w:rPr>
          <w:rFonts w:ascii="Times New Roman" w:hAnsi="Times New Roman"/>
          <w:sz w:val="28"/>
          <w:szCs w:val="28"/>
          <w:lang w:val="uk-UA"/>
        </w:rPr>
        <w:lastRenderedPageBreak/>
        <w:t xml:space="preserve">критично важливими для капіталомістких та виробничо складних аграрних холдингів. І остання складова визначає фінансові важелі. Мультиплікатор капіталу вказує на те, в скільки разів активи компанії перевищують над власним капіталом в поточний період аналізу. Відповідно, якщо простежується позитивна динаміка зростання показника, це вказує на значне залучення позикових коштів в діяльність підприємства. При таких тенденціях можливе одночасне збільшення </w:t>
      </w:r>
      <w:r w:rsidRPr="00671574">
        <w:rPr>
          <w:rFonts w:ascii="Times New Roman" w:hAnsi="Times New Roman"/>
          <w:sz w:val="28"/>
          <w:szCs w:val="28"/>
          <w:lang w:val="uk-UA"/>
        </w:rPr>
        <w:t>ROE</w:t>
      </w:r>
      <w:r w:rsidRPr="00400BAB">
        <w:rPr>
          <w:rFonts w:ascii="Times New Roman" w:hAnsi="Times New Roman"/>
          <w:sz w:val="28"/>
          <w:szCs w:val="28"/>
          <w:lang w:val="uk-UA"/>
        </w:rPr>
        <w:t>, але і збільшується ризик фінансових втрат. Тобто</w:t>
      </w:r>
      <w:r w:rsidR="00671574">
        <w:rPr>
          <w:rFonts w:ascii="Times New Roman" w:hAnsi="Times New Roman"/>
          <w:sz w:val="28"/>
          <w:szCs w:val="28"/>
          <w:lang w:val="uk-UA"/>
        </w:rPr>
        <w:t xml:space="preserve"> </w:t>
      </w:r>
      <w:r w:rsidRPr="00400BAB">
        <w:rPr>
          <w:rFonts w:ascii="Times New Roman" w:hAnsi="Times New Roman"/>
          <w:sz w:val="28"/>
          <w:szCs w:val="28"/>
          <w:lang w:val="uk-UA"/>
        </w:rPr>
        <w:t>остання складова при визначенні моделі Дюпона має вагоме значення в межах балансування між додатковим залучення фінансових надходжень та створенням залежності від позикових вливань.</w:t>
      </w:r>
    </w:p>
    <w:p w:rsidR="00B37265" w:rsidRPr="00400BAB" w:rsidRDefault="00B37265" w:rsidP="00671574">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В результаті застосування моделі Дюпона було здійснено аналіз для досліджуваних сільськогосподарських підприємств за 2021 – 2025 рр. (табл. 2.7).</w:t>
      </w:r>
    </w:p>
    <w:p w:rsidR="00BE5A3A" w:rsidRPr="00C32176" w:rsidRDefault="00BE5A3A" w:rsidP="00C32176">
      <w:pPr>
        <w:spacing w:after="0" w:line="360" w:lineRule="auto"/>
        <w:ind w:firstLine="709"/>
        <w:jc w:val="right"/>
        <w:rPr>
          <w:rFonts w:ascii="Times New Roman" w:hAnsi="Times New Roman"/>
          <w:sz w:val="28"/>
          <w:szCs w:val="28"/>
          <w:lang w:val="uk-UA"/>
        </w:rPr>
      </w:pPr>
      <w:r w:rsidRPr="00212E70">
        <w:rPr>
          <w:rFonts w:ascii="Times New Roman" w:hAnsi="Times New Roman"/>
          <w:color w:val="000000"/>
          <w:sz w:val="28"/>
          <w:szCs w:val="28"/>
          <w:lang w:val="uk-UA"/>
        </w:rPr>
        <w:t>Таблиця 2.7</w:t>
      </w:r>
    </w:p>
    <w:p w:rsidR="00BE5A3A" w:rsidRPr="00400BAB" w:rsidRDefault="00BE5A3A" w:rsidP="00BE5A3A">
      <w:pPr>
        <w:spacing w:after="0" w:line="360" w:lineRule="auto"/>
        <w:jc w:val="center"/>
        <w:rPr>
          <w:rFonts w:ascii="Times New Roman" w:hAnsi="Times New Roman"/>
          <w:b/>
          <w:bCs/>
          <w:color w:val="000000"/>
          <w:sz w:val="28"/>
          <w:szCs w:val="28"/>
          <w:lang w:val="uk-UA"/>
        </w:rPr>
      </w:pPr>
      <w:r w:rsidRPr="00400BAB">
        <w:rPr>
          <w:rFonts w:ascii="Times New Roman" w:hAnsi="Times New Roman"/>
          <w:b/>
          <w:bCs/>
          <w:sz w:val="28"/>
          <w:szCs w:val="28"/>
          <w:lang w:val="uk-UA"/>
        </w:rPr>
        <w:t xml:space="preserve">Трифакторний аналіз за моделлю Дюпона </w:t>
      </w:r>
      <w:r w:rsidRPr="00400BAB">
        <w:rPr>
          <w:rFonts w:ascii="Times New Roman" w:hAnsi="Times New Roman"/>
          <w:b/>
          <w:bCs/>
          <w:sz w:val="28"/>
          <w:szCs w:val="28"/>
          <w:lang w:val="en-US"/>
        </w:rPr>
        <w:t>Kernel</w:t>
      </w:r>
      <w:r w:rsidRPr="00400BAB">
        <w:rPr>
          <w:rFonts w:ascii="Times New Roman" w:hAnsi="Times New Roman"/>
          <w:b/>
          <w:bCs/>
          <w:sz w:val="28"/>
          <w:szCs w:val="28"/>
          <w:lang w:val="uk-UA"/>
        </w:rPr>
        <w:t xml:space="preserve">, МХП та </w:t>
      </w:r>
      <w:r w:rsidRPr="00400BAB">
        <w:rPr>
          <w:rFonts w:ascii="Times New Roman" w:hAnsi="Times New Roman"/>
          <w:b/>
          <w:bCs/>
          <w:sz w:val="28"/>
          <w:szCs w:val="28"/>
          <w:lang w:val="en-US"/>
        </w:rPr>
        <w:t>Astarta</w:t>
      </w:r>
      <w:r w:rsidRPr="00400BAB">
        <w:rPr>
          <w:rFonts w:ascii="Times New Roman" w:hAnsi="Times New Roman"/>
          <w:b/>
          <w:bCs/>
          <w:sz w:val="28"/>
          <w:szCs w:val="28"/>
          <w:lang w:val="uk-UA"/>
        </w:rPr>
        <w:t>-</w:t>
      </w:r>
      <w:r w:rsidRPr="00400BAB">
        <w:rPr>
          <w:rFonts w:ascii="Times New Roman" w:hAnsi="Times New Roman"/>
          <w:b/>
          <w:bCs/>
          <w:sz w:val="28"/>
          <w:szCs w:val="28"/>
          <w:lang w:val="en-US"/>
        </w:rPr>
        <w:t>Kyiv</w:t>
      </w:r>
      <w:r w:rsidRPr="00400BAB">
        <w:rPr>
          <w:rFonts w:ascii="Times New Roman" w:hAnsi="Times New Roman"/>
          <w:b/>
          <w:bCs/>
          <w:sz w:val="28"/>
          <w:szCs w:val="28"/>
          <w:lang w:val="uk-UA"/>
        </w:rPr>
        <w:t xml:space="preserve"> за 2021 – 2025 рр., млн. грн</w:t>
      </w:r>
    </w:p>
    <w:tbl>
      <w:tblPr>
        <w:tblW w:w="920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863"/>
        <w:gridCol w:w="819"/>
        <w:gridCol w:w="920"/>
        <w:gridCol w:w="802"/>
        <w:gridCol w:w="803"/>
        <w:gridCol w:w="782"/>
        <w:gridCol w:w="1132"/>
        <w:gridCol w:w="1088"/>
      </w:tblGrid>
      <w:tr w:rsidR="00BE5A3A" w:rsidRPr="00400BAB" w:rsidTr="00BE5A3A">
        <w:trPr>
          <w:cantSplit/>
          <w:trHeight w:val="315"/>
          <w:tblHeader/>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Підприємство / Фактор</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2021</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2022</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2023</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lang w:val="uk-UA"/>
              </w:rPr>
            </w:pPr>
            <w:r w:rsidRPr="00400BAB">
              <w:rPr>
                <w:rFonts w:ascii="Times New Roman" w:hAnsi="Times New Roman"/>
              </w:rPr>
              <w:t>2024</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lang w:val="uk-UA"/>
              </w:rPr>
            </w:pPr>
            <w:r w:rsidRPr="00400BAB">
              <w:rPr>
                <w:rFonts w:ascii="Times New Roman" w:hAnsi="Times New Roman"/>
              </w:rPr>
              <w:t>2025</w:t>
            </w:r>
          </w:p>
        </w:tc>
        <w:tc>
          <w:tcPr>
            <w:tcW w:w="1132" w:type="dxa"/>
            <w:vAlign w:val="center"/>
          </w:tcPr>
          <w:p w:rsidR="00BE5A3A" w:rsidRPr="00400BAB" w:rsidRDefault="00BE5A3A" w:rsidP="00BE5A3A">
            <w:pPr>
              <w:spacing w:after="0"/>
              <w:jc w:val="center"/>
              <w:rPr>
                <w:rFonts w:ascii="Times New Roman" w:hAnsi="Times New Roman"/>
                <w:lang w:val="uk-UA"/>
              </w:rPr>
            </w:pPr>
            <w:r w:rsidRPr="00400BAB">
              <w:rPr>
                <w:rFonts w:ascii="Times New Roman" w:hAnsi="Times New Roman"/>
                <w:lang w:val="uk-UA"/>
              </w:rPr>
              <w:t>Абсолютні зміни</w:t>
            </w:r>
          </w:p>
        </w:tc>
        <w:tc>
          <w:tcPr>
            <w:tcW w:w="1088" w:type="dxa"/>
            <w:vAlign w:val="center"/>
          </w:tcPr>
          <w:p w:rsidR="00BE5A3A" w:rsidRPr="00400BAB" w:rsidRDefault="00BE5A3A" w:rsidP="00BE5A3A">
            <w:pPr>
              <w:spacing w:after="0"/>
              <w:jc w:val="center"/>
              <w:rPr>
                <w:rFonts w:ascii="Times New Roman" w:hAnsi="Times New Roman"/>
                <w:lang w:val="en-US"/>
              </w:rPr>
            </w:pPr>
            <w:r w:rsidRPr="00400BAB">
              <w:rPr>
                <w:rFonts w:ascii="Times New Roman" w:hAnsi="Times New Roman"/>
                <w:lang w:val="uk-UA"/>
              </w:rPr>
              <w:t>Відносні зміни</w:t>
            </w:r>
          </w:p>
        </w:tc>
      </w:tr>
      <w:tr w:rsidR="00BE5A3A" w:rsidRPr="00400BAB" w:rsidTr="00BE5A3A">
        <w:trPr>
          <w:cantSplit/>
          <w:trHeight w:val="315"/>
        </w:trPr>
        <w:tc>
          <w:tcPr>
            <w:tcW w:w="9209" w:type="dxa"/>
            <w:gridSpan w:val="8"/>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Kernel</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Маржа прибутку (ROS)</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0,12</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0,03</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0,09</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0,09</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-0,02</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-16,67%</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Оборотність активів (TAT)</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1,03</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0,86</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0,86</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0,88</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0,88</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-0,15</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-14,56%</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Мультиплікатор капіталу</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1,73</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1,88</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1,84</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1,81</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1,78</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0,05</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2,89%</w:t>
            </w:r>
          </w:p>
        </w:tc>
      </w:tr>
      <w:tr w:rsidR="00BE5A3A" w:rsidRPr="00400BAB" w:rsidTr="00BE5A3A">
        <w:trPr>
          <w:cantSplit/>
          <w:trHeight w:val="315"/>
        </w:trPr>
        <w:tc>
          <w:tcPr>
            <w:tcW w:w="9209" w:type="dxa"/>
            <w:gridSpan w:val="8"/>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МХП</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Маржа прибутку (ROS)</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0,17</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-0,01</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0,02</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0,05</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0,07</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-0,1</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-58,82%</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Оборотність активів (TAT)</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1,99</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1,7</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1,82</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1,85</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1,83</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-0,16</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-8,04%</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Мультиплікатор капіталу</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1,44</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2,21</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1,98</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1,95</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1,92</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0,48</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33,33%</w:t>
            </w:r>
          </w:p>
        </w:tc>
      </w:tr>
      <w:tr w:rsidR="00BE5A3A" w:rsidRPr="00400BAB" w:rsidTr="00BE5A3A">
        <w:trPr>
          <w:cantSplit/>
          <w:trHeight w:val="315"/>
        </w:trPr>
        <w:tc>
          <w:tcPr>
            <w:tcW w:w="9209" w:type="dxa"/>
            <w:gridSpan w:val="8"/>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Astarta-Kyiv</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Маржа прибутку (ROS)</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0,27</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0,13</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0,15</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0,15</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0,16</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-0,11</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-40,74%</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Оборотність активів (TAT)</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0,94</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0,96</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1,02</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1,03</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1,04</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0,1</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10,64%</w:t>
            </w:r>
          </w:p>
        </w:tc>
      </w:tr>
      <w:tr w:rsidR="00BE5A3A" w:rsidRPr="00400BAB" w:rsidTr="00BE5A3A">
        <w:trPr>
          <w:cantSplit/>
          <w:trHeight w:val="315"/>
        </w:trPr>
        <w:tc>
          <w:tcPr>
            <w:tcW w:w="286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Мультиплікатор капіталу</w:t>
            </w:r>
          </w:p>
        </w:tc>
        <w:tc>
          <w:tcPr>
            <w:tcW w:w="819"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1,67</w:t>
            </w:r>
          </w:p>
        </w:tc>
        <w:tc>
          <w:tcPr>
            <w:tcW w:w="920"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1,49</w:t>
            </w:r>
          </w:p>
        </w:tc>
        <w:tc>
          <w:tcPr>
            <w:tcW w:w="80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1,47</w:t>
            </w:r>
          </w:p>
        </w:tc>
        <w:tc>
          <w:tcPr>
            <w:tcW w:w="803"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1,5</w:t>
            </w:r>
          </w:p>
        </w:tc>
        <w:tc>
          <w:tcPr>
            <w:tcW w:w="782" w:type="dxa"/>
            <w:tcMar>
              <w:top w:w="30" w:type="dxa"/>
              <w:left w:w="45" w:type="dxa"/>
              <w:bottom w:w="30" w:type="dxa"/>
              <w:right w:w="45" w:type="dxa"/>
            </w:tcMar>
            <w:vAlign w:val="center"/>
            <w:hideMark/>
          </w:tcPr>
          <w:p w:rsidR="00BE5A3A" w:rsidRPr="00400BAB" w:rsidRDefault="00BE5A3A" w:rsidP="00BE5A3A">
            <w:pPr>
              <w:spacing w:after="0"/>
              <w:jc w:val="center"/>
              <w:rPr>
                <w:rFonts w:ascii="Times New Roman" w:hAnsi="Times New Roman"/>
              </w:rPr>
            </w:pPr>
            <w:r w:rsidRPr="00400BAB">
              <w:rPr>
                <w:rFonts w:ascii="Times New Roman" w:hAnsi="Times New Roman"/>
              </w:rPr>
              <w:t>1,45</w:t>
            </w:r>
          </w:p>
        </w:tc>
        <w:tc>
          <w:tcPr>
            <w:tcW w:w="1132"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-0,22</w:t>
            </w:r>
          </w:p>
        </w:tc>
        <w:tc>
          <w:tcPr>
            <w:tcW w:w="1088" w:type="dxa"/>
            <w:vAlign w:val="center"/>
          </w:tcPr>
          <w:p w:rsidR="00BE5A3A" w:rsidRPr="00400BAB" w:rsidRDefault="00BE5A3A" w:rsidP="00BE5A3A">
            <w:pPr>
              <w:spacing w:after="0"/>
              <w:jc w:val="center"/>
              <w:rPr>
                <w:rFonts w:ascii="Times New Roman" w:hAnsi="Times New Roman"/>
              </w:rPr>
            </w:pPr>
            <w:r w:rsidRPr="00400BAB">
              <w:rPr>
                <w:rFonts w:ascii="Times New Roman" w:hAnsi="Times New Roman"/>
              </w:rPr>
              <w:t>-13,17%</w:t>
            </w:r>
          </w:p>
        </w:tc>
      </w:tr>
    </w:tbl>
    <w:p w:rsidR="00BE5A3A" w:rsidRPr="00400BAB" w:rsidRDefault="00BE5A3A" w:rsidP="00BE5A3A">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E5A3A" w:rsidRPr="00400BAB" w:rsidRDefault="00BE5A3A" w:rsidP="00BE5A3A">
      <w:pPr>
        <w:spacing w:after="0" w:line="360" w:lineRule="auto"/>
        <w:ind w:firstLine="709"/>
        <w:jc w:val="both"/>
        <w:rPr>
          <w:rFonts w:ascii="Times New Roman" w:hAnsi="Times New Roman"/>
          <w:sz w:val="28"/>
          <w:szCs w:val="28"/>
        </w:rPr>
      </w:pPr>
    </w:p>
    <w:p w:rsidR="0055571B" w:rsidRPr="00726AED" w:rsidRDefault="0055571B" w:rsidP="0055571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lastRenderedPageBreak/>
        <w:t xml:space="preserve">Застосована модель Дюпона дозволяє зробити розмежування між якісними та кількісними складовими при визначенні інвестиційної привабливості аграрних підприємств. Зростання </w:t>
      </w:r>
      <w:r w:rsidRPr="00400BAB">
        <w:rPr>
          <w:rFonts w:ascii="Times New Roman" w:hAnsi="Times New Roman"/>
          <w:sz w:val="28"/>
          <w:szCs w:val="28"/>
          <w:lang w:val="en-US"/>
        </w:rPr>
        <w:t>ROE</w:t>
      </w:r>
      <w:r w:rsidRPr="00400BAB">
        <w:rPr>
          <w:rFonts w:ascii="Times New Roman" w:hAnsi="Times New Roman"/>
          <w:sz w:val="28"/>
          <w:szCs w:val="28"/>
          <w:lang w:val="uk-UA"/>
        </w:rPr>
        <w:t xml:space="preserve"> відбувається переважно за рахунок </w:t>
      </w:r>
      <w:r w:rsidRPr="00400BAB">
        <w:rPr>
          <w:rFonts w:ascii="Times New Roman" w:hAnsi="Times New Roman"/>
          <w:sz w:val="28"/>
          <w:szCs w:val="28"/>
          <w:lang w:val="en-US"/>
        </w:rPr>
        <w:t>ROS</w:t>
      </w:r>
      <w:r w:rsidRPr="00400BAB">
        <w:rPr>
          <w:rFonts w:ascii="Times New Roman" w:hAnsi="Times New Roman"/>
          <w:sz w:val="28"/>
          <w:szCs w:val="28"/>
          <w:lang w:val="uk-UA"/>
        </w:rPr>
        <w:t xml:space="preserve"> і це вказує на високий рівень маржинальності за технологічною складовою підприємства.</w:t>
      </w:r>
    </w:p>
    <w:p w:rsidR="0055571B" w:rsidRDefault="0055571B" w:rsidP="0055571B">
      <w:pPr>
        <w:spacing w:after="0" w:line="360" w:lineRule="auto"/>
        <w:ind w:firstLine="709"/>
        <w:jc w:val="both"/>
        <w:rPr>
          <w:rFonts w:ascii="Times New Roman" w:hAnsi="Times New Roman"/>
          <w:sz w:val="28"/>
          <w:szCs w:val="28"/>
          <w:lang w:val="uk-UA"/>
        </w:rPr>
      </w:pPr>
      <w:r w:rsidRPr="00400BAB">
        <w:rPr>
          <w:rFonts w:ascii="Times New Roman" w:hAnsi="Times New Roman"/>
          <w:sz w:val="28"/>
          <w:szCs w:val="28"/>
          <w:lang w:val="uk-UA"/>
        </w:rPr>
        <w:t xml:space="preserve">Якщо наявна тенденція над перевагою в показниках ТАТ, то присутня висока ліквідність продукції (послуг) та оборотність активів. В той же час як висока залежність від ЕМ вказує на прояв агресивної політики управління капіталом на підприємстві, що потребує досить посиленої уваги інвесторів в межах реалізації інвестиційних проєктів для відстеження платоспроможності підприємств. Вказані характеристики притаманні і для досліджуваних підприємств. Так, перша загадана тенденція має прояв для </w:t>
      </w:r>
      <w:r w:rsidRPr="00400BAB">
        <w:rPr>
          <w:rFonts w:ascii="Times New Roman" w:hAnsi="Times New Roman"/>
          <w:sz w:val="28"/>
          <w:szCs w:val="28"/>
          <w:lang w:val="en-US"/>
        </w:rPr>
        <w:t>Astarta</w:t>
      </w:r>
      <w:r w:rsidRPr="00400BAB">
        <w:rPr>
          <w:rFonts w:ascii="Times New Roman" w:hAnsi="Times New Roman"/>
          <w:sz w:val="28"/>
          <w:szCs w:val="28"/>
          <w:lang w:val="uk-UA"/>
        </w:rPr>
        <w:t>-</w:t>
      </w:r>
      <w:r w:rsidRPr="00400BAB">
        <w:rPr>
          <w:rFonts w:ascii="Times New Roman" w:hAnsi="Times New Roman"/>
          <w:sz w:val="28"/>
          <w:szCs w:val="28"/>
          <w:lang w:val="en-US"/>
        </w:rPr>
        <w:t>Kyiv</w:t>
      </w:r>
      <w:r w:rsidRPr="00400BAB">
        <w:rPr>
          <w:rFonts w:ascii="Times New Roman" w:hAnsi="Times New Roman"/>
          <w:sz w:val="28"/>
          <w:szCs w:val="28"/>
          <w:lang w:val="uk-UA"/>
        </w:rPr>
        <w:t xml:space="preserve">, а наступна для МХП та </w:t>
      </w:r>
      <w:r w:rsidRPr="00400BAB">
        <w:rPr>
          <w:rFonts w:ascii="Times New Roman" w:hAnsi="Times New Roman"/>
          <w:sz w:val="28"/>
          <w:szCs w:val="28"/>
          <w:lang w:val="en-US"/>
        </w:rPr>
        <w:t>Kernel</w:t>
      </w:r>
      <w:r>
        <w:rPr>
          <w:rFonts w:ascii="Times New Roman" w:hAnsi="Times New Roman"/>
          <w:sz w:val="28"/>
          <w:szCs w:val="28"/>
          <w:lang w:val="uk-UA"/>
        </w:rPr>
        <w:t xml:space="preserve">. </w:t>
      </w:r>
    </w:p>
    <w:p w:rsidR="00B37265" w:rsidRPr="00400BAB" w:rsidRDefault="00B37265" w:rsidP="00671574">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Представлені результати кумулятивного аналізу (табл. 2.7) дозволяють зробити висновок, що економічний механізм формування інвестиційної привабливості сільськогосподарських підприємств має різну природу формування та прояву. Для МХП вагомим аспектом та драйвером є інтенсивність оборотності активів в період відновлення (2023 – 2025 рр.), що обґрунтовано показником ТАТ зі значенням 1,8 – 1,9 та раціональним використанням фінансового левериджу. Тобто підприємство має досить агресивну інвестиційну політику, яка спрямована на швидке повернення вкладених інвестицій.</w:t>
      </w:r>
    </w:p>
    <w:p w:rsidR="00B37265" w:rsidRPr="00400BAB" w:rsidRDefault="00B37265" w:rsidP="00671574">
      <w:pPr>
        <w:pStyle w:val="a5"/>
        <w:spacing w:before="0" w:beforeAutospacing="0" w:after="0" w:afterAutospacing="0" w:line="360" w:lineRule="auto"/>
        <w:ind w:firstLine="709"/>
        <w:jc w:val="both"/>
        <w:rPr>
          <w:sz w:val="28"/>
          <w:szCs w:val="28"/>
          <w:lang w:val="uk-UA"/>
        </w:rPr>
      </w:pPr>
      <w:r w:rsidRPr="00400BAB">
        <w:rPr>
          <w:color w:val="000000"/>
          <w:sz w:val="28"/>
          <w:szCs w:val="28"/>
          <w:lang w:val="uk-UA"/>
        </w:rPr>
        <w:t xml:space="preserve">На противагу вказаному, варто звернути увагу на отримані результати для </w:t>
      </w:r>
      <w:r w:rsidRPr="00400BAB">
        <w:rPr>
          <w:sz w:val="28"/>
          <w:szCs w:val="28"/>
          <w:lang w:val="en-US"/>
        </w:rPr>
        <w:t>Astarta</w:t>
      </w:r>
      <w:r w:rsidRPr="00400BAB">
        <w:rPr>
          <w:sz w:val="28"/>
          <w:szCs w:val="28"/>
          <w:lang w:val="uk-UA"/>
        </w:rPr>
        <w:t>-</w:t>
      </w:r>
      <w:r w:rsidRPr="00400BAB">
        <w:rPr>
          <w:sz w:val="28"/>
          <w:szCs w:val="28"/>
          <w:lang w:val="en-US"/>
        </w:rPr>
        <w:t>Kyiv</w:t>
      </w:r>
      <w:r w:rsidRPr="00400BAB">
        <w:rPr>
          <w:sz w:val="28"/>
          <w:szCs w:val="28"/>
          <w:lang w:val="uk-UA"/>
        </w:rPr>
        <w:t xml:space="preserve"> за досліджуваний період. Присутні також тенденції до суттєвого зменшення всіх показників в 2022 р. та їх поступове поновлення до кінця 2025 р. Для даного підприємства притаманним є прояв моделі поведінки, що характеризується високою маржинальністю продукту. Це підтверджено отриманими даними щодо найвищого показника </w:t>
      </w:r>
      <w:r w:rsidRPr="00400BAB">
        <w:rPr>
          <w:sz w:val="28"/>
          <w:szCs w:val="28"/>
          <w:lang w:val="en-US"/>
        </w:rPr>
        <w:t>ROS</w:t>
      </w:r>
      <w:r w:rsidRPr="00400BAB">
        <w:rPr>
          <w:sz w:val="28"/>
          <w:szCs w:val="28"/>
          <w:lang w:val="uk-UA"/>
        </w:rPr>
        <w:t xml:space="preserve"> серед всіх підприємства (на рівні 0,27 в 2021 р. та 0,16 в 2025 р.). Для аграрного підприємства отримано значення, які вказують на поступове зростання </w:t>
      </w:r>
      <w:r w:rsidRPr="00400BAB">
        <w:rPr>
          <w:sz w:val="28"/>
          <w:szCs w:val="28"/>
          <w:lang w:val="uk-UA"/>
        </w:rPr>
        <w:lastRenderedPageBreak/>
        <w:t>оборотності активів з 0,94 до 1,04 за досліджуваний період. При цьому наявним є стабільні значення мультиплікатору капіталу, що вказує на формування низько ризикованих портфелей інвестицій. Тобто підприємство має досить високий рівень технологічної зрілості, що забезпечує їй можливість уникати достатньо суттєвих внутрішніх ризиків та загроз в виробничому процесі, а відповідно і створювати високо маржинальний продукт з високою доданою вартістю.</w:t>
      </w:r>
    </w:p>
    <w:p w:rsidR="00B37265" w:rsidRPr="00400BAB" w:rsidRDefault="00B37265" w:rsidP="00212E70">
      <w:pPr>
        <w:pStyle w:val="a5"/>
        <w:spacing w:before="0" w:beforeAutospacing="0" w:after="0" w:afterAutospacing="0" w:line="360" w:lineRule="auto"/>
        <w:ind w:firstLine="709"/>
        <w:jc w:val="both"/>
        <w:rPr>
          <w:sz w:val="28"/>
          <w:szCs w:val="28"/>
          <w:lang w:val="uk-UA"/>
        </w:rPr>
      </w:pPr>
      <w:r w:rsidRPr="00400BAB">
        <w:rPr>
          <w:sz w:val="28"/>
          <w:szCs w:val="28"/>
          <w:lang w:val="uk-UA"/>
        </w:rPr>
        <w:t xml:space="preserve">Для компанії </w:t>
      </w:r>
      <w:r w:rsidRPr="00400BAB">
        <w:rPr>
          <w:sz w:val="28"/>
          <w:szCs w:val="28"/>
          <w:lang w:val="en-US"/>
        </w:rPr>
        <w:t>Kernel</w:t>
      </w:r>
      <w:r w:rsidRPr="00400BAB">
        <w:rPr>
          <w:sz w:val="28"/>
          <w:szCs w:val="28"/>
          <w:lang w:val="uk-UA"/>
        </w:rPr>
        <w:t xml:space="preserve"> відмічена інша тенденція, вона характеризується перехідним типом механізму. Головним акцентом є відновлення маржі прибутку за рахунок подолання зовнішніх факторів впливу та ризиків. На це вказують отриманні значення мультиплікатору капіталу, за яким спостерігається поступове відновлення значень на кінець 2025 р. зі значенням 1,78. Тобто поступова стабілізація даного показника вказує на вихід з боргових зобов’язань, що мали прояв з 2022 р.</w:t>
      </w:r>
    </w:p>
    <w:p w:rsidR="00B37265" w:rsidRPr="00400BAB" w:rsidRDefault="00B37265" w:rsidP="00212E70">
      <w:pPr>
        <w:pStyle w:val="a5"/>
        <w:spacing w:before="0" w:beforeAutospacing="0" w:after="0" w:afterAutospacing="0" w:line="360" w:lineRule="auto"/>
        <w:ind w:firstLine="709"/>
        <w:jc w:val="both"/>
        <w:rPr>
          <w:sz w:val="28"/>
          <w:szCs w:val="28"/>
          <w:lang w:val="uk-UA"/>
        </w:rPr>
      </w:pPr>
      <w:r w:rsidRPr="00400BAB">
        <w:rPr>
          <w:sz w:val="28"/>
          <w:szCs w:val="28"/>
          <w:lang w:val="uk-UA"/>
        </w:rPr>
        <w:t>Таким чином, проведене комплексне оцінювання фінансово-економічного стану сільськогосподарських підприємств за 2021 – 2025 рр. підтверджують висунути раніше гіпотезу щодо неоднорідності факторів впливу на їх інвестиційну привабливість. Представлені результати засвідчують наявність тенденцій щодо зменшення операційних циклів, покращення показників маржинальності (за різними складовими) та оптимізацію боргових зобов’язань, що є досить логічним продовженням висвітлення основного концепту дослідження. Відповідно, отримані результати є базисом та підґрунтям для подальшого пошуку закономірностей між результативністю діяльності та удосконаленням методологічного оцінювання інвестиційної привабливості діяльності підприємств</w:t>
      </w:r>
      <w:r w:rsidR="004009DE">
        <w:rPr>
          <w:sz w:val="28"/>
          <w:szCs w:val="28"/>
          <w:lang w:val="uk-UA"/>
        </w:rPr>
        <w:t xml:space="preserve"> [</w:t>
      </w:r>
      <w:r w:rsidRPr="005670E0">
        <w:rPr>
          <w:sz w:val="28"/>
          <w:szCs w:val="28"/>
          <w:lang w:val="uk-UA"/>
        </w:rPr>
        <w:t>34]</w:t>
      </w:r>
      <w:r w:rsidRPr="005670E0">
        <w:rPr>
          <w:lang w:val="uk-UA"/>
        </w:rPr>
        <w:t>.</w:t>
      </w:r>
    </w:p>
    <w:p w:rsidR="0055571B" w:rsidRDefault="0055571B">
      <w:pPr>
        <w:spacing w:after="0" w:line="240" w:lineRule="auto"/>
        <w:rPr>
          <w:rFonts w:ascii="Times New Roman" w:eastAsia="Times New Roman" w:hAnsi="Times New Roman"/>
          <w:b/>
          <w:bCs/>
          <w:sz w:val="28"/>
          <w:szCs w:val="28"/>
          <w:lang w:val="uk-UA" w:eastAsia="ru-RU"/>
        </w:rPr>
      </w:pPr>
      <w:r>
        <w:rPr>
          <w:b/>
          <w:bCs/>
          <w:sz w:val="28"/>
          <w:szCs w:val="28"/>
          <w:lang w:val="uk-UA"/>
        </w:rPr>
        <w:br w:type="page"/>
      </w:r>
    </w:p>
    <w:p w:rsidR="00B37265" w:rsidRPr="00470EF2" w:rsidRDefault="00B37265" w:rsidP="00400BAB">
      <w:pPr>
        <w:pStyle w:val="a5"/>
        <w:spacing w:before="0" w:beforeAutospacing="0" w:after="0" w:afterAutospacing="0" w:line="360" w:lineRule="auto"/>
        <w:ind w:firstLine="709"/>
        <w:jc w:val="both"/>
        <w:rPr>
          <w:b/>
          <w:bCs/>
          <w:sz w:val="28"/>
          <w:szCs w:val="28"/>
          <w:lang w:val="uk-UA"/>
        </w:rPr>
      </w:pPr>
      <w:r w:rsidRPr="00400BAB">
        <w:rPr>
          <w:b/>
          <w:bCs/>
          <w:sz w:val="28"/>
          <w:szCs w:val="28"/>
          <w:lang w:val="uk-UA"/>
        </w:rPr>
        <w:lastRenderedPageBreak/>
        <w:t xml:space="preserve">2.3 </w:t>
      </w:r>
      <w:r w:rsidR="00470EF2" w:rsidRPr="00470EF2">
        <w:rPr>
          <w:rStyle w:val="docdata"/>
          <w:rFonts w:eastAsia="Aptos"/>
          <w:b/>
          <w:kern w:val="2"/>
          <w:sz w:val="28"/>
          <w:szCs w:val="28"/>
          <w:lang w:val="uk-UA"/>
        </w:rPr>
        <w:t>Ідентифікація методичного підходу до оцінювання інвестиційної привабливості сільськогосподарських підприємств</w:t>
      </w:r>
    </w:p>
    <w:p w:rsidR="00B37265" w:rsidRPr="00400BAB" w:rsidRDefault="00B37265" w:rsidP="00400BAB">
      <w:pPr>
        <w:pStyle w:val="a5"/>
        <w:spacing w:before="0" w:beforeAutospacing="0" w:after="0" w:afterAutospacing="0" w:line="360" w:lineRule="auto"/>
        <w:ind w:firstLine="709"/>
        <w:jc w:val="both"/>
        <w:rPr>
          <w:b/>
          <w:bCs/>
          <w:sz w:val="28"/>
          <w:szCs w:val="28"/>
          <w:lang w:val="uk-UA"/>
        </w:rPr>
      </w:pPr>
    </w:p>
    <w:p w:rsidR="00B37265" w:rsidRPr="00400BAB" w:rsidRDefault="00B37265" w:rsidP="00400BAB">
      <w:pPr>
        <w:pStyle w:val="a5"/>
        <w:spacing w:before="0" w:beforeAutospacing="0" w:after="0" w:afterAutospacing="0" w:line="360" w:lineRule="auto"/>
        <w:ind w:firstLine="709"/>
        <w:jc w:val="both"/>
        <w:rPr>
          <w:sz w:val="28"/>
          <w:szCs w:val="28"/>
          <w:lang w:val="uk-UA"/>
        </w:rPr>
      </w:pPr>
      <w:r w:rsidRPr="00400BAB">
        <w:rPr>
          <w:sz w:val="28"/>
          <w:szCs w:val="28"/>
          <w:lang w:val="uk-UA"/>
        </w:rPr>
        <w:t>З метою подальшого дослідження та визначення елементів економічних механізмів в діяльності сільськогосподарських підприємств було поглиблено пошуки в межах переходу від загально фінансової діагностики діяльності підприємств до аналізу інвестиційних процесів, що формуються як динамічний процес. За сучасних умов господарювання розвиток аграрних підприємств в Україні відбувається за умов невизначеності, постійної зміни факторів середовища, з врахуванням дефіцити капітальних ресурсів та зміни традиційних ланцюгів створення доданої вартості продукту (послуги). Відповідно, будь який наявний економічний механізм на підприємстві чи можливо окремі його складові, в разі відсутності комплексного підходу, може мати ознаки саморегульованого вдосконалення чи трансформації. Відповідно, такі процеси можуть бути як хаотичними, що принесе недоліки, порушення інвестиційних процесів, так і можу мати системний та унормований характер, що відповідно, позитивно вплине на кінцевий результат додаткових вливань фінансових надходжень. Як було вже описано в розділі 1 даної роботи, теоретико – методологічне підґрунтя об’єкту дослідження формується на основі того, що інвестиційний механізм являє собою сукупність методів, інструментів та джерел додаткового фінансування, які в процесі взаємодії забезпечують зміну інвестиційних ресурсів у вигляді капіталізованого (фінансового позитивного) результату. Відповідно, це в свою чергу в загальному розумінні підвищує вартість підприємства та подальший інтерес з боку інших стейкхолдерів ринку.</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sz w:val="28"/>
          <w:szCs w:val="28"/>
          <w:lang w:val="uk-UA"/>
        </w:rPr>
        <w:t xml:space="preserve">Досить важливою складовою подальшого дослідження є визначення та ідентифікація цих механізмів для досліджуваних суб’єктів сільськогосподарського ринку. Адже галузь діяльності аграрних холдингів є досить специфічної, а саме: вона володіє досить високим рівнем капітальних </w:t>
      </w:r>
      <w:r w:rsidRPr="00400BAB">
        <w:rPr>
          <w:sz w:val="28"/>
          <w:szCs w:val="28"/>
          <w:lang w:val="uk-UA"/>
        </w:rPr>
        <w:lastRenderedPageBreak/>
        <w:t>витрат, для неї притаманно сезонність виробничих процесів та досить велика залежність від будь яких логістичних складових інфраструктури. За попередніми проведеними дослідженнями можна сформувати загальн</w:t>
      </w:r>
      <w:r w:rsidR="00420030">
        <w:rPr>
          <w:sz w:val="28"/>
          <w:szCs w:val="28"/>
          <w:lang w:val="uk-UA"/>
        </w:rPr>
        <w:t>е враження, що за період 2021-</w:t>
      </w:r>
      <w:r w:rsidRPr="00400BAB">
        <w:rPr>
          <w:sz w:val="28"/>
          <w:szCs w:val="28"/>
          <w:lang w:val="uk-UA"/>
        </w:rPr>
        <w:t xml:space="preserve">2025 рр. наявні економічні механізми досліджуваних підприємств мають трансформаційні зсуви від моделей експансію та захоплення до інфраструктурного виживання та технологічної реновації. </w:t>
      </w:r>
      <w:r w:rsidRPr="00400BAB">
        <w:rPr>
          <w:color w:val="000000"/>
          <w:sz w:val="28"/>
          <w:szCs w:val="28"/>
          <w:lang w:val="uk-UA"/>
        </w:rPr>
        <w:t>Ключовим аспектом ідентифікації є виявлення того, яким чином внутрішні ресурси підприємства (власний капітал, амортизаційні відрахування) та зовнішні інвестиційні потоки (кредитні лінії, гранти, емісії) інтегруються в єдиний процес відтворення необоротних активів.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Важливим елементом наукового пошуку у даному підрозділі є встановлення кореляції між структурою інвестиційних витрат та рівнем стратегічної стійкості підприємства. Економічний механізм ідентифікується не лише через кількісні показники залучених коштів, а й через якісні параметри їхнього розподілу. Наступні кроки дослідження спрямовані на декомпозицію інвестиційної активності </w:t>
      </w:r>
      <w:r w:rsidRPr="00400BAB">
        <w:rPr>
          <w:color w:val="000000"/>
          <w:sz w:val="28"/>
          <w:szCs w:val="28"/>
        </w:rPr>
        <w:t>Kernel</w:t>
      </w:r>
      <w:r w:rsidRPr="00400BAB">
        <w:rPr>
          <w:color w:val="000000"/>
          <w:sz w:val="28"/>
          <w:szCs w:val="28"/>
          <w:lang w:val="uk-UA"/>
        </w:rPr>
        <w:t xml:space="preserve">, МХП та </w:t>
      </w:r>
      <w:r w:rsidRPr="00400BAB">
        <w:rPr>
          <w:color w:val="000000"/>
          <w:sz w:val="28"/>
          <w:szCs w:val="28"/>
        </w:rPr>
        <w:t>Astarta</w:t>
      </w:r>
      <w:r w:rsidRPr="00400BAB">
        <w:rPr>
          <w:color w:val="000000"/>
          <w:sz w:val="28"/>
          <w:szCs w:val="28"/>
          <w:lang w:val="uk-UA"/>
        </w:rPr>
        <w:t>-</w:t>
      </w:r>
      <w:r w:rsidRPr="00400BAB">
        <w:rPr>
          <w:color w:val="000000"/>
          <w:sz w:val="28"/>
          <w:szCs w:val="28"/>
        </w:rPr>
        <w:t>Kyiv</w:t>
      </w:r>
      <w:r w:rsidRPr="00400BAB">
        <w:rPr>
          <w:color w:val="000000"/>
          <w:sz w:val="28"/>
          <w:szCs w:val="28"/>
          <w:lang w:val="uk-UA"/>
        </w:rPr>
        <w:t>, що дасть змогу верифікувати гіпотезу про домінуючу роль вертикальної інтеграції та технологічної автономізації як базисних елементів сучасного механізму формування інвестиційної привабливості. Таким чином, подальшими напрямами в даному розділі є здійснення базових обрахунків, які закладають фундамент для подальшого математичного моделювання ефективності інвестиційних рішень у межах єдиної стратегії розвитку підприємства.</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Аналіз інвестиційної активності провідних агропромислових груп дозволяє ідентифікувати специфічні архітектурні особливості їхніх економічних механізмів. </w:t>
      </w:r>
      <w:r w:rsidRPr="00400BAB">
        <w:rPr>
          <w:color w:val="000000"/>
          <w:sz w:val="28"/>
          <w:szCs w:val="28"/>
        </w:rPr>
        <w:t>Динамік</w:t>
      </w:r>
      <w:r w:rsidR="00C32176">
        <w:rPr>
          <w:color w:val="000000"/>
          <w:sz w:val="28"/>
          <w:szCs w:val="28"/>
        </w:rPr>
        <w:t>а інвестиційних процесів у 2021</w:t>
      </w:r>
      <w:r w:rsidR="00C32176">
        <w:rPr>
          <w:color w:val="000000"/>
          <w:sz w:val="28"/>
          <w:szCs w:val="28"/>
          <w:lang w:val="uk-UA"/>
        </w:rPr>
        <w:t>-</w:t>
      </w:r>
      <w:r w:rsidRPr="00400BAB">
        <w:rPr>
          <w:color w:val="000000"/>
          <w:sz w:val="28"/>
          <w:szCs w:val="28"/>
        </w:rPr>
        <w:t>2025 рр. відображає здатність менеджменту до маневрування капіталом у відповідь на системні виклики. Структура капітальних вкладень (CAPEX) у цей період зазнала суттєвих трансформацій: якщо у докризовий період домінували інвестиції у розширення земельного банку та оновлення машинно-</w:t>
      </w:r>
      <w:r w:rsidRPr="00400BAB">
        <w:rPr>
          <w:color w:val="000000"/>
          <w:sz w:val="28"/>
          <w:szCs w:val="28"/>
        </w:rPr>
        <w:lastRenderedPageBreak/>
        <w:t>трак</w:t>
      </w:r>
      <w:r w:rsidR="00C32176">
        <w:rPr>
          <w:color w:val="000000"/>
          <w:sz w:val="28"/>
          <w:szCs w:val="28"/>
        </w:rPr>
        <w:t>торного парку, то у період 2023</w:t>
      </w:r>
      <w:r w:rsidR="00C32176">
        <w:rPr>
          <w:color w:val="000000"/>
          <w:sz w:val="28"/>
          <w:szCs w:val="28"/>
          <w:lang w:val="uk-UA"/>
        </w:rPr>
        <w:t>-</w:t>
      </w:r>
      <w:r w:rsidRPr="00400BAB">
        <w:rPr>
          <w:color w:val="000000"/>
          <w:sz w:val="28"/>
          <w:szCs w:val="28"/>
        </w:rPr>
        <w:t>2025 рр. фокус змістився на забезпечення енергонезалежності, розбудову альтернативної логістики та впровадження систем глибокої переробки сировини.</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Джерела фінансування інвестицій також демонструють тенденцію до диверсифікації. Через обмеження доступу до традиційних ринків капіталу та високу вартість внутрішнього кредитування, підприємства активізували використання механізмів реінвестування чистого прибутку та залучення фінансування від міжнародних інституцій (EBRD, IFC) під цільові ESG-проєкти. Це свідчить про формування механізму «ресурсного самозабезпечення» як основи інвестиційної стійкості</w:t>
      </w:r>
      <w:r w:rsidRPr="00400BAB">
        <w:rPr>
          <w:color w:val="000000"/>
          <w:sz w:val="28"/>
          <w:szCs w:val="28"/>
          <w:lang w:val="uk-UA"/>
        </w:rPr>
        <w:t xml:space="preserve"> (рис. 2.10)</w:t>
      </w:r>
      <w:r w:rsidRPr="00400BAB">
        <w:rPr>
          <w:color w:val="000000"/>
          <w:sz w:val="28"/>
          <w:szCs w:val="28"/>
        </w:rPr>
        <w:t>.</w:t>
      </w:r>
    </w:p>
    <w:p w:rsidR="00C32176" w:rsidRDefault="00B37265" w:rsidP="00C32176">
      <w:pPr>
        <w:spacing w:line="360" w:lineRule="auto"/>
        <w:jc w:val="center"/>
        <w:rPr>
          <w:rFonts w:ascii="Times New Roman" w:hAnsi="Times New Roman"/>
          <w:sz w:val="28"/>
          <w:szCs w:val="28"/>
          <w:lang w:val="uk-UA"/>
        </w:rPr>
      </w:pPr>
      <w:r w:rsidRPr="00400BAB">
        <w:rPr>
          <w:rFonts w:ascii="Times New Roman" w:hAnsi="Times New Roman"/>
          <w:noProof/>
          <w:sz w:val="28"/>
          <w:szCs w:val="28"/>
          <w:lang w:val="uk-UA" w:eastAsia="uk-UA"/>
          <w14:ligatures w14:val="standardContextual"/>
        </w:rPr>
        <w:drawing>
          <wp:inline distT="0" distB="0" distL="0" distR="0" wp14:anchorId="3F2CC10A" wp14:editId="32F66C82">
            <wp:extent cx="5690681" cy="3998068"/>
            <wp:effectExtent l="0" t="0" r="12065" b="15240"/>
            <wp:docPr id="168410674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37265" w:rsidRPr="00C32176" w:rsidRDefault="00B37265" w:rsidP="00C32176">
      <w:pPr>
        <w:spacing w:after="0" w:line="360" w:lineRule="auto"/>
        <w:ind w:firstLine="709"/>
        <w:jc w:val="both"/>
        <w:rPr>
          <w:rFonts w:ascii="Times New Roman" w:hAnsi="Times New Roman"/>
          <w:sz w:val="28"/>
          <w:szCs w:val="28"/>
          <w:lang w:val="uk-UA"/>
        </w:rPr>
      </w:pPr>
      <w:r w:rsidRPr="00400BAB">
        <w:rPr>
          <w:rFonts w:ascii="Times New Roman" w:hAnsi="Times New Roman"/>
          <w:b/>
          <w:bCs/>
          <w:sz w:val="28"/>
          <w:szCs w:val="28"/>
          <w:lang w:val="uk-UA"/>
        </w:rPr>
        <w:t xml:space="preserve">Рис. 2.10 </w:t>
      </w:r>
      <w:r w:rsidRPr="00400BAB">
        <w:rPr>
          <w:rFonts w:ascii="Times New Roman" w:hAnsi="Times New Roman"/>
          <w:b/>
          <w:bCs/>
          <w:color w:val="000000"/>
          <w:sz w:val="28"/>
          <w:szCs w:val="28"/>
          <w:lang w:val="uk-UA"/>
        </w:rPr>
        <w:t>Структурно – динамічний аналіз капітальних інвестицій (</w:t>
      </w:r>
      <w:r w:rsidRPr="00400BAB">
        <w:rPr>
          <w:rFonts w:ascii="Times New Roman" w:hAnsi="Times New Roman"/>
          <w:b/>
          <w:bCs/>
          <w:color w:val="000000"/>
          <w:sz w:val="28"/>
          <w:szCs w:val="28"/>
          <w:lang w:val="en-US"/>
        </w:rPr>
        <w:t>CAPEX</w:t>
      </w:r>
      <w:r w:rsidRPr="00400BAB">
        <w:rPr>
          <w:rFonts w:ascii="Times New Roman" w:hAnsi="Times New Roman"/>
          <w:b/>
          <w:bCs/>
          <w:color w:val="000000"/>
          <w:sz w:val="28"/>
          <w:szCs w:val="28"/>
          <w:lang w:val="uk-UA"/>
        </w:rPr>
        <w:t xml:space="preserve">) </w:t>
      </w:r>
      <w:r w:rsidRPr="00400BAB">
        <w:rPr>
          <w:rFonts w:ascii="Times New Roman" w:hAnsi="Times New Roman"/>
          <w:b/>
          <w:bCs/>
          <w:color w:val="000000"/>
          <w:sz w:val="28"/>
          <w:szCs w:val="28"/>
        </w:rPr>
        <w:t>Kernel</w:t>
      </w:r>
      <w:r w:rsidRPr="00400BAB">
        <w:rPr>
          <w:rFonts w:ascii="Times New Roman" w:hAnsi="Times New Roman"/>
          <w:b/>
          <w:bCs/>
          <w:color w:val="000000"/>
          <w:sz w:val="28"/>
          <w:szCs w:val="28"/>
          <w:lang w:val="uk-UA"/>
        </w:rPr>
        <w:t xml:space="preserve">, МХП та </w:t>
      </w:r>
      <w:r w:rsidRPr="00400BAB">
        <w:rPr>
          <w:rFonts w:ascii="Times New Roman" w:hAnsi="Times New Roman"/>
          <w:b/>
          <w:bCs/>
          <w:color w:val="000000"/>
          <w:sz w:val="28"/>
          <w:szCs w:val="28"/>
        </w:rPr>
        <w:t>Astarta</w:t>
      </w:r>
      <w:r w:rsidRPr="00400BAB">
        <w:rPr>
          <w:rFonts w:ascii="Times New Roman" w:hAnsi="Times New Roman"/>
          <w:b/>
          <w:bCs/>
          <w:color w:val="000000"/>
          <w:sz w:val="28"/>
          <w:szCs w:val="28"/>
          <w:lang w:val="uk-UA"/>
        </w:rPr>
        <w:t>-</w:t>
      </w:r>
      <w:r w:rsidRPr="00400BAB">
        <w:rPr>
          <w:rFonts w:ascii="Times New Roman" w:hAnsi="Times New Roman"/>
          <w:b/>
          <w:bCs/>
          <w:color w:val="000000"/>
          <w:sz w:val="28"/>
          <w:szCs w:val="28"/>
        </w:rPr>
        <w:t>Kyiv</w:t>
      </w:r>
      <w:r w:rsidRPr="00400BAB">
        <w:rPr>
          <w:rFonts w:ascii="Times New Roman" w:hAnsi="Times New Roman"/>
          <w:b/>
          <w:bCs/>
          <w:color w:val="000000"/>
          <w:sz w:val="28"/>
          <w:szCs w:val="28"/>
          <w:lang w:val="uk-UA"/>
        </w:rPr>
        <w:t xml:space="preserve"> за 2021–2025 рр., млн.грн</w:t>
      </w:r>
    </w:p>
    <w:p w:rsidR="00B37265" w:rsidRPr="00400BAB" w:rsidRDefault="00B37265" w:rsidP="004805E1">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p>
    <w:p w:rsidR="00B37265" w:rsidRPr="004805E1"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 xml:space="preserve">Результати представленого структурно-динамічного аналізу </w:t>
      </w:r>
      <w:r w:rsidRPr="00400BAB">
        <w:rPr>
          <w:color w:val="000000"/>
          <w:sz w:val="28"/>
          <w:szCs w:val="28"/>
          <w:lang w:val="uk-UA"/>
        </w:rPr>
        <w:t xml:space="preserve">(рис. 2.10) </w:t>
      </w:r>
      <w:r w:rsidRPr="00400BAB">
        <w:rPr>
          <w:color w:val="000000"/>
          <w:sz w:val="28"/>
          <w:szCs w:val="28"/>
        </w:rPr>
        <w:t xml:space="preserve">дозволяють </w:t>
      </w:r>
      <w:r w:rsidRPr="00400BAB">
        <w:rPr>
          <w:color w:val="000000"/>
          <w:sz w:val="28"/>
          <w:szCs w:val="28"/>
          <w:lang w:val="uk-UA"/>
        </w:rPr>
        <w:t>сформувати узагальнення щодо</w:t>
      </w:r>
      <w:r w:rsidRPr="00400BAB">
        <w:rPr>
          <w:color w:val="000000"/>
          <w:sz w:val="28"/>
          <w:szCs w:val="28"/>
        </w:rPr>
        <w:t xml:space="preserve"> наявн</w:t>
      </w:r>
      <w:r w:rsidRPr="00400BAB">
        <w:rPr>
          <w:color w:val="000000"/>
          <w:sz w:val="28"/>
          <w:szCs w:val="28"/>
          <w:lang w:val="uk-UA"/>
        </w:rPr>
        <w:t>ості</w:t>
      </w:r>
      <w:r w:rsidRPr="00400BAB">
        <w:rPr>
          <w:color w:val="000000"/>
          <w:sz w:val="28"/>
          <w:szCs w:val="28"/>
        </w:rPr>
        <w:t xml:space="preserve"> принципово різних </w:t>
      </w:r>
      <w:r w:rsidRPr="00400BAB">
        <w:rPr>
          <w:color w:val="000000"/>
          <w:sz w:val="28"/>
          <w:szCs w:val="28"/>
        </w:rPr>
        <w:lastRenderedPageBreak/>
        <w:t>траєкторій інвестиційної активності</w:t>
      </w:r>
      <w:r w:rsidRPr="00400BAB">
        <w:rPr>
          <w:color w:val="000000"/>
          <w:sz w:val="28"/>
          <w:szCs w:val="28"/>
          <w:lang w:val="uk-UA"/>
        </w:rPr>
        <w:t xml:space="preserve"> для досліджуваних підприємств</w:t>
      </w:r>
      <w:r w:rsidRPr="00400BAB">
        <w:rPr>
          <w:color w:val="000000"/>
          <w:sz w:val="28"/>
          <w:szCs w:val="28"/>
        </w:rPr>
        <w:t>. Для компанії</w:t>
      </w:r>
      <w:r w:rsidRPr="00400BAB">
        <w:rPr>
          <w:rStyle w:val="apple-converted-space"/>
          <w:rFonts w:eastAsiaTheme="majorEastAsia"/>
          <w:color w:val="000000"/>
          <w:lang w:val="uk-UA"/>
        </w:rPr>
        <w:t xml:space="preserve"> </w:t>
      </w:r>
      <w:r w:rsidRPr="00400BAB">
        <w:rPr>
          <w:color w:val="000000"/>
          <w:sz w:val="28"/>
          <w:szCs w:val="28"/>
        </w:rPr>
        <w:t>Kernel</w:t>
      </w:r>
      <w:r w:rsidRPr="00400BAB">
        <w:rPr>
          <w:rStyle w:val="apple-converted-space"/>
          <w:rFonts w:eastAsiaTheme="majorEastAsia"/>
          <w:color w:val="000000"/>
          <w:lang w:val="uk-UA"/>
        </w:rPr>
        <w:t xml:space="preserve"> </w:t>
      </w:r>
      <w:r w:rsidRPr="00400BAB">
        <w:rPr>
          <w:color w:val="000000"/>
          <w:sz w:val="28"/>
          <w:szCs w:val="28"/>
        </w:rPr>
        <w:t xml:space="preserve">спостерігається значне абсолютне скорочення обсягів CAPEX у порівнянні з докризовим 2021 роком (відхилення становить </w:t>
      </w:r>
      <w:r w:rsidR="00C32176" w:rsidRPr="00400BAB">
        <w:rPr>
          <w:color w:val="000000"/>
          <w:sz w:val="28"/>
          <w:szCs w:val="28"/>
          <w:lang w:val="uk-UA"/>
        </w:rPr>
        <w:t>–</w:t>
      </w:r>
      <w:r w:rsidR="00C32176">
        <w:rPr>
          <w:color w:val="000000"/>
          <w:sz w:val="28"/>
          <w:szCs w:val="28"/>
          <w:lang w:val="uk-UA"/>
        </w:rPr>
        <w:t xml:space="preserve"> </w:t>
      </w:r>
      <w:r w:rsidR="00C32176">
        <w:rPr>
          <w:color w:val="000000"/>
          <w:sz w:val="28"/>
          <w:szCs w:val="28"/>
          <w:lang w:val="uk-UA"/>
        </w:rPr>
        <w:br/>
      </w:r>
      <w:r w:rsidR="00C32176">
        <w:rPr>
          <w:color w:val="000000"/>
          <w:sz w:val="28"/>
          <w:szCs w:val="28"/>
        </w:rPr>
        <w:t>1</w:t>
      </w:r>
      <w:r w:rsidRPr="00400BAB">
        <w:rPr>
          <w:color w:val="000000"/>
          <w:sz w:val="28"/>
          <w:szCs w:val="28"/>
        </w:rPr>
        <w:t>920 млн</w:t>
      </w:r>
      <w:r w:rsidRPr="00400BAB">
        <w:rPr>
          <w:color w:val="000000"/>
          <w:sz w:val="28"/>
          <w:szCs w:val="28"/>
          <w:lang w:val="uk-UA"/>
        </w:rPr>
        <w:t>.</w:t>
      </w:r>
      <w:r w:rsidRPr="00400BAB">
        <w:rPr>
          <w:color w:val="000000"/>
          <w:sz w:val="28"/>
          <w:szCs w:val="28"/>
        </w:rPr>
        <w:t xml:space="preserve"> грн</w:t>
      </w:r>
      <w:r w:rsidRPr="00400BAB">
        <w:rPr>
          <w:color w:val="000000"/>
          <w:sz w:val="28"/>
          <w:szCs w:val="28"/>
          <w:lang w:val="uk-UA"/>
        </w:rPr>
        <w:t>., що складає зниження показника на 26,99</w:t>
      </w:r>
      <w:r w:rsidR="00C32176">
        <w:rPr>
          <w:color w:val="000000"/>
          <w:sz w:val="28"/>
          <w:szCs w:val="28"/>
          <w:lang w:val="uk-UA"/>
        </w:rPr>
        <w:t xml:space="preserve"> </w:t>
      </w:r>
      <w:r w:rsidRPr="00400BAB">
        <w:rPr>
          <w:color w:val="000000"/>
          <w:sz w:val="28"/>
          <w:szCs w:val="28"/>
          <w:lang w:val="uk-UA"/>
        </w:rPr>
        <w:t>%</w:t>
      </w:r>
      <w:r w:rsidRPr="00400BAB">
        <w:rPr>
          <w:color w:val="000000"/>
          <w:sz w:val="28"/>
          <w:szCs w:val="28"/>
        </w:rPr>
        <w:t xml:space="preserve">), проте динаміка </w:t>
      </w:r>
      <w:r w:rsidR="00C32176">
        <w:rPr>
          <w:color w:val="000000"/>
          <w:sz w:val="28"/>
          <w:szCs w:val="28"/>
        </w:rPr>
        <w:br/>
        <w:t>2023</w:t>
      </w:r>
      <w:r w:rsidR="00C32176">
        <w:rPr>
          <w:color w:val="000000"/>
          <w:sz w:val="28"/>
          <w:szCs w:val="28"/>
          <w:lang w:val="uk-UA"/>
        </w:rPr>
        <w:t>-</w:t>
      </w:r>
      <w:r w:rsidRPr="00400BAB">
        <w:rPr>
          <w:color w:val="000000"/>
          <w:sz w:val="28"/>
          <w:szCs w:val="28"/>
        </w:rPr>
        <w:t xml:space="preserve">2025 рр. вказує на фазу активного відновлення. У науковому аспекті це ідентифікує </w:t>
      </w:r>
      <w:r w:rsidRPr="00400BAB">
        <w:rPr>
          <w:color w:val="000000"/>
          <w:sz w:val="28"/>
          <w:szCs w:val="28"/>
          <w:lang w:val="uk-UA"/>
        </w:rPr>
        <w:t xml:space="preserve">так званий </w:t>
      </w:r>
      <w:r w:rsidRPr="00400BAB">
        <w:rPr>
          <w:color w:val="000000"/>
          <w:sz w:val="28"/>
          <w:szCs w:val="28"/>
        </w:rPr>
        <w:t xml:space="preserve">механізм «відкладеного інвестування», де після </w:t>
      </w:r>
      <w:r w:rsidRPr="00400BAB">
        <w:rPr>
          <w:color w:val="000000"/>
          <w:sz w:val="28"/>
          <w:szCs w:val="28"/>
          <w:lang w:val="uk-UA"/>
        </w:rPr>
        <w:t>кризового впливу зовнішніх чинників та</w:t>
      </w:r>
      <w:r w:rsidRPr="00400BAB">
        <w:rPr>
          <w:color w:val="000000"/>
          <w:sz w:val="28"/>
          <w:szCs w:val="28"/>
        </w:rPr>
        <w:t xml:space="preserve"> падіння</w:t>
      </w:r>
      <w:r w:rsidRPr="00400BAB">
        <w:rPr>
          <w:color w:val="000000"/>
          <w:sz w:val="28"/>
          <w:szCs w:val="28"/>
          <w:lang w:val="uk-UA"/>
        </w:rPr>
        <w:t xml:space="preserve"> показника в</w:t>
      </w:r>
      <w:r w:rsidRPr="00400BAB">
        <w:rPr>
          <w:color w:val="000000"/>
          <w:sz w:val="28"/>
          <w:szCs w:val="28"/>
        </w:rPr>
        <w:t xml:space="preserve"> 2022 року (на 65,6</w:t>
      </w:r>
      <w:r w:rsidR="00C32176">
        <w:rPr>
          <w:color w:val="000000"/>
          <w:sz w:val="28"/>
          <w:szCs w:val="28"/>
          <w:lang w:val="uk-UA"/>
        </w:rPr>
        <w:t xml:space="preserve"> </w:t>
      </w:r>
      <w:r w:rsidRPr="00400BAB">
        <w:rPr>
          <w:color w:val="000000"/>
          <w:sz w:val="28"/>
          <w:szCs w:val="28"/>
        </w:rPr>
        <w:t xml:space="preserve">% відносно 2021 р.) підприємство </w:t>
      </w:r>
      <w:r w:rsidRPr="00400BAB">
        <w:rPr>
          <w:color w:val="000000"/>
          <w:sz w:val="28"/>
          <w:szCs w:val="28"/>
          <w:lang w:val="uk-UA"/>
        </w:rPr>
        <w:t xml:space="preserve">узагальнено та </w:t>
      </w:r>
      <w:r w:rsidRPr="00400BAB">
        <w:rPr>
          <w:color w:val="000000"/>
          <w:sz w:val="28"/>
          <w:szCs w:val="28"/>
        </w:rPr>
        <w:t xml:space="preserve">консолідувало ресурси для цільового спрямування у критичні вузли </w:t>
      </w:r>
      <w:r w:rsidR="00C32176" w:rsidRPr="00400BAB">
        <w:rPr>
          <w:color w:val="000000"/>
          <w:sz w:val="28"/>
          <w:szCs w:val="28"/>
          <w:lang w:val="uk-UA"/>
        </w:rPr>
        <w:t>–</w:t>
      </w:r>
      <w:r w:rsidRPr="00400BAB">
        <w:rPr>
          <w:color w:val="000000"/>
          <w:sz w:val="28"/>
          <w:szCs w:val="28"/>
        </w:rPr>
        <w:t xml:space="preserve"> термінали та флот.</w:t>
      </w:r>
      <w:r w:rsidRPr="00400BAB">
        <w:rPr>
          <w:color w:val="000000"/>
          <w:sz w:val="28"/>
          <w:szCs w:val="28"/>
          <w:lang w:val="uk-UA"/>
        </w:rPr>
        <w:t xml:space="preserve"> Тобто зробило </w:t>
      </w:r>
      <w:r w:rsidRPr="004805E1">
        <w:rPr>
          <w:color w:val="000000"/>
          <w:sz w:val="28"/>
          <w:szCs w:val="28"/>
          <w:lang w:val="uk-UA"/>
        </w:rPr>
        <w:t>перерозподіл своїх внутрішніх резервів та спрямувало потік коштів на поновлення докризових показників.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805E1">
        <w:rPr>
          <w:color w:val="000000"/>
          <w:sz w:val="28"/>
          <w:szCs w:val="28"/>
          <w:lang w:val="uk-UA"/>
        </w:rPr>
        <w:t xml:space="preserve">На противагу попередньо обрахованим показникам для компанії </w:t>
      </w:r>
      <w:r w:rsidRPr="004805E1">
        <w:rPr>
          <w:color w:val="000000"/>
          <w:sz w:val="28"/>
          <w:szCs w:val="28"/>
          <w:lang w:val="en-US"/>
        </w:rPr>
        <w:t>Kernel</w:t>
      </w:r>
      <w:r w:rsidRPr="004805E1">
        <w:rPr>
          <w:color w:val="000000"/>
          <w:sz w:val="28"/>
          <w:szCs w:val="28"/>
          <w:lang w:val="uk-UA"/>
        </w:rPr>
        <w:t>,</w:t>
      </w:r>
      <w:r w:rsidRPr="004805E1">
        <w:rPr>
          <w:rStyle w:val="apple-converted-space"/>
          <w:rFonts w:eastAsiaTheme="majorEastAsia"/>
          <w:color w:val="000000"/>
          <w:sz w:val="28"/>
          <w:szCs w:val="28"/>
          <w:lang w:val="uk-UA"/>
        </w:rPr>
        <w:t xml:space="preserve"> отримані результати </w:t>
      </w:r>
      <w:r w:rsidRPr="004805E1">
        <w:rPr>
          <w:color w:val="000000"/>
          <w:sz w:val="28"/>
          <w:szCs w:val="28"/>
          <w:lang w:val="uk-UA"/>
        </w:rPr>
        <w:t>МХП</w:t>
      </w:r>
      <w:r w:rsidRPr="004805E1">
        <w:rPr>
          <w:rStyle w:val="apple-converted-space"/>
          <w:rFonts w:eastAsiaTheme="majorEastAsia"/>
          <w:color w:val="000000"/>
          <w:sz w:val="28"/>
          <w:szCs w:val="28"/>
          <w:lang w:val="uk-UA"/>
        </w:rPr>
        <w:t xml:space="preserve"> </w:t>
      </w:r>
      <w:r w:rsidRPr="004805E1">
        <w:rPr>
          <w:color w:val="000000"/>
          <w:sz w:val="28"/>
          <w:szCs w:val="28"/>
          <w:lang w:val="uk-UA"/>
        </w:rPr>
        <w:t>та</w:t>
      </w:r>
      <w:r w:rsidRPr="004805E1">
        <w:rPr>
          <w:rStyle w:val="apple-converted-space"/>
          <w:rFonts w:eastAsiaTheme="majorEastAsia"/>
          <w:color w:val="000000"/>
          <w:sz w:val="28"/>
          <w:szCs w:val="28"/>
          <w:lang w:val="uk-UA"/>
        </w:rPr>
        <w:t xml:space="preserve"> </w:t>
      </w:r>
      <w:r w:rsidRPr="004805E1">
        <w:rPr>
          <w:color w:val="000000"/>
          <w:sz w:val="28"/>
          <w:szCs w:val="28"/>
        </w:rPr>
        <w:t>Astarta</w:t>
      </w:r>
      <w:r w:rsidRPr="004805E1">
        <w:rPr>
          <w:color w:val="000000"/>
          <w:sz w:val="28"/>
          <w:szCs w:val="28"/>
          <w:lang w:val="uk-UA"/>
        </w:rPr>
        <w:t>-</w:t>
      </w:r>
      <w:r w:rsidRPr="004805E1">
        <w:rPr>
          <w:color w:val="000000"/>
          <w:sz w:val="28"/>
          <w:szCs w:val="28"/>
        </w:rPr>
        <w:t>Kyiv</w:t>
      </w:r>
      <w:r w:rsidRPr="004805E1">
        <w:rPr>
          <w:rStyle w:val="apple-converted-space"/>
          <w:rFonts w:eastAsiaTheme="majorEastAsia"/>
          <w:color w:val="000000"/>
          <w:sz w:val="28"/>
          <w:szCs w:val="28"/>
          <w:lang w:val="uk-UA"/>
        </w:rPr>
        <w:t xml:space="preserve"> </w:t>
      </w:r>
      <w:r w:rsidRPr="004805E1">
        <w:rPr>
          <w:color w:val="000000"/>
          <w:sz w:val="28"/>
          <w:szCs w:val="28"/>
          <w:lang w:val="uk-UA"/>
        </w:rPr>
        <w:t xml:space="preserve">продемонстрували здатність до нарощування інвестиційних витрат навіть у періоди найвищого ступеню невизначеності (ризиків та викликів). </w:t>
      </w:r>
      <w:r w:rsidRPr="004805E1">
        <w:rPr>
          <w:color w:val="000000"/>
          <w:sz w:val="28"/>
          <w:szCs w:val="28"/>
        </w:rPr>
        <w:t>Зокрема, у МХП абсолютний приріст CAPEX до 2025 року прогнозується на рівні 2 000 млн</w:t>
      </w:r>
      <w:r w:rsidRPr="004805E1">
        <w:rPr>
          <w:color w:val="000000"/>
          <w:sz w:val="28"/>
          <w:szCs w:val="28"/>
          <w:lang w:val="uk-UA"/>
        </w:rPr>
        <w:t>.</w:t>
      </w:r>
      <w:r w:rsidRPr="004805E1">
        <w:rPr>
          <w:color w:val="000000"/>
          <w:sz w:val="28"/>
          <w:szCs w:val="28"/>
        </w:rPr>
        <w:t xml:space="preserve"> грн</w:t>
      </w:r>
      <w:r w:rsidRPr="004805E1">
        <w:rPr>
          <w:color w:val="000000"/>
          <w:sz w:val="28"/>
          <w:szCs w:val="28"/>
          <w:lang w:val="uk-UA"/>
        </w:rPr>
        <w:t>.</w:t>
      </w:r>
      <w:r w:rsidRPr="004805E1">
        <w:rPr>
          <w:color w:val="000000"/>
          <w:sz w:val="28"/>
          <w:szCs w:val="28"/>
        </w:rPr>
        <w:t xml:space="preserve"> (</w:t>
      </w:r>
      <w:r w:rsidRPr="004805E1">
        <w:rPr>
          <w:color w:val="000000"/>
          <w:sz w:val="28"/>
          <w:szCs w:val="28"/>
          <w:lang w:val="uk-UA"/>
        </w:rPr>
        <w:t>тобто зростання показника</w:t>
      </w:r>
      <w:r w:rsidRPr="004805E1">
        <w:rPr>
          <w:color w:val="000000"/>
          <w:sz w:val="28"/>
          <w:szCs w:val="28"/>
        </w:rPr>
        <w:t xml:space="preserve"> на 44,9</w:t>
      </w:r>
      <w:r w:rsidR="00C32176">
        <w:rPr>
          <w:color w:val="000000"/>
          <w:sz w:val="28"/>
          <w:szCs w:val="28"/>
          <w:lang w:val="uk-UA"/>
        </w:rPr>
        <w:t xml:space="preserve"> </w:t>
      </w:r>
      <w:r w:rsidRPr="004805E1">
        <w:rPr>
          <w:color w:val="000000"/>
          <w:sz w:val="28"/>
          <w:szCs w:val="28"/>
        </w:rPr>
        <w:t>% відносно 2021 р.). Це обґрунтовується реалізацією механізму «безперервної модернізації», де інвестиції у біоенергетику та переробку стали фактором зниження операційних ризиків.</w:t>
      </w:r>
      <w:r w:rsidR="00A20734">
        <w:rPr>
          <w:color w:val="000000"/>
          <w:sz w:val="28"/>
          <w:szCs w:val="28"/>
          <w:lang w:val="uk-UA"/>
        </w:rPr>
        <w:t xml:space="preserve"> </w:t>
      </w:r>
      <w:r w:rsidRPr="004805E1">
        <w:rPr>
          <w:rStyle w:val="apple-converted-space"/>
          <w:rFonts w:eastAsiaTheme="majorEastAsia"/>
          <w:color w:val="000000"/>
          <w:sz w:val="28"/>
          <w:szCs w:val="28"/>
          <w:lang w:val="uk-UA"/>
        </w:rPr>
        <w:t xml:space="preserve">Для </w:t>
      </w:r>
      <w:r w:rsidRPr="004805E1">
        <w:rPr>
          <w:color w:val="000000"/>
          <w:sz w:val="28"/>
          <w:szCs w:val="28"/>
        </w:rPr>
        <w:t>Astarta</w:t>
      </w:r>
      <w:r w:rsidRPr="00A20734">
        <w:rPr>
          <w:color w:val="000000"/>
          <w:sz w:val="28"/>
          <w:szCs w:val="28"/>
          <w:lang w:val="uk-UA"/>
        </w:rPr>
        <w:t>-</w:t>
      </w:r>
      <w:r w:rsidRPr="004805E1">
        <w:rPr>
          <w:color w:val="000000"/>
          <w:sz w:val="28"/>
          <w:szCs w:val="28"/>
        </w:rPr>
        <w:t>Kyiv</w:t>
      </w:r>
      <w:r w:rsidRPr="004805E1">
        <w:rPr>
          <w:rStyle w:val="apple-converted-space"/>
          <w:rFonts w:eastAsiaTheme="majorEastAsia"/>
          <w:color w:val="000000"/>
          <w:sz w:val="28"/>
          <w:szCs w:val="28"/>
          <w:lang w:val="uk-UA"/>
        </w:rPr>
        <w:t xml:space="preserve"> виявлено найбільш стабільні та сталі показники, що вказують на зростання протягом всього періоду дослідження. Отримані значення </w:t>
      </w:r>
      <w:r w:rsidRPr="004805E1">
        <w:rPr>
          <w:color w:val="000000"/>
          <w:sz w:val="28"/>
          <w:szCs w:val="28"/>
          <w:lang w:val="uk-UA"/>
        </w:rPr>
        <w:t xml:space="preserve">демонструють найбільш стабільний відносний темп зростання, що підтверджує раціональність її економічного механізму, орієнтованого на </w:t>
      </w:r>
      <w:r w:rsidRPr="004805E1">
        <w:rPr>
          <w:color w:val="000000"/>
          <w:sz w:val="28"/>
          <w:szCs w:val="28"/>
        </w:rPr>
        <w:t>ESG</w:t>
      </w:r>
      <w:r w:rsidRPr="004805E1">
        <w:rPr>
          <w:color w:val="000000"/>
          <w:sz w:val="28"/>
          <w:szCs w:val="28"/>
          <w:lang w:val="uk-UA"/>
        </w:rPr>
        <w:t>-трансформацію. Тобто можна підсумувати</w:t>
      </w:r>
      <w:r w:rsidRPr="00400BAB">
        <w:rPr>
          <w:color w:val="000000"/>
          <w:sz w:val="28"/>
          <w:szCs w:val="28"/>
          <w:lang w:val="uk-UA"/>
        </w:rPr>
        <w:t>, що саме остання сільськогосподарська компанія хоч і має найменші значення, а виявляє найбільш стабільні ознаки до застосування економічного механізму щодо інвестиційної привабливості.</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Кумулятивний аналіз цих даних свідчить, що інвестиційна привабливість лідерів сектору у 2024–2025 рр. базується не на відновленні фізичних обсягів виробництва, а на якісному зміненні структури активів. </w:t>
      </w:r>
      <w:r w:rsidRPr="00400BAB">
        <w:rPr>
          <w:color w:val="000000"/>
          <w:sz w:val="28"/>
          <w:szCs w:val="28"/>
          <w:lang w:val="uk-UA"/>
        </w:rPr>
        <w:lastRenderedPageBreak/>
        <w:t>Зменшення інвестиційного розриву між 2022 та 2025 роками є результатом адаптації внутрішніх механізмів самофінансування. Таке пожвавлення інвестиційної активності є позитивним сигналом для ринку, оскільки воно демонструє життєздатність обраних стратегій розвитку та здатність агрохолдингів генерувати інвестиційний ресурс в умовах підвищених ризиків для будь яких інвестиційних вливань.</w:t>
      </w:r>
    </w:p>
    <w:p w:rsidR="00C32176" w:rsidRDefault="00B37265" w:rsidP="00C32176">
      <w:pPr>
        <w:pStyle w:val="a5"/>
        <w:spacing w:before="0" w:beforeAutospacing="0" w:after="0" w:afterAutospacing="0" w:line="360" w:lineRule="auto"/>
        <w:ind w:firstLine="709"/>
        <w:jc w:val="both"/>
        <w:rPr>
          <w:lang w:val="uk-UA"/>
        </w:rPr>
      </w:pPr>
      <w:r w:rsidRPr="00400BAB">
        <w:rPr>
          <w:color w:val="000000"/>
          <w:sz w:val="28"/>
          <w:szCs w:val="28"/>
          <w:lang w:val="uk-UA"/>
        </w:rPr>
        <w:t>В подальшому було здійснено обрахунок джерел фінансування інвестиційної діяльності досліджуваних підприємств. Адже кількість додаткових коштів для розвитку це не лише про суму коштів, а й важливим аспектом є її джерело (табл. 2. 10). Аналіз структури джерел фінансування дозволяє ідентифікувати трансформацію фінансового механізму аграрних підприємств</w:t>
      </w:r>
      <w:r w:rsidR="004009DE">
        <w:rPr>
          <w:color w:val="000000"/>
          <w:sz w:val="28"/>
          <w:szCs w:val="28"/>
          <w:lang w:val="uk-UA"/>
        </w:rPr>
        <w:t xml:space="preserve"> [119]</w:t>
      </w:r>
      <w:r w:rsidR="00C32176">
        <w:rPr>
          <w:lang w:val="uk-UA"/>
        </w:rPr>
        <w:t>.</w:t>
      </w:r>
    </w:p>
    <w:p w:rsidR="00B37265" w:rsidRPr="00212E70" w:rsidRDefault="00B37265" w:rsidP="00C32176">
      <w:pPr>
        <w:pStyle w:val="a5"/>
        <w:spacing w:before="0" w:beforeAutospacing="0" w:after="0" w:afterAutospacing="0" w:line="360" w:lineRule="auto"/>
        <w:ind w:firstLine="709"/>
        <w:jc w:val="right"/>
        <w:rPr>
          <w:color w:val="000000"/>
          <w:sz w:val="28"/>
          <w:szCs w:val="28"/>
          <w:lang w:val="uk-UA"/>
        </w:rPr>
      </w:pPr>
      <w:r w:rsidRPr="00212E70">
        <w:rPr>
          <w:color w:val="000000"/>
          <w:sz w:val="28"/>
          <w:szCs w:val="28"/>
          <w:lang w:val="uk-UA"/>
        </w:rPr>
        <w:t>Таблиця 2.8</w:t>
      </w:r>
    </w:p>
    <w:p w:rsidR="00B37265" w:rsidRPr="00400BAB" w:rsidRDefault="00B37265" w:rsidP="00400BAB">
      <w:pPr>
        <w:pStyle w:val="a5"/>
        <w:spacing w:before="0" w:beforeAutospacing="0" w:after="0" w:afterAutospacing="0" w:line="360" w:lineRule="auto"/>
        <w:jc w:val="center"/>
        <w:rPr>
          <w:b/>
          <w:bCs/>
          <w:color w:val="000000"/>
          <w:sz w:val="28"/>
          <w:szCs w:val="28"/>
          <w:lang w:val="uk-UA"/>
        </w:rPr>
      </w:pPr>
      <w:r w:rsidRPr="00400BAB">
        <w:rPr>
          <w:b/>
          <w:bCs/>
          <w:color w:val="000000"/>
          <w:sz w:val="28"/>
          <w:szCs w:val="28"/>
          <w:lang w:val="uk-UA"/>
        </w:rPr>
        <w:t xml:space="preserve">Джерела фінансування інвестиційної діяльності та їх питома вага у структурі капіталу </w:t>
      </w:r>
      <w:r w:rsidRPr="00400BAB">
        <w:rPr>
          <w:b/>
          <w:bCs/>
          <w:color w:val="000000"/>
          <w:sz w:val="28"/>
          <w:szCs w:val="28"/>
        </w:rPr>
        <w:t>Kernel</w:t>
      </w:r>
      <w:r w:rsidRPr="00400BAB">
        <w:rPr>
          <w:b/>
          <w:bCs/>
          <w:color w:val="000000"/>
          <w:sz w:val="28"/>
          <w:szCs w:val="28"/>
          <w:lang w:val="uk-UA"/>
        </w:rPr>
        <w:t xml:space="preserve">, МХП та </w:t>
      </w:r>
      <w:r w:rsidRPr="00400BAB">
        <w:rPr>
          <w:b/>
          <w:bCs/>
          <w:color w:val="000000"/>
          <w:sz w:val="28"/>
          <w:szCs w:val="28"/>
        </w:rPr>
        <w:t>Astarta</w:t>
      </w:r>
      <w:r w:rsidRPr="00400BAB">
        <w:rPr>
          <w:b/>
          <w:bCs/>
          <w:color w:val="000000"/>
          <w:sz w:val="28"/>
          <w:szCs w:val="28"/>
          <w:lang w:val="uk-UA"/>
        </w:rPr>
        <w:t>-</w:t>
      </w:r>
      <w:r w:rsidRPr="00400BAB">
        <w:rPr>
          <w:b/>
          <w:bCs/>
          <w:color w:val="000000"/>
          <w:sz w:val="28"/>
          <w:szCs w:val="28"/>
        </w:rPr>
        <w:t>Kyiv</w:t>
      </w:r>
      <w:r w:rsidRPr="00400BAB">
        <w:rPr>
          <w:b/>
          <w:bCs/>
          <w:color w:val="000000"/>
          <w:sz w:val="28"/>
          <w:szCs w:val="28"/>
          <w:lang w:val="uk-UA"/>
        </w:rPr>
        <w:t xml:space="preserve"> за 2021–2025 рр, %</w:t>
      </w:r>
    </w:p>
    <w:tbl>
      <w:tblPr>
        <w:tblW w:w="954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457"/>
        <w:gridCol w:w="983"/>
        <w:gridCol w:w="708"/>
        <w:gridCol w:w="851"/>
        <w:gridCol w:w="992"/>
        <w:gridCol w:w="992"/>
        <w:gridCol w:w="1560"/>
      </w:tblGrid>
      <w:tr w:rsidR="00B37265" w:rsidRPr="00400BAB" w:rsidTr="00C94451">
        <w:trPr>
          <w:cantSplit/>
          <w:trHeight w:val="315"/>
          <w:tblHeader/>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Джерело / Рік</w:t>
            </w:r>
          </w:p>
        </w:tc>
        <w:tc>
          <w:tcPr>
            <w:tcW w:w="983"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2021</w:t>
            </w:r>
          </w:p>
        </w:tc>
        <w:tc>
          <w:tcPr>
            <w:tcW w:w="70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2022</w:t>
            </w:r>
          </w:p>
        </w:tc>
        <w:tc>
          <w:tcPr>
            <w:tcW w:w="85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2023</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2024</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2025</w:t>
            </w:r>
          </w:p>
        </w:tc>
        <w:tc>
          <w:tcPr>
            <w:tcW w:w="1560"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Тренд</w:t>
            </w:r>
          </w:p>
        </w:tc>
      </w:tr>
      <w:tr w:rsidR="00B37265" w:rsidRPr="00400BAB" w:rsidTr="00C94451">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Власні кошти (прибуток, аморт.)</w:t>
            </w:r>
          </w:p>
        </w:tc>
        <w:tc>
          <w:tcPr>
            <w:tcW w:w="983"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45</w:t>
            </w:r>
          </w:p>
        </w:tc>
        <w:tc>
          <w:tcPr>
            <w:tcW w:w="70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65</w:t>
            </w:r>
          </w:p>
        </w:tc>
        <w:tc>
          <w:tcPr>
            <w:tcW w:w="85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58</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55</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52</w:t>
            </w:r>
          </w:p>
        </w:tc>
        <w:tc>
          <w:tcPr>
            <w:tcW w:w="1560" w:type="dxa"/>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Зростання ролі</w:t>
            </w:r>
          </w:p>
        </w:tc>
      </w:tr>
      <w:tr w:rsidR="00B37265" w:rsidRPr="00400BAB" w:rsidTr="00C94451">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Кредити МФО (EBRD, IFC)</w:t>
            </w:r>
          </w:p>
        </w:tc>
        <w:tc>
          <w:tcPr>
            <w:tcW w:w="983"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15</w:t>
            </w:r>
          </w:p>
        </w:tc>
        <w:tc>
          <w:tcPr>
            <w:tcW w:w="70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20</w:t>
            </w:r>
          </w:p>
        </w:tc>
        <w:tc>
          <w:tcPr>
            <w:tcW w:w="85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25</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28</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30</w:t>
            </w:r>
          </w:p>
        </w:tc>
        <w:tc>
          <w:tcPr>
            <w:tcW w:w="1560" w:type="dxa"/>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Пріоритетне</w:t>
            </w:r>
          </w:p>
        </w:tc>
      </w:tr>
      <w:tr w:rsidR="00B37265" w:rsidRPr="00400BAB" w:rsidTr="00C94451">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Комерційні кредити банків</w:t>
            </w:r>
          </w:p>
        </w:tc>
        <w:tc>
          <w:tcPr>
            <w:tcW w:w="983"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25</w:t>
            </w:r>
          </w:p>
        </w:tc>
        <w:tc>
          <w:tcPr>
            <w:tcW w:w="70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10</w:t>
            </w:r>
          </w:p>
        </w:tc>
        <w:tc>
          <w:tcPr>
            <w:tcW w:w="85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12</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14</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15</w:t>
            </w:r>
          </w:p>
        </w:tc>
        <w:tc>
          <w:tcPr>
            <w:tcW w:w="1560" w:type="dxa"/>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Стагнація</w:t>
            </w:r>
          </w:p>
        </w:tc>
      </w:tr>
      <w:tr w:rsidR="00B37265" w:rsidRPr="00400BAB" w:rsidTr="00C94451">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Інші (лізинг, гранти)</w:t>
            </w:r>
          </w:p>
        </w:tc>
        <w:tc>
          <w:tcPr>
            <w:tcW w:w="983"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15</w:t>
            </w:r>
          </w:p>
        </w:tc>
        <w:tc>
          <w:tcPr>
            <w:tcW w:w="70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5</w:t>
            </w:r>
          </w:p>
        </w:tc>
        <w:tc>
          <w:tcPr>
            <w:tcW w:w="85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5</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3</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rPr>
            </w:pPr>
            <w:r w:rsidRPr="00400BAB">
              <w:rPr>
                <w:rFonts w:ascii="Times New Roman" w:hAnsi="Times New Roman"/>
              </w:rPr>
              <w:t>3</w:t>
            </w:r>
          </w:p>
        </w:tc>
        <w:tc>
          <w:tcPr>
            <w:tcW w:w="1560" w:type="dxa"/>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rPr>
            </w:pPr>
            <w:r w:rsidRPr="00400BAB">
              <w:rPr>
                <w:rFonts w:ascii="Times New Roman" w:hAnsi="Times New Roman"/>
              </w:rPr>
              <w:t>Скорочення</w:t>
            </w:r>
          </w:p>
        </w:tc>
      </w:tr>
    </w:tbl>
    <w:p w:rsidR="00B37265" w:rsidRPr="00400BAB" w:rsidRDefault="00B37265" w:rsidP="00400BAB">
      <w:pPr>
        <w:spacing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lang w:val="uk-UA"/>
        </w:rPr>
        <w:t xml:space="preserve">Ключовою тенденцією періоду 2021–2025 рр. є стрімке зростання частки самофінансування та коштів міжнародних фінансових організацій (МФО) на фоні стагнації традиційного банківського кредитування. </w:t>
      </w:r>
      <w:r w:rsidRPr="00400BAB">
        <w:rPr>
          <w:color w:val="000000"/>
          <w:sz w:val="28"/>
          <w:szCs w:val="28"/>
        </w:rPr>
        <w:t>Якщо у 2021 році власні кошти складали 45% інвестиційного ресурсу, то у 2022 році цей показник сягнув 65%, що було вимушеним кроком у відповідь на закриття лімітів комерційними банками.</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Важливим науковим висновком є ідентифікація ролі кредитів МФО, питома вага яких планомірно зростає з 15% у 2021 р. до п 30% у 2025 р. Це свідчить про те, що інвестиційна привабливість великих агропідприємств </w:t>
      </w:r>
      <w:r w:rsidRPr="00400BAB">
        <w:rPr>
          <w:color w:val="000000"/>
          <w:sz w:val="28"/>
          <w:szCs w:val="28"/>
        </w:rPr>
        <w:lastRenderedPageBreak/>
        <w:t>наразі конвертується через їхню здатність відповідати жорстким міжнародним стандартам прозорості та екологічності. Комерційний сектор банків поки не відновив свою роль як провідного інвестора (частка впала з 25% до 15%), що створює певний дефіцит «швидкого» капіталу для середньострокових проєктів.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Зменшення частки лізингових операцій та грантів свідчить про концентрацію підприємств на масштабних стратегічних об’єктах, які потребують довгострокового фінансування, а не точкового оновлення парку техніки. Така динаміка джерел фінансування підкреслює зміцнення фінансової автономії агрохолдингів, що є позитивним фактором для їхньої довгострокової платоспроможності. Виявлена структура джерел підтверджує перехід до моделі «стійкого фінансування», де інвестиційний потенціал формується за рахунок синергії внутрішньої ефективності та міжнародного партнерства.</w:t>
      </w:r>
      <w:r w:rsidRPr="00400BAB">
        <w:rPr>
          <w:color w:val="000000"/>
          <w:sz w:val="28"/>
          <w:szCs w:val="28"/>
          <w:lang w:val="uk-UA"/>
        </w:rPr>
        <w:t xml:space="preserve"> </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Попередньо поданий обрахунок є кумулятивним значенням для всіх досліджуваних сільськогосподарських підприємств. Але в розрізі аналізу варто акцентувати увагу структуру інвестиційних коштів для кожної компанії окремо (рис. 2. 16).</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Деталізація джерел фінансування інвестицій дозволяє ідентифікувати фундаментальні відмінності в економічних механізмах досліджуваних об'єктів. Зокрема,</w:t>
      </w:r>
      <w:r w:rsidRPr="00400BAB">
        <w:rPr>
          <w:rStyle w:val="apple-converted-space"/>
          <w:rFonts w:eastAsiaTheme="majorEastAsia"/>
          <w:color w:val="000000"/>
          <w:lang w:val="uk-UA"/>
        </w:rPr>
        <w:t xml:space="preserve"> </w:t>
      </w:r>
      <w:r w:rsidRPr="00400BAB">
        <w:rPr>
          <w:color w:val="000000"/>
          <w:sz w:val="28"/>
          <w:szCs w:val="28"/>
        </w:rPr>
        <w:t>Astarta</w:t>
      </w:r>
      <w:r w:rsidRPr="00400BAB">
        <w:rPr>
          <w:color w:val="000000"/>
          <w:sz w:val="28"/>
          <w:szCs w:val="28"/>
          <w:lang w:val="uk-UA"/>
        </w:rPr>
        <w:t>-</w:t>
      </w:r>
      <w:r w:rsidRPr="00400BAB">
        <w:rPr>
          <w:color w:val="000000"/>
          <w:sz w:val="28"/>
          <w:szCs w:val="28"/>
        </w:rPr>
        <w:t>Kyiv</w:t>
      </w:r>
      <w:r w:rsidRPr="00400BAB">
        <w:rPr>
          <w:rStyle w:val="apple-converted-space"/>
          <w:rFonts w:eastAsiaTheme="majorEastAsia"/>
          <w:color w:val="000000"/>
          <w:lang w:val="uk-UA"/>
        </w:rPr>
        <w:t xml:space="preserve"> </w:t>
      </w:r>
      <w:r w:rsidRPr="00400BAB">
        <w:rPr>
          <w:color w:val="000000"/>
          <w:sz w:val="28"/>
          <w:szCs w:val="28"/>
          <w:lang w:val="uk-UA"/>
        </w:rPr>
        <w:t>демонструє найбільш консервативний та фінансово стійкий механізм, де 62% інвестицій покриваються власними ресурсами. Мінімальна частка комерційних кредитів (4%) у структурі фінансування цієї компанії свідчить про стратегію диверсифікації, що в умовах високих відсоткових ставок в Україні є вагомим фактором інвестиційної привабливості.</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Для</w:t>
      </w:r>
      <w:r w:rsidRPr="00400BAB">
        <w:rPr>
          <w:rStyle w:val="apple-converted-space"/>
          <w:rFonts w:eastAsiaTheme="majorEastAsia"/>
          <w:color w:val="000000"/>
          <w:lang w:val="uk-UA"/>
        </w:rPr>
        <w:t xml:space="preserve"> </w:t>
      </w:r>
      <w:r w:rsidRPr="00400BAB">
        <w:rPr>
          <w:color w:val="000000"/>
          <w:sz w:val="28"/>
          <w:szCs w:val="28"/>
        </w:rPr>
        <w:t>МХП</w:t>
      </w:r>
      <w:r w:rsidRPr="00400BAB">
        <w:rPr>
          <w:rStyle w:val="apple-converted-space"/>
          <w:rFonts w:eastAsiaTheme="majorEastAsia"/>
          <w:color w:val="000000"/>
          <w:lang w:val="uk-UA"/>
        </w:rPr>
        <w:t xml:space="preserve"> </w:t>
      </w:r>
      <w:r w:rsidRPr="00400BAB">
        <w:rPr>
          <w:color w:val="000000"/>
          <w:sz w:val="28"/>
          <w:szCs w:val="28"/>
        </w:rPr>
        <w:t xml:space="preserve">характерною є модель «вертикально інтегрованого самофінансування». Частка власних коштів на рівні 58% забезпечується високою операційною маржинальністю переробних сегментів. Важливим елементом механізму МХП є стабільна присутність у портфелях </w:t>
      </w:r>
      <w:r w:rsidRPr="00400BAB">
        <w:rPr>
          <w:color w:val="000000"/>
          <w:sz w:val="28"/>
          <w:szCs w:val="28"/>
        </w:rPr>
        <w:lastRenderedPageBreak/>
        <w:t>міжнародних фінансових інституцій (25%), що дозволяє компанії залучати «довгі» гроші під проєкти екологічної трансформації (біогаз).</w:t>
      </w:r>
    </w:p>
    <w:p w:rsidR="00C32176" w:rsidRDefault="00BE5A3A" w:rsidP="00C32176">
      <w:pPr>
        <w:spacing w:line="360" w:lineRule="auto"/>
        <w:jc w:val="center"/>
        <w:rPr>
          <w:rFonts w:ascii="Times New Roman" w:hAnsi="Times New Roman"/>
          <w:sz w:val="28"/>
          <w:szCs w:val="28"/>
          <w:lang w:val="uk-UA"/>
        </w:rPr>
      </w:pPr>
      <w:r w:rsidRPr="00400BAB">
        <w:rPr>
          <w:rFonts w:ascii="Times New Roman" w:hAnsi="Times New Roman"/>
          <w:noProof/>
          <w:color w:val="000000" w:themeColor="text1"/>
          <w:sz w:val="28"/>
          <w:szCs w:val="28"/>
          <w:lang w:val="uk-UA" w:eastAsia="uk-UA"/>
          <w14:ligatures w14:val="standardContextual"/>
        </w:rPr>
        <w:drawing>
          <wp:inline distT="0" distB="0" distL="0" distR="0" wp14:anchorId="482A5E69" wp14:editId="1C74B937">
            <wp:extent cx="5419725" cy="2533650"/>
            <wp:effectExtent l="0" t="0" r="9525" b="0"/>
            <wp:docPr id="386066855"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E5A3A" w:rsidRPr="00C32176" w:rsidRDefault="00BE5A3A" w:rsidP="00C32176">
      <w:pPr>
        <w:spacing w:after="0" w:line="360" w:lineRule="auto"/>
        <w:ind w:firstLine="709"/>
        <w:jc w:val="both"/>
        <w:rPr>
          <w:rFonts w:ascii="Times New Roman" w:hAnsi="Times New Roman"/>
          <w:sz w:val="28"/>
          <w:szCs w:val="28"/>
          <w:lang w:val="uk-UA"/>
        </w:rPr>
      </w:pPr>
      <w:r w:rsidRPr="00400BAB">
        <w:rPr>
          <w:rFonts w:ascii="Times New Roman" w:hAnsi="Times New Roman"/>
          <w:b/>
          <w:bCs/>
          <w:sz w:val="28"/>
          <w:szCs w:val="28"/>
          <w:lang w:val="uk-UA"/>
        </w:rPr>
        <w:t xml:space="preserve">Рис. 2.11 </w:t>
      </w:r>
      <w:r w:rsidRPr="00400BAB">
        <w:rPr>
          <w:rFonts w:ascii="Times New Roman" w:hAnsi="Times New Roman"/>
          <w:b/>
          <w:bCs/>
          <w:color w:val="000000"/>
          <w:sz w:val="28"/>
          <w:szCs w:val="28"/>
          <w:lang w:val="uk-UA"/>
        </w:rPr>
        <w:t xml:space="preserve">Структурно джерел фінансування інвестиційної діяльності </w:t>
      </w:r>
      <w:r w:rsidRPr="00400BAB">
        <w:rPr>
          <w:rFonts w:ascii="Times New Roman" w:hAnsi="Times New Roman"/>
          <w:b/>
          <w:bCs/>
          <w:color w:val="000000"/>
          <w:sz w:val="28"/>
          <w:szCs w:val="28"/>
        </w:rPr>
        <w:t>Kernel</w:t>
      </w:r>
      <w:r w:rsidRPr="00400BAB">
        <w:rPr>
          <w:rFonts w:ascii="Times New Roman" w:hAnsi="Times New Roman"/>
          <w:b/>
          <w:bCs/>
          <w:color w:val="000000"/>
          <w:sz w:val="28"/>
          <w:szCs w:val="28"/>
          <w:lang w:val="uk-UA"/>
        </w:rPr>
        <w:t xml:space="preserve">, МХП та </w:t>
      </w:r>
      <w:r w:rsidRPr="00400BAB">
        <w:rPr>
          <w:rFonts w:ascii="Times New Roman" w:hAnsi="Times New Roman"/>
          <w:b/>
          <w:bCs/>
          <w:color w:val="000000"/>
          <w:sz w:val="28"/>
          <w:szCs w:val="28"/>
        </w:rPr>
        <w:t>Astarta</w:t>
      </w:r>
      <w:r w:rsidRPr="00400BAB">
        <w:rPr>
          <w:rFonts w:ascii="Times New Roman" w:hAnsi="Times New Roman"/>
          <w:b/>
          <w:bCs/>
          <w:color w:val="000000"/>
          <w:sz w:val="28"/>
          <w:szCs w:val="28"/>
          <w:lang w:val="uk-UA"/>
        </w:rPr>
        <w:t>-</w:t>
      </w:r>
      <w:r w:rsidRPr="00400BAB">
        <w:rPr>
          <w:rFonts w:ascii="Times New Roman" w:hAnsi="Times New Roman"/>
          <w:b/>
          <w:bCs/>
          <w:color w:val="000000"/>
          <w:sz w:val="28"/>
          <w:szCs w:val="28"/>
        </w:rPr>
        <w:t>Kyiv</w:t>
      </w:r>
      <w:r w:rsidRPr="00400BAB">
        <w:rPr>
          <w:rFonts w:ascii="Times New Roman" w:hAnsi="Times New Roman"/>
          <w:b/>
          <w:bCs/>
          <w:color w:val="000000"/>
          <w:sz w:val="28"/>
          <w:szCs w:val="28"/>
          <w:lang w:val="uk-UA"/>
        </w:rPr>
        <w:t xml:space="preserve"> за 2021–2025 рр., %</w:t>
      </w:r>
    </w:p>
    <w:p w:rsidR="00BE5A3A" w:rsidRPr="00400BAB" w:rsidRDefault="00BE5A3A" w:rsidP="00BE5A3A">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BE5A3A" w:rsidRDefault="00BE5A3A" w:rsidP="00400BAB">
      <w:pPr>
        <w:pStyle w:val="a5"/>
        <w:spacing w:before="0" w:beforeAutospacing="0" w:after="0" w:afterAutospacing="0" w:line="360" w:lineRule="auto"/>
        <w:ind w:firstLine="709"/>
        <w:jc w:val="both"/>
        <w:rPr>
          <w:color w:val="000000"/>
          <w:sz w:val="28"/>
          <w:szCs w:val="28"/>
          <w:lang w:val="uk-UA"/>
        </w:rPr>
      </w:pPr>
    </w:p>
    <w:p w:rsidR="00B37265" w:rsidRPr="00F346C3" w:rsidRDefault="00B37265" w:rsidP="00400BAB">
      <w:pPr>
        <w:pStyle w:val="a5"/>
        <w:spacing w:before="0" w:beforeAutospacing="0" w:after="0" w:afterAutospacing="0" w:line="360" w:lineRule="auto"/>
        <w:ind w:firstLine="709"/>
        <w:jc w:val="both"/>
        <w:rPr>
          <w:color w:val="000000"/>
          <w:sz w:val="28"/>
          <w:szCs w:val="28"/>
          <w:lang w:val="uk-UA"/>
        </w:rPr>
      </w:pPr>
      <w:r w:rsidRPr="00BE5A3A">
        <w:rPr>
          <w:color w:val="000000"/>
          <w:sz w:val="28"/>
          <w:szCs w:val="28"/>
          <w:lang w:val="uk-UA"/>
        </w:rPr>
        <w:t>Економічний механізм</w:t>
      </w:r>
      <w:r w:rsidRPr="00400BAB">
        <w:rPr>
          <w:rStyle w:val="apple-converted-space"/>
          <w:rFonts w:eastAsiaTheme="majorEastAsia"/>
          <w:color w:val="000000"/>
          <w:lang w:val="uk-UA"/>
        </w:rPr>
        <w:t xml:space="preserve"> </w:t>
      </w:r>
      <w:r w:rsidRPr="00400BAB">
        <w:rPr>
          <w:color w:val="000000"/>
          <w:sz w:val="28"/>
          <w:szCs w:val="28"/>
        </w:rPr>
        <w:t>Kernel</w:t>
      </w:r>
      <w:r w:rsidRPr="00400BAB">
        <w:rPr>
          <w:rStyle w:val="apple-converted-space"/>
          <w:rFonts w:eastAsiaTheme="majorEastAsia"/>
          <w:color w:val="000000"/>
          <w:lang w:val="uk-UA"/>
        </w:rPr>
        <w:t xml:space="preserve"> </w:t>
      </w:r>
      <w:r w:rsidRPr="00BE5A3A">
        <w:rPr>
          <w:color w:val="000000"/>
          <w:sz w:val="28"/>
          <w:szCs w:val="28"/>
          <w:lang w:val="uk-UA"/>
        </w:rPr>
        <w:t xml:space="preserve">у період 2023–2025 рр. характеризується найбільшою залежністю від зовнішнього інституційного капіталу серед усієї вибірки (30% — МФО). </w:t>
      </w:r>
      <w:r w:rsidRPr="00F346C3">
        <w:rPr>
          <w:color w:val="000000"/>
          <w:sz w:val="28"/>
          <w:szCs w:val="28"/>
          <w:lang w:val="uk-UA"/>
        </w:rPr>
        <w:t xml:space="preserve">Це обґрунтовується масштабністю інфраструктурних проєктів (будівництво терміналів, закупівля флоту), які неможливо реалізувати виключно за рахунок поточного прибутку в умовах воєнних обмежень експорту. Питома вага комерційних запозичень (15%) у </w:t>
      </w:r>
      <w:r w:rsidRPr="00400BAB">
        <w:rPr>
          <w:color w:val="000000"/>
          <w:sz w:val="28"/>
          <w:szCs w:val="28"/>
        </w:rPr>
        <w:t>Kernel</w:t>
      </w:r>
      <w:r w:rsidRPr="00F346C3">
        <w:rPr>
          <w:color w:val="000000"/>
          <w:sz w:val="28"/>
          <w:szCs w:val="28"/>
          <w:lang w:val="uk-UA"/>
        </w:rPr>
        <w:t xml:space="preserve"> є найвищою, що створює додаткове навантаження на показник </w:t>
      </w:r>
      <w:r w:rsidRPr="00400BAB">
        <w:rPr>
          <w:color w:val="000000"/>
          <w:sz w:val="28"/>
          <w:szCs w:val="28"/>
        </w:rPr>
        <w:t>Net</w:t>
      </w:r>
      <w:r w:rsidRPr="00F346C3">
        <w:rPr>
          <w:color w:val="000000"/>
          <w:sz w:val="28"/>
          <w:szCs w:val="28"/>
          <w:lang w:val="uk-UA"/>
        </w:rPr>
        <w:t xml:space="preserve"> </w:t>
      </w:r>
      <w:r w:rsidRPr="00400BAB">
        <w:rPr>
          <w:color w:val="000000"/>
          <w:sz w:val="28"/>
          <w:szCs w:val="28"/>
        </w:rPr>
        <w:t>Debt</w:t>
      </w:r>
      <w:r w:rsidRPr="00F346C3">
        <w:rPr>
          <w:color w:val="000000"/>
          <w:sz w:val="28"/>
          <w:szCs w:val="28"/>
          <w:lang w:val="uk-UA"/>
        </w:rPr>
        <w:t>/</w:t>
      </w:r>
      <w:r w:rsidRPr="00400BAB">
        <w:rPr>
          <w:color w:val="000000"/>
          <w:sz w:val="28"/>
          <w:szCs w:val="28"/>
        </w:rPr>
        <w:t>EBITDA</w:t>
      </w:r>
      <w:r w:rsidRPr="00F346C3">
        <w:rPr>
          <w:color w:val="000000"/>
          <w:sz w:val="28"/>
          <w:szCs w:val="28"/>
          <w:lang w:val="uk-UA"/>
        </w:rPr>
        <w:t>, але є необхідним інструментом для відновлення ринкової частки.</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F346C3">
        <w:rPr>
          <w:color w:val="000000"/>
          <w:sz w:val="28"/>
          <w:szCs w:val="28"/>
          <w:lang w:val="uk-UA"/>
        </w:rPr>
        <w:t>Кумулятивно аналіз джерел фінансування підтверджує перехід агросектору до моделі</w:t>
      </w:r>
      <w:r w:rsidRPr="00400BAB">
        <w:rPr>
          <w:rStyle w:val="apple-converted-space"/>
          <w:rFonts w:eastAsiaTheme="majorEastAsia"/>
          <w:color w:val="000000"/>
          <w:lang w:val="uk-UA"/>
        </w:rPr>
        <w:t xml:space="preserve"> </w:t>
      </w:r>
      <w:r w:rsidRPr="00F346C3">
        <w:rPr>
          <w:color w:val="000000"/>
          <w:sz w:val="28"/>
          <w:szCs w:val="28"/>
          <w:lang w:val="uk-UA"/>
        </w:rPr>
        <w:t>«</w:t>
      </w:r>
      <w:r w:rsidRPr="00400BAB">
        <w:rPr>
          <w:color w:val="000000"/>
          <w:sz w:val="28"/>
          <w:szCs w:val="28"/>
        </w:rPr>
        <w:t>ESG</w:t>
      </w:r>
      <w:r w:rsidRPr="00F346C3">
        <w:rPr>
          <w:color w:val="000000"/>
          <w:sz w:val="28"/>
          <w:szCs w:val="28"/>
          <w:lang w:val="uk-UA"/>
        </w:rPr>
        <w:t xml:space="preserve">-орієнтованого інвестування». </w:t>
      </w:r>
      <w:r w:rsidRPr="00400BAB">
        <w:rPr>
          <w:color w:val="000000"/>
          <w:sz w:val="28"/>
          <w:szCs w:val="28"/>
        </w:rPr>
        <w:t xml:space="preserve">Це ідентифікується через високу частку МФО у всіх трьох компаніях, оскільки такі кошти доступні лише при дотриманні жорстких критеріїв сталого розвитку. Таким чином, економічний механізм формування інвестиційної привабливості на сучасному етапі базується на здатності підприємства </w:t>
      </w:r>
      <w:r w:rsidRPr="00400BAB">
        <w:rPr>
          <w:color w:val="000000"/>
          <w:sz w:val="28"/>
          <w:szCs w:val="28"/>
        </w:rPr>
        <w:lastRenderedPageBreak/>
        <w:t>генерувати достатній внутрішній потік для покриття базисних потреб та залучати цільове міжнародне фінансування для стратегічного переозброєння</w:t>
      </w:r>
      <w:r w:rsidRPr="00400BAB">
        <w:rPr>
          <w:color w:val="000000"/>
          <w:sz w:val="28"/>
          <w:szCs w:val="28"/>
          <w:lang w:val="uk-UA"/>
        </w:rPr>
        <w:t>.</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В подальших обрахунках було здійснено ідентифікацію економічних механізмів формування інвестиційної привабливості через оцінку стратегічної налаштованості підприємств на відтворення необоротних активів через показник інвестиційної ємності доходів (</w:t>
      </w:r>
      <w:r w:rsidRPr="00400BAB">
        <w:rPr>
          <w:color w:val="000000"/>
          <w:sz w:val="28"/>
          <w:szCs w:val="28"/>
        </w:rPr>
        <w:t>Ratio</w:t>
      </w:r>
      <w:r w:rsidRPr="00400BAB">
        <w:rPr>
          <w:color w:val="000000"/>
          <w:sz w:val="28"/>
          <w:szCs w:val="28"/>
          <w:lang w:val="uk-UA"/>
        </w:rPr>
        <w:t xml:space="preserve"> </w:t>
      </w:r>
      <w:r w:rsidRPr="00400BAB">
        <w:rPr>
          <w:color w:val="000000"/>
          <w:sz w:val="28"/>
          <w:szCs w:val="28"/>
        </w:rPr>
        <w:t>CAPEX</w:t>
      </w:r>
      <w:r w:rsidRPr="00400BAB">
        <w:rPr>
          <w:color w:val="000000"/>
          <w:sz w:val="28"/>
          <w:szCs w:val="28"/>
          <w:lang w:val="uk-UA"/>
        </w:rPr>
        <w:t>/</w:t>
      </w:r>
      <w:r w:rsidRPr="00400BAB">
        <w:rPr>
          <w:color w:val="000000"/>
          <w:sz w:val="28"/>
          <w:szCs w:val="28"/>
        </w:rPr>
        <w:t>Revenue</w:t>
      </w:r>
      <w:r w:rsidRPr="00400BAB">
        <w:rPr>
          <w:color w:val="000000"/>
          <w:sz w:val="28"/>
          <w:szCs w:val="28"/>
          <w:lang w:val="uk-UA"/>
        </w:rPr>
        <w:t>). У науковій літературі даний індикатор розглядається як міра «агресивності» інвестиційної політики, оскільки він демонструє, яку частку від кожного отриманого за реалізацію продукції гривневого еквівалента менеджмент готовий реінвестувати у довгостроковий розвиток.</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Вибір саме цього показника для порівняльного аналізу </w:t>
      </w:r>
      <w:r w:rsidRPr="00400BAB">
        <w:rPr>
          <w:color w:val="000000"/>
          <w:sz w:val="28"/>
          <w:szCs w:val="28"/>
        </w:rPr>
        <w:t>Kernel</w:t>
      </w:r>
      <w:r w:rsidRPr="00400BAB">
        <w:rPr>
          <w:color w:val="000000"/>
          <w:sz w:val="28"/>
          <w:szCs w:val="28"/>
          <w:lang w:val="uk-UA"/>
        </w:rPr>
        <w:t xml:space="preserve">, МХП та </w:t>
      </w:r>
      <w:r w:rsidRPr="00400BAB">
        <w:rPr>
          <w:color w:val="000000"/>
          <w:sz w:val="28"/>
          <w:szCs w:val="28"/>
        </w:rPr>
        <w:t>Astarta</w:t>
      </w:r>
      <w:r w:rsidRPr="00400BAB">
        <w:rPr>
          <w:color w:val="000000"/>
          <w:sz w:val="28"/>
          <w:szCs w:val="28"/>
          <w:lang w:val="uk-UA"/>
        </w:rPr>
        <w:t>-</w:t>
      </w:r>
      <w:r w:rsidRPr="00400BAB">
        <w:rPr>
          <w:color w:val="000000"/>
          <w:sz w:val="28"/>
          <w:szCs w:val="28"/>
        </w:rPr>
        <w:t>Kyiv</w:t>
      </w:r>
      <w:r w:rsidRPr="00400BAB">
        <w:rPr>
          <w:color w:val="000000"/>
          <w:sz w:val="28"/>
          <w:szCs w:val="28"/>
          <w:lang w:val="uk-UA"/>
        </w:rPr>
        <w:t xml:space="preserve"> зумовлений потребою нівелювання масштабів діяльності (ефекту бази), що дозволяє порівнювати підприємства з різними обсягами виручки на єдиній відносній шкалі. У межах нашого дослідження рівень інвестиційної ємності доходів виступає кількісним вираженням адаптаційної здатності економічного механізму: високі значення показника свідчать про пріоритетність модернізації та інноваційного оновлення, тоді як низькі — про перехід до моделі «експлуатації наявного потенціалу» або вимушеного скорочення витрат для підтримки поточної ліквідності.</w:t>
      </w:r>
    </w:p>
    <w:p w:rsidR="00B37265" w:rsidRPr="00400BAB" w:rsidRDefault="00B37265" w:rsidP="00212E70">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Важливим аспектом аналізу у 2021–2025 рр. є відстеження траєкторії відновлення цього співвідношення після кризового падіння у 2022 році. </w:t>
      </w:r>
      <w:r w:rsidRPr="00400BAB">
        <w:rPr>
          <w:color w:val="000000"/>
          <w:sz w:val="28"/>
          <w:szCs w:val="28"/>
        </w:rPr>
        <w:t xml:space="preserve">Це дозволяє ідентифікувати швидкість повернення підприємства до стратегічного циклу розвитку та його потенційну здатність генерувати нову вартість у майбутніх періодах. Розраховані значення інвестиційної ємності доходів для досліджуваних суб'єктів систематизовано </w:t>
      </w:r>
      <w:r w:rsidRPr="00400BAB">
        <w:rPr>
          <w:color w:val="000000"/>
          <w:sz w:val="28"/>
          <w:szCs w:val="28"/>
          <w:lang w:val="uk-UA"/>
        </w:rPr>
        <w:t>на рис. 2.12.</w:t>
      </w:r>
      <w:r w:rsidR="00212E70" w:rsidRPr="00400BAB">
        <w:rPr>
          <w:color w:val="000000"/>
          <w:sz w:val="28"/>
          <w:szCs w:val="28"/>
          <w:lang w:val="uk-UA"/>
        </w:rPr>
        <w:t xml:space="preserve"> </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lang w:val="uk-UA"/>
        </w:rPr>
        <w:t xml:space="preserve">Показник інвестиційної ємності доходу (відношення </w:t>
      </w:r>
      <w:r w:rsidRPr="00400BAB">
        <w:rPr>
          <w:color w:val="000000"/>
          <w:sz w:val="28"/>
          <w:szCs w:val="28"/>
        </w:rPr>
        <w:t>CAPEX</w:t>
      </w:r>
      <w:r w:rsidRPr="00400BAB">
        <w:rPr>
          <w:color w:val="000000"/>
          <w:sz w:val="28"/>
          <w:szCs w:val="28"/>
          <w:lang w:val="uk-UA"/>
        </w:rPr>
        <w:t xml:space="preserve"> до виручки) є індикатором стратегічної налаштованості підприємства на розвиток. </w:t>
      </w:r>
      <w:r w:rsidRPr="00400BAB">
        <w:rPr>
          <w:color w:val="000000"/>
          <w:sz w:val="28"/>
          <w:szCs w:val="28"/>
        </w:rPr>
        <w:t xml:space="preserve">На основі </w:t>
      </w:r>
      <w:r w:rsidRPr="00400BAB">
        <w:rPr>
          <w:color w:val="000000"/>
          <w:sz w:val="28"/>
          <w:szCs w:val="28"/>
          <w:lang w:val="uk-UA"/>
        </w:rPr>
        <w:t>представлених даних (рис. 2.12)</w:t>
      </w:r>
      <w:r w:rsidRPr="00400BAB">
        <w:rPr>
          <w:color w:val="000000"/>
          <w:sz w:val="28"/>
          <w:szCs w:val="28"/>
        </w:rPr>
        <w:t xml:space="preserve"> можна </w:t>
      </w:r>
      <w:r w:rsidRPr="00400BAB">
        <w:rPr>
          <w:color w:val="000000"/>
          <w:sz w:val="28"/>
          <w:szCs w:val="28"/>
          <w:lang w:val="uk-UA"/>
        </w:rPr>
        <w:t>підсумувати,</w:t>
      </w:r>
      <w:r w:rsidRPr="00400BAB">
        <w:rPr>
          <w:color w:val="000000"/>
          <w:sz w:val="28"/>
          <w:szCs w:val="28"/>
        </w:rPr>
        <w:t xml:space="preserve"> що </w:t>
      </w:r>
      <w:r w:rsidRPr="00400BAB">
        <w:rPr>
          <w:color w:val="000000"/>
          <w:sz w:val="28"/>
          <w:szCs w:val="28"/>
          <w:lang w:val="uk-UA"/>
        </w:rPr>
        <w:t xml:space="preserve">отримані результати </w:t>
      </w:r>
      <w:r w:rsidRPr="00400BAB">
        <w:rPr>
          <w:color w:val="000000"/>
          <w:sz w:val="28"/>
          <w:szCs w:val="28"/>
        </w:rPr>
        <w:t>демонструють інтенсивність оновлення капіталу. Найвищу інвестиційну активність відносно своїх доходів демонструє</w:t>
      </w:r>
      <w:r w:rsidRPr="00400BAB">
        <w:rPr>
          <w:rStyle w:val="apple-converted-space"/>
          <w:rFonts w:eastAsiaTheme="majorEastAsia"/>
          <w:color w:val="000000"/>
          <w:lang w:val="uk-UA"/>
        </w:rPr>
        <w:t xml:space="preserve"> </w:t>
      </w:r>
      <w:r w:rsidRPr="00400BAB">
        <w:rPr>
          <w:color w:val="000000"/>
          <w:sz w:val="28"/>
          <w:szCs w:val="28"/>
        </w:rPr>
        <w:t>Astarta-</w:t>
      </w:r>
      <w:r w:rsidRPr="00400BAB">
        <w:rPr>
          <w:color w:val="000000"/>
          <w:sz w:val="28"/>
          <w:szCs w:val="28"/>
        </w:rPr>
        <w:lastRenderedPageBreak/>
        <w:t>Kyiv, де показник у 2025 році прогнозується на рівні 0,088 (8,8% доходу реінвестується). Це значно вище, ніж у Kernel (3,9%), що пояснюється меншим масштабом виручки «Астарти» та її цілеспрямованою політикою на глибоку модернізацію цукрового та енергетичного сегментів.</w:t>
      </w:r>
    </w:p>
    <w:p w:rsidR="00212E70" w:rsidRPr="00C32176" w:rsidRDefault="00B37265" w:rsidP="00C32176">
      <w:pPr>
        <w:pStyle w:val="a5"/>
        <w:spacing w:before="0" w:beforeAutospacing="0" w:after="0" w:afterAutospacing="0" w:line="360" w:lineRule="auto"/>
        <w:ind w:firstLine="709"/>
        <w:jc w:val="both"/>
        <w:rPr>
          <w:color w:val="000000"/>
          <w:sz w:val="28"/>
          <w:szCs w:val="28"/>
        </w:rPr>
      </w:pPr>
      <w:r w:rsidRPr="00400BAB">
        <w:rPr>
          <w:color w:val="000000"/>
          <w:sz w:val="28"/>
          <w:szCs w:val="28"/>
        </w:rPr>
        <w:t>Для</w:t>
      </w:r>
      <w:r w:rsidRPr="00400BAB">
        <w:rPr>
          <w:rStyle w:val="apple-converted-space"/>
          <w:rFonts w:eastAsiaTheme="majorEastAsia"/>
          <w:color w:val="000000"/>
          <w:lang w:val="uk-UA"/>
        </w:rPr>
        <w:t xml:space="preserve"> </w:t>
      </w:r>
      <w:r w:rsidRPr="00400BAB">
        <w:rPr>
          <w:color w:val="000000"/>
          <w:sz w:val="28"/>
          <w:szCs w:val="28"/>
        </w:rPr>
        <w:t>МХП</w:t>
      </w:r>
      <w:r w:rsidRPr="00400BAB">
        <w:rPr>
          <w:rStyle w:val="apple-converted-space"/>
          <w:rFonts w:eastAsiaTheme="majorEastAsia"/>
          <w:color w:val="000000"/>
          <w:lang w:val="uk-UA"/>
        </w:rPr>
        <w:t xml:space="preserve"> </w:t>
      </w:r>
      <w:r w:rsidRPr="00400BAB">
        <w:rPr>
          <w:color w:val="000000"/>
          <w:sz w:val="28"/>
          <w:szCs w:val="28"/>
        </w:rPr>
        <w:t>характерною є висока стабільність показника: після зниження у 2022 році до 0,044, він практично повернувся до докризового рівня 0,066. Це ідентифікує механізм «збалансованого відтворення», коли інвестиції зростають пропорційно доходам. У</w:t>
      </w:r>
      <w:r w:rsidRPr="00400BAB">
        <w:rPr>
          <w:rStyle w:val="apple-converted-space"/>
          <w:rFonts w:eastAsiaTheme="majorEastAsia"/>
          <w:color w:val="000000"/>
          <w:lang w:val="uk-UA"/>
        </w:rPr>
        <w:t xml:space="preserve"> </w:t>
      </w:r>
      <w:r w:rsidRPr="00400BAB">
        <w:rPr>
          <w:color w:val="000000"/>
          <w:sz w:val="28"/>
          <w:szCs w:val="28"/>
        </w:rPr>
        <w:t>Kernel</w:t>
      </w:r>
      <w:r w:rsidRPr="00400BAB">
        <w:rPr>
          <w:rStyle w:val="apple-converted-space"/>
          <w:rFonts w:eastAsiaTheme="majorEastAsia"/>
          <w:color w:val="000000"/>
          <w:lang w:val="uk-UA"/>
        </w:rPr>
        <w:t xml:space="preserve"> </w:t>
      </w:r>
      <w:r w:rsidRPr="00400BAB">
        <w:rPr>
          <w:color w:val="000000"/>
          <w:sz w:val="28"/>
          <w:szCs w:val="28"/>
        </w:rPr>
        <w:t>низькі значення показника (2–3,9%) свідчать про те, що компанія наразі працює в режимі «критичної достатності», де кожна інвестована одиниця має приносити максимальний ефект для пі</w:t>
      </w:r>
      <w:r w:rsidR="00C32176">
        <w:rPr>
          <w:color w:val="000000"/>
          <w:sz w:val="28"/>
          <w:szCs w:val="28"/>
        </w:rPr>
        <w:t>дтримки експортного потенціалу.</w:t>
      </w:r>
    </w:p>
    <w:p w:rsidR="00C32176" w:rsidRDefault="00212E70" w:rsidP="00C32176">
      <w:pPr>
        <w:pStyle w:val="a5"/>
        <w:spacing w:before="0" w:beforeAutospacing="0" w:after="0" w:afterAutospacing="0" w:line="360" w:lineRule="auto"/>
        <w:jc w:val="center"/>
        <w:rPr>
          <w:b/>
          <w:bCs/>
          <w:sz w:val="28"/>
          <w:szCs w:val="28"/>
          <w:lang w:val="uk-UA"/>
        </w:rPr>
      </w:pPr>
      <w:r w:rsidRPr="00400BAB">
        <w:rPr>
          <w:noProof/>
          <w:color w:val="000000" w:themeColor="text1"/>
          <w:sz w:val="28"/>
          <w:szCs w:val="28"/>
          <w:lang w:val="uk-UA" w:eastAsia="uk-UA"/>
          <w14:ligatures w14:val="standardContextual"/>
        </w:rPr>
        <w:drawing>
          <wp:inline distT="0" distB="0" distL="0" distR="0" wp14:anchorId="53222C9A" wp14:editId="6115F326">
            <wp:extent cx="5613990" cy="3583172"/>
            <wp:effectExtent l="0" t="0" r="12700" b="11430"/>
            <wp:docPr id="209620549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12E70" w:rsidRPr="00C32176" w:rsidRDefault="00212E70" w:rsidP="00C32176">
      <w:pPr>
        <w:pStyle w:val="a5"/>
        <w:spacing w:before="0" w:beforeAutospacing="0" w:after="0" w:afterAutospacing="0" w:line="360" w:lineRule="auto"/>
        <w:ind w:firstLine="709"/>
        <w:jc w:val="both"/>
        <w:rPr>
          <w:color w:val="000000"/>
          <w:sz w:val="28"/>
          <w:szCs w:val="28"/>
          <w:lang w:val="uk-UA"/>
        </w:rPr>
      </w:pPr>
      <w:r w:rsidRPr="00400BAB">
        <w:rPr>
          <w:b/>
          <w:bCs/>
          <w:sz w:val="28"/>
          <w:szCs w:val="28"/>
          <w:lang w:val="uk-UA"/>
        </w:rPr>
        <w:t xml:space="preserve">Рис. 2.12 </w:t>
      </w:r>
      <w:r w:rsidRPr="00400BAB">
        <w:rPr>
          <w:b/>
          <w:bCs/>
          <w:color w:val="000000"/>
          <w:sz w:val="28"/>
          <w:szCs w:val="28"/>
          <w:lang w:val="uk-UA"/>
        </w:rPr>
        <w:t>Інвестиційна ємність доходів (</w:t>
      </w:r>
      <w:r w:rsidRPr="00400BAB">
        <w:rPr>
          <w:b/>
          <w:bCs/>
          <w:color w:val="000000"/>
          <w:sz w:val="28"/>
          <w:szCs w:val="28"/>
          <w:lang w:val="en-US"/>
        </w:rPr>
        <w:t>Ratio</w:t>
      </w:r>
      <w:r w:rsidRPr="00400BAB">
        <w:rPr>
          <w:b/>
          <w:bCs/>
          <w:color w:val="000000"/>
          <w:sz w:val="28"/>
          <w:szCs w:val="28"/>
          <w:lang w:val="uk-UA"/>
        </w:rPr>
        <w:t xml:space="preserve"> </w:t>
      </w:r>
      <w:r w:rsidRPr="00400BAB">
        <w:rPr>
          <w:b/>
          <w:bCs/>
          <w:color w:val="000000"/>
          <w:sz w:val="28"/>
          <w:szCs w:val="28"/>
          <w:lang w:val="en-US"/>
        </w:rPr>
        <w:t>CAPEX</w:t>
      </w:r>
      <w:r w:rsidRPr="00400BAB">
        <w:rPr>
          <w:b/>
          <w:bCs/>
          <w:color w:val="000000"/>
          <w:sz w:val="28"/>
          <w:szCs w:val="28"/>
          <w:lang w:val="uk-UA"/>
        </w:rPr>
        <w:t>/</w:t>
      </w:r>
      <w:r w:rsidRPr="00400BAB">
        <w:rPr>
          <w:b/>
          <w:bCs/>
          <w:color w:val="000000"/>
          <w:sz w:val="28"/>
          <w:szCs w:val="28"/>
          <w:lang w:val="en-US"/>
        </w:rPr>
        <w:t>Revenue</w:t>
      </w:r>
      <w:r w:rsidRPr="00400BAB">
        <w:rPr>
          <w:b/>
          <w:bCs/>
          <w:color w:val="000000"/>
          <w:sz w:val="28"/>
          <w:szCs w:val="28"/>
          <w:lang w:val="uk-UA"/>
        </w:rPr>
        <w:t xml:space="preserve">) </w:t>
      </w:r>
      <w:r w:rsidRPr="00400BAB">
        <w:rPr>
          <w:b/>
          <w:bCs/>
          <w:color w:val="000000"/>
          <w:sz w:val="28"/>
          <w:szCs w:val="28"/>
        </w:rPr>
        <w:t>Kernel</w:t>
      </w:r>
      <w:r w:rsidRPr="00400BAB">
        <w:rPr>
          <w:b/>
          <w:bCs/>
          <w:color w:val="000000"/>
          <w:sz w:val="28"/>
          <w:szCs w:val="28"/>
          <w:lang w:val="uk-UA"/>
        </w:rPr>
        <w:t xml:space="preserve">, МХП та </w:t>
      </w:r>
      <w:r w:rsidRPr="00400BAB">
        <w:rPr>
          <w:b/>
          <w:bCs/>
          <w:color w:val="000000"/>
          <w:sz w:val="28"/>
          <w:szCs w:val="28"/>
        </w:rPr>
        <w:t>Astarta</w:t>
      </w:r>
      <w:r w:rsidRPr="00400BAB">
        <w:rPr>
          <w:b/>
          <w:bCs/>
          <w:color w:val="000000"/>
          <w:sz w:val="28"/>
          <w:szCs w:val="28"/>
          <w:lang w:val="uk-UA"/>
        </w:rPr>
        <w:t>-</w:t>
      </w:r>
      <w:r w:rsidRPr="00400BAB">
        <w:rPr>
          <w:b/>
          <w:bCs/>
          <w:color w:val="000000"/>
          <w:sz w:val="28"/>
          <w:szCs w:val="28"/>
        </w:rPr>
        <w:t>Kyiv</w:t>
      </w:r>
      <w:r w:rsidRPr="00400BAB">
        <w:rPr>
          <w:b/>
          <w:bCs/>
          <w:color w:val="000000"/>
          <w:sz w:val="28"/>
          <w:szCs w:val="28"/>
          <w:lang w:val="uk-UA"/>
        </w:rPr>
        <w:t xml:space="preserve"> за 2021–2025 рр.</w:t>
      </w:r>
    </w:p>
    <w:p w:rsidR="00212E70" w:rsidRPr="00400BAB" w:rsidRDefault="00212E70" w:rsidP="00212E70">
      <w:pPr>
        <w:spacing w:after="0" w:line="360" w:lineRule="auto"/>
        <w:ind w:firstLine="709"/>
        <w:jc w:val="both"/>
        <w:rPr>
          <w:rFonts w:ascii="Times New Roman" w:hAnsi="Times New Roman"/>
          <w:lang w:val="uk-UA"/>
        </w:rPr>
      </w:pPr>
      <w:r w:rsidRPr="00400BAB">
        <w:rPr>
          <w:rFonts w:ascii="Times New Roman" w:hAnsi="Times New Roman"/>
          <w:color w:val="000000"/>
          <w:lang w:val="uk-UA"/>
        </w:rPr>
        <w:t>Джерело: обраховано автором за даними підприємств</w:t>
      </w:r>
    </w:p>
    <w:p w:rsidR="00212E70" w:rsidRPr="00400BAB" w:rsidRDefault="00212E70" w:rsidP="00212E70">
      <w:pPr>
        <w:pStyle w:val="a5"/>
        <w:spacing w:before="0" w:beforeAutospacing="0" w:after="0" w:afterAutospacing="0" w:line="360" w:lineRule="auto"/>
        <w:ind w:firstLine="709"/>
        <w:jc w:val="both"/>
        <w:rPr>
          <w:color w:val="000000"/>
          <w:sz w:val="28"/>
          <w:szCs w:val="28"/>
          <w:lang w:val="uk-UA"/>
        </w:rPr>
      </w:pPr>
    </w:p>
    <w:p w:rsidR="00B37265" w:rsidRPr="00A435D0" w:rsidRDefault="00B37265" w:rsidP="00400BAB">
      <w:pPr>
        <w:pStyle w:val="a5"/>
        <w:spacing w:before="0" w:beforeAutospacing="0" w:after="0" w:afterAutospacing="0" w:line="360" w:lineRule="auto"/>
        <w:ind w:firstLine="709"/>
        <w:jc w:val="both"/>
        <w:rPr>
          <w:color w:val="000000"/>
          <w:sz w:val="28"/>
          <w:szCs w:val="28"/>
          <w:lang w:val="uk-UA"/>
        </w:rPr>
      </w:pPr>
      <w:r w:rsidRPr="00212E70">
        <w:rPr>
          <w:color w:val="000000"/>
          <w:sz w:val="28"/>
          <w:szCs w:val="28"/>
          <w:lang w:val="uk-UA"/>
        </w:rPr>
        <w:t xml:space="preserve">Загалом, графічна інтерпретація цих даних наочно продемонструє </w:t>
      </w:r>
      <w:r w:rsidRPr="00400BAB">
        <w:rPr>
          <w:color w:val="000000"/>
          <w:sz w:val="28"/>
          <w:szCs w:val="28"/>
        </w:rPr>
        <w:t>V</w:t>
      </w:r>
      <w:r w:rsidRPr="00212E70">
        <w:rPr>
          <w:color w:val="000000"/>
          <w:sz w:val="28"/>
          <w:szCs w:val="28"/>
          <w:lang w:val="uk-UA"/>
        </w:rPr>
        <w:t xml:space="preserve">-подібну форму відновлення інвестиційної активності для всіх учасників ринку. </w:t>
      </w:r>
      <w:r w:rsidRPr="00A435D0">
        <w:rPr>
          <w:color w:val="000000"/>
          <w:sz w:val="28"/>
          <w:szCs w:val="28"/>
          <w:lang w:val="uk-UA"/>
        </w:rPr>
        <w:t xml:space="preserve">Це підтверджує, що економічні механізми підприємств пройшли фазу </w:t>
      </w:r>
      <w:r w:rsidRPr="00A435D0">
        <w:rPr>
          <w:color w:val="000000"/>
          <w:sz w:val="28"/>
          <w:szCs w:val="28"/>
          <w:lang w:val="uk-UA"/>
        </w:rPr>
        <w:lastRenderedPageBreak/>
        <w:t xml:space="preserve">адаптації і з 2024 року перейшли до фази зростання інвестиційної інтенсивності. </w:t>
      </w:r>
    </w:p>
    <w:p w:rsidR="00B37265" w:rsidRPr="00A435D0"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Вище представлений п</w:t>
      </w:r>
      <w:r w:rsidRPr="00A435D0">
        <w:rPr>
          <w:color w:val="000000"/>
          <w:sz w:val="28"/>
          <w:szCs w:val="28"/>
          <w:lang w:val="uk-UA"/>
        </w:rPr>
        <w:t xml:space="preserve">роведений аналіз інвестиційної активності та джерел її фінансування дозволяє ідентифікувати архітектоніку діючих економічних механізмів на підприємствах </w:t>
      </w:r>
      <w:r w:rsidRPr="00400BAB">
        <w:rPr>
          <w:color w:val="000000"/>
          <w:sz w:val="28"/>
          <w:szCs w:val="28"/>
        </w:rPr>
        <w:t>Kernel</w:t>
      </w:r>
      <w:r w:rsidRPr="00A435D0">
        <w:rPr>
          <w:color w:val="000000"/>
          <w:sz w:val="28"/>
          <w:szCs w:val="28"/>
          <w:lang w:val="uk-UA"/>
        </w:rPr>
        <w:t xml:space="preserve">, МХП та </w:t>
      </w:r>
      <w:r w:rsidRPr="00400BAB">
        <w:rPr>
          <w:color w:val="000000"/>
          <w:sz w:val="28"/>
          <w:szCs w:val="28"/>
        </w:rPr>
        <w:t>Astarta</w:t>
      </w:r>
      <w:r w:rsidRPr="00A435D0">
        <w:rPr>
          <w:color w:val="000000"/>
          <w:sz w:val="28"/>
          <w:szCs w:val="28"/>
          <w:lang w:val="uk-UA"/>
        </w:rPr>
        <w:t>-</w:t>
      </w:r>
      <w:r w:rsidRPr="00400BAB">
        <w:rPr>
          <w:color w:val="000000"/>
          <w:sz w:val="28"/>
          <w:szCs w:val="28"/>
        </w:rPr>
        <w:t>Kyiv</w:t>
      </w:r>
      <w:r w:rsidRPr="00A435D0">
        <w:rPr>
          <w:color w:val="000000"/>
          <w:sz w:val="28"/>
          <w:szCs w:val="28"/>
          <w:lang w:val="uk-UA"/>
        </w:rPr>
        <w:t>. На сучасному етапі ці механізми функціонують переважно як сукупність реактивних управлінських рішень, спрямованих на підтримку операційної стійкості, проте вони демонструють обмежену ефективність у контексті стратегічного прогнозування інвестиційної привабливості в умовах невизначеності.</w:t>
      </w:r>
    </w:p>
    <w:p w:rsidR="00B37265" w:rsidRPr="00A435D0" w:rsidRDefault="00B37265" w:rsidP="00400BAB">
      <w:pPr>
        <w:pStyle w:val="a5"/>
        <w:spacing w:before="0" w:beforeAutospacing="0" w:after="0" w:afterAutospacing="0" w:line="360" w:lineRule="auto"/>
        <w:ind w:firstLine="709"/>
        <w:jc w:val="both"/>
        <w:rPr>
          <w:color w:val="000000"/>
          <w:sz w:val="28"/>
          <w:szCs w:val="28"/>
          <w:lang w:val="uk-UA"/>
        </w:rPr>
      </w:pPr>
      <w:bookmarkStart w:id="4" w:name="OLE_LINK3"/>
      <w:r w:rsidRPr="00A435D0">
        <w:rPr>
          <w:color w:val="000000"/>
          <w:sz w:val="28"/>
          <w:szCs w:val="28"/>
          <w:lang w:val="uk-UA"/>
        </w:rPr>
        <w:t xml:space="preserve">Наукова ідентифікація наявних елементів свідчить, що базисом механізму є система моніторингу фінансових коефіцієнтів (ліквідності, рентабельності, </w:t>
      </w:r>
      <w:r w:rsidRPr="00400BAB">
        <w:rPr>
          <w:color w:val="000000"/>
          <w:sz w:val="28"/>
          <w:szCs w:val="28"/>
          <w:lang w:val="uk-UA"/>
        </w:rPr>
        <w:t>залучення кредитів тощо</w:t>
      </w:r>
      <w:r w:rsidRPr="00A435D0">
        <w:rPr>
          <w:color w:val="000000"/>
          <w:sz w:val="28"/>
          <w:szCs w:val="28"/>
          <w:lang w:val="uk-UA"/>
        </w:rPr>
        <w:t xml:space="preserve">), яка, однак, має ретроспективний характер. Виявлено, що управлінський апарат підприємств успішно адаптував механізми лімітування витрат та диверсифікації логістики, проте інструментарій оцінювання інвестиційної привабливості залишається статичним і не враховує динамічну чутливість підприємства до </w:t>
      </w:r>
      <w:r w:rsidRPr="00400BAB">
        <w:rPr>
          <w:color w:val="000000"/>
          <w:sz w:val="28"/>
          <w:szCs w:val="28"/>
          <w:lang w:val="uk-UA"/>
        </w:rPr>
        <w:t>змін</w:t>
      </w:r>
      <w:r w:rsidRPr="00A435D0">
        <w:rPr>
          <w:color w:val="000000"/>
          <w:sz w:val="28"/>
          <w:szCs w:val="28"/>
          <w:lang w:val="uk-UA"/>
        </w:rPr>
        <w:t xml:space="preserve"> макросередовища.</w:t>
      </w:r>
    </w:p>
    <w:p w:rsidR="00212E70" w:rsidRDefault="00B37265" w:rsidP="00400BAB">
      <w:pPr>
        <w:pStyle w:val="a5"/>
        <w:spacing w:before="0" w:beforeAutospacing="0" w:after="0" w:afterAutospacing="0" w:line="360" w:lineRule="auto"/>
        <w:ind w:firstLine="709"/>
        <w:jc w:val="both"/>
        <w:rPr>
          <w:color w:val="000000"/>
          <w:sz w:val="28"/>
          <w:szCs w:val="28"/>
          <w:lang w:val="uk-UA"/>
        </w:rPr>
      </w:pPr>
      <w:r w:rsidRPr="00A435D0">
        <w:rPr>
          <w:color w:val="000000"/>
          <w:sz w:val="28"/>
          <w:szCs w:val="28"/>
          <w:lang w:val="uk-UA"/>
        </w:rPr>
        <w:t>Для систематизації отриманих результатів та обґрунтування напрямів подальшого удосконалення, нами проведено порівняльний аналіз наявних елементів економічного механізму та ідентифіковано критичні прогалини, що стримують зростання інвестиційного потенціалу (</w:t>
      </w:r>
      <w:r w:rsidRPr="00400BAB">
        <w:rPr>
          <w:color w:val="000000"/>
          <w:sz w:val="28"/>
          <w:szCs w:val="28"/>
          <w:lang w:val="uk-UA"/>
        </w:rPr>
        <w:t>табл. Г.1 (додаток Г)</w:t>
      </w:r>
      <w:r w:rsidRPr="00A435D0">
        <w:rPr>
          <w:color w:val="000000"/>
          <w:sz w:val="28"/>
          <w:szCs w:val="28"/>
          <w:lang w:val="uk-UA"/>
        </w:rPr>
        <w:t>)</w:t>
      </w:r>
      <w:r w:rsidR="004009DE">
        <w:rPr>
          <w:color w:val="000000"/>
          <w:sz w:val="28"/>
          <w:szCs w:val="28"/>
          <w:lang w:val="uk-UA"/>
        </w:rPr>
        <w:t xml:space="preserve"> [</w:t>
      </w:r>
      <w:r w:rsidRPr="005670E0">
        <w:rPr>
          <w:sz w:val="28"/>
          <w:szCs w:val="28"/>
          <w:lang w:val="uk-UA"/>
        </w:rPr>
        <w:t>20]</w:t>
      </w:r>
      <w:r w:rsidRPr="005670E0">
        <w:rPr>
          <w:lang w:val="uk-UA"/>
        </w:rPr>
        <w:t>.</w:t>
      </w:r>
    </w:p>
    <w:p w:rsidR="00212E70" w:rsidRPr="00F346C3" w:rsidRDefault="00212E70" w:rsidP="00BE5A3A">
      <w:pPr>
        <w:pStyle w:val="a5"/>
        <w:spacing w:before="0" w:beforeAutospacing="0" w:after="0" w:afterAutospacing="0" w:line="360" w:lineRule="auto"/>
        <w:ind w:firstLine="709"/>
        <w:jc w:val="both"/>
        <w:rPr>
          <w:color w:val="000000"/>
          <w:sz w:val="28"/>
          <w:szCs w:val="28"/>
          <w:lang w:val="uk-UA"/>
        </w:rPr>
      </w:pPr>
      <w:r w:rsidRPr="00212E70">
        <w:rPr>
          <w:color w:val="000000"/>
          <w:sz w:val="28"/>
          <w:szCs w:val="28"/>
          <w:lang w:val="uk-UA"/>
        </w:rPr>
        <w:t xml:space="preserve">Аналіз даних </w:t>
      </w:r>
      <w:r w:rsidRPr="00400BAB">
        <w:rPr>
          <w:color w:val="000000"/>
          <w:sz w:val="28"/>
          <w:szCs w:val="28"/>
          <w:lang w:val="uk-UA"/>
        </w:rPr>
        <w:t>табл. Г.1 (додаток Г)</w:t>
      </w:r>
      <w:r w:rsidRPr="00212E70">
        <w:rPr>
          <w:color w:val="000000"/>
          <w:sz w:val="28"/>
          <w:szCs w:val="28"/>
          <w:lang w:val="uk-UA"/>
        </w:rPr>
        <w:t xml:space="preserve"> вказує на те, що ключовим недоліком існуючих механізмів є надмірне захоплення агрегованими показниками (інтегральними індексами), які часто нівелюють критичні відхилення локальних параметрів. </w:t>
      </w:r>
    </w:p>
    <w:p w:rsidR="00435FDC" w:rsidRDefault="00EB5B4E" w:rsidP="0055571B">
      <w:pPr>
        <w:pStyle w:val="a5"/>
        <w:spacing w:before="0" w:beforeAutospacing="0" w:after="0" w:afterAutospacing="0" w:line="360" w:lineRule="auto"/>
        <w:ind w:firstLine="709"/>
        <w:jc w:val="both"/>
      </w:pPr>
      <w:r>
        <w:rPr>
          <w:sz w:val="28"/>
        </w:rPr>
        <w:t>Розгорнуту діагностичну матрицю наведено в додатку Г (табл. Г.1).</w:t>
      </w:r>
    </w:p>
    <w:p w:rsidR="00BE5A3A" w:rsidRDefault="00BE5A3A" w:rsidP="00BE5A3A">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lastRenderedPageBreak/>
        <w:t>Для інвестора важливо розуміти не лише узагальнений рейтинг підприємства, а специфічну взаємодію між конкретними операційними важелями.</w:t>
      </w:r>
    </w:p>
    <w:p w:rsidR="00BE5A3A" w:rsidRPr="00212E70" w:rsidRDefault="00BE5A3A" w:rsidP="00BE5A3A">
      <w:pPr>
        <w:pStyle w:val="a5"/>
        <w:spacing w:before="0" w:beforeAutospacing="0" w:after="0" w:afterAutospacing="0" w:line="360" w:lineRule="auto"/>
        <w:ind w:firstLine="709"/>
        <w:jc w:val="both"/>
        <w:rPr>
          <w:color w:val="000000"/>
          <w:sz w:val="28"/>
          <w:szCs w:val="28"/>
        </w:rPr>
      </w:pPr>
      <w:r w:rsidRPr="00400BAB">
        <w:rPr>
          <w:color w:val="000000"/>
          <w:sz w:val="28"/>
          <w:szCs w:val="28"/>
        </w:rPr>
        <w:t>Ідентифіковано, що наявний економічний механізм практично не оперує апаратом функціональних залежностей. Наприклад, збільшення капітальних інвестицій у логістику (як у випадку Kernel) має чітко прораховуватися через математичну залежність від швидкості оборотності запасів. Відсутність таких моделей призводить до ірраціонального заморожування капіталу. Крім того, виявлено</w:t>
      </w:r>
      <w:r w:rsidRPr="00400BAB">
        <w:rPr>
          <w:color w:val="000000"/>
          <w:sz w:val="28"/>
          <w:szCs w:val="28"/>
          <w:lang w:val="uk-UA"/>
        </w:rPr>
        <w:t xml:space="preserve"> нагальну</w:t>
      </w:r>
      <w:r w:rsidRPr="00400BAB">
        <w:rPr>
          <w:color w:val="000000"/>
          <w:sz w:val="28"/>
          <w:szCs w:val="28"/>
        </w:rPr>
        <w:t xml:space="preserve"> потребу у впровадженні моделей чутливості (Sensitivity Analysis). </w:t>
      </w:r>
    </w:p>
    <w:p w:rsidR="00212E70" w:rsidRPr="00212E70" w:rsidRDefault="00212E70" w:rsidP="00212E70">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В умовах </w:t>
      </w:r>
      <w:r w:rsidRPr="00400BAB">
        <w:rPr>
          <w:color w:val="000000"/>
          <w:sz w:val="28"/>
          <w:szCs w:val="28"/>
          <w:lang w:val="uk-UA"/>
        </w:rPr>
        <w:t>змінності</w:t>
      </w:r>
      <w:r w:rsidRPr="00400BAB">
        <w:rPr>
          <w:color w:val="000000"/>
          <w:sz w:val="28"/>
          <w:szCs w:val="28"/>
        </w:rPr>
        <w:t xml:space="preserve"> цін на агропродукцію та енергоносії, інвестиційна привабливість стає динамічною величиною, яка може суттєво коливатися при зміні зовнішнього фактора навіть на 1-2%.</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Таким чином, результати ідентифікації підтверджують гіпотезу про те, що діючий економічний механізм потребує математичної модернізації. Це створює обґрунтован</w:t>
      </w:r>
      <w:r w:rsidRPr="00400BAB">
        <w:rPr>
          <w:color w:val="000000"/>
          <w:sz w:val="28"/>
          <w:szCs w:val="28"/>
          <w:lang w:val="uk-UA"/>
        </w:rPr>
        <w:t xml:space="preserve">е </w:t>
      </w:r>
      <w:r w:rsidRPr="00400BAB">
        <w:rPr>
          <w:color w:val="000000"/>
          <w:sz w:val="28"/>
          <w:szCs w:val="28"/>
        </w:rPr>
        <w:t xml:space="preserve">підґрунтя для представлення елементів наукової новизни дослідження. Наступний етап роботи буде присвячений розробці удосконаленого математичного підходу, який базуватиметься на деагрегованій системі локальних показників, встановленні математичних зв’язків між параметрами інвестиційної активності та побудові динамічної моделі чутливості. Такий підхід дозволить перейти від описової діагностики до </w:t>
      </w:r>
      <w:r w:rsidRPr="00400BAB">
        <w:rPr>
          <w:color w:val="000000"/>
          <w:sz w:val="28"/>
          <w:szCs w:val="28"/>
          <w:lang w:val="uk-UA"/>
        </w:rPr>
        <w:t>проактивного</w:t>
      </w:r>
      <w:r w:rsidRPr="00400BAB">
        <w:rPr>
          <w:color w:val="000000"/>
          <w:sz w:val="28"/>
          <w:szCs w:val="28"/>
        </w:rPr>
        <w:t xml:space="preserve"> управління інвестиційною привабливістю, що є критично важливим для забезпечення конкурентоспроможності аграрного сектору в довгостроковій перспективі</w:t>
      </w:r>
      <w:r w:rsidRPr="00400BAB">
        <w:rPr>
          <w:color w:val="000000"/>
          <w:sz w:val="28"/>
          <w:szCs w:val="28"/>
          <w:lang w:val="uk-UA"/>
        </w:rPr>
        <w:t>.</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Запропонован</w:t>
      </w:r>
      <w:r w:rsidRPr="00400BAB">
        <w:rPr>
          <w:color w:val="000000"/>
          <w:sz w:val="28"/>
          <w:szCs w:val="28"/>
          <w:lang w:val="uk-UA"/>
        </w:rPr>
        <w:t>о</w:t>
      </w:r>
      <w:r w:rsidRPr="00400BAB">
        <w:rPr>
          <w:color w:val="000000"/>
          <w:sz w:val="28"/>
          <w:szCs w:val="28"/>
        </w:rPr>
        <w:t xml:space="preserve"> математичний підхід</w:t>
      </w:r>
      <w:r w:rsidRPr="00400BAB">
        <w:rPr>
          <w:color w:val="000000"/>
          <w:sz w:val="28"/>
          <w:szCs w:val="28"/>
          <w:lang w:val="uk-UA"/>
        </w:rPr>
        <w:t>, який ґрунтується</w:t>
      </w:r>
      <w:r w:rsidRPr="00400BAB">
        <w:rPr>
          <w:color w:val="000000"/>
          <w:sz w:val="28"/>
          <w:szCs w:val="28"/>
        </w:rPr>
        <w:t xml:space="preserve"> на концепції</w:t>
      </w:r>
      <w:r w:rsidRPr="00400BAB">
        <w:rPr>
          <w:rStyle w:val="apple-converted-space"/>
          <w:rFonts w:eastAsiaTheme="majorEastAsia"/>
          <w:color w:val="000000"/>
          <w:lang w:val="uk-UA"/>
        </w:rPr>
        <w:t xml:space="preserve"> </w:t>
      </w:r>
      <w:r w:rsidRPr="00400BAB">
        <w:rPr>
          <w:color w:val="000000"/>
          <w:sz w:val="28"/>
          <w:szCs w:val="28"/>
        </w:rPr>
        <w:t xml:space="preserve">деагрегованої діагностики, </w:t>
      </w:r>
      <w:r w:rsidRPr="00400BAB">
        <w:rPr>
          <w:color w:val="000000"/>
          <w:sz w:val="28"/>
          <w:szCs w:val="28"/>
          <w:lang w:val="uk-UA"/>
        </w:rPr>
        <w:t>що</w:t>
      </w:r>
      <w:r w:rsidRPr="00400BAB">
        <w:rPr>
          <w:color w:val="000000"/>
          <w:sz w:val="28"/>
          <w:szCs w:val="28"/>
        </w:rPr>
        <w:t xml:space="preserve"> </w:t>
      </w:r>
      <w:r w:rsidRPr="00400BAB">
        <w:rPr>
          <w:color w:val="000000"/>
          <w:sz w:val="28"/>
          <w:szCs w:val="28"/>
          <w:lang w:val="uk-UA"/>
        </w:rPr>
        <w:t>нівелює</w:t>
      </w:r>
      <w:r w:rsidRPr="00400BAB">
        <w:rPr>
          <w:color w:val="000000"/>
          <w:sz w:val="28"/>
          <w:szCs w:val="28"/>
        </w:rPr>
        <w:t xml:space="preserve"> використання єдиного інтегрального показника на користь багатовимірної системи локальних детермінант</w:t>
      </w:r>
      <w:r w:rsidRPr="00400BAB">
        <w:rPr>
          <w:color w:val="000000"/>
          <w:sz w:val="28"/>
          <w:szCs w:val="28"/>
          <w:lang w:val="uk-UA"/>
        </w:rPr>
        <w:t xml:space="preserve"> (індикаторів)</w:t>
      </w:r>
      <w:r w:rsidRPr="00400BAB">
        <w:rPr>
          <w:color w:val="000000"/>
          <w:sz w:val="28"/>
          <w:szCs w:val="28"/>
        </w:rPr>
        <w:t xml:space="preserve">. </w:t>
      </w:r>
      <w:r w:rsidRPr="00400BAB">
        <w:rPr>
          <w:color w:val="000000"/>
          <w:sz w:val="28"/>
          <w:szCs w:val="28"/>
          <w:lang w:val="uk-UA"/>
        </w:rPr>
        <w:t>Основний концепт</w:t>
      </w:r>
      <w:r w:rsidRPr="00400BAB">
        <w:rPr>
          <w:color w:val="000000"/>
          <w:sz w:val="28"/>
          <w:szCs w:val="28"/>
        </w:rPr>
        <w:t xml:space="preserve"> полягає в тому, що інвестиційна привабливість — це не фіксована величина, а функція відгуку підприємства на зміну параметрів його інвестиційної активності в умовах ризику.</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lastRenderedPageBreak/>
        <w:t>Підхід включає три фундаментальні блоки:</w:t>
      </w:r>
    </w:p>
    <w:p w:rsidR="00B37265" w:rsidRPr="00400BAB" w:rsidRDefault="00B37265" w:rsidP="00400BAB">
      <w:pPr>
        <w:pStyle w:val="a5"/>
        <w:numPr>
          <w:ilvl w:val="0"/>
          <w:numId w:val="13"/>
        </w:numPr>
        <w:spacing w:before="0" w:beforeAutospacing="0" w:after="0" w:afterAutospacing="0" w:line="360" w:lineRule="auto"/>
        <w:ind w:left="0" w:firstLine="709"/>
        <w:jc w:val="both"/>
        <w:rPr>
          <w:color w:val="000000"/>
          <w:sz w:val="28"/>
          <w:szCs w:val="28"/>
        </w:rPr>
      </w:pPr>
      <w:r w:rsidRPr="00400BAB">
        <w:rPr>
          <w:color w:val="000000"/>
          <w:sz w:val="28"/>
          <w:szCs w:val="28"/>
        </w:rPr>
        <w:t>Блок локальної детермінації</w:t>
      </w:r>
      <w:r w:rsidRPr="00400BAB">
        <w:rPr>
          <w:color w:val="000000"/>
          <w:sz w:val="28"/>
          <w:szCs w:val="28"/>
          <w:lang w:val="uk-UA"/>
        </w:rPr>
        <w:t xml:space="preserve"> – </w:t>
      </w:r>
      <w:r w:rsidRPr="00400BAB">
        <w:rPr>
          <w:color w:val="000000"/>
          <w:sz w:val="28"/>
          <w:szCs w:val="28"/>
        </w:rPr>
        <w:t>оцінка</w:t>
      </w:r>
      <w:r w:rsidRPr="00400BAB">
        <w:rPr>
          <w:color w:val="000000"/>
          <w:sz w:val="28"/>
          <w:szCs w:val="28"/>
          <w:lang w:val="uk-UA"/>
        </w:rPr>
        <w:t xml:space="preserve"> </w:t>
      </w:r>
      <w:r w:rsidRPr="00400BAB">
        <w:rPr>
          <w:color w:val="000000"/>
          <w:sz w:val="28"/>
          <w:szCs w:val="28"/>
        </w:rPr>
        <w:t>окремих вузлів ефективності (маржинальність, оборотність, капіталомісткість) без втрати інформативності при усередненні.</w:t>
      </w:r>
      <w:r w:rsidRPr="00400BAB">
        <w:rPr>
          <w:color w:val="000000"/>
          <w:sz w:val="28"/>
          <w:szCs w:val="28"/>
          <w:lang w:val="uk-UA"/>
        </w:rPr>
        <w:t xml:space="preserve"> Замість традиційного згортання показників в інтеграл, запропоновано використовувати</w:t>
      </w:r>
      <w:r w:rsidRPr="00400BAB">
        <w:rPr>
          <w:rStyle w:val="apple-converted-space"/>
          <w:rFonts w:eastAsiaTheme="majorEastAsia"/>
          <w:color w:val="000000"/>
          <w:lang w:val="uk-UA"/>
        </w:rPr>
        <w:t xml:space="preserve"> </w:t>
      </w:r>
      <w:r w:rsidRPr="00400BAB">
        <w:rPr>
          <w:color w:val="000000"/>
          <w:sz w:val="28"/>
          <w:szCs w:val="28"/>
          <w:lang w:val="uk-UA"/>
        </w:rPr>
        <w:t>профіль локальної привабливості, що базується на двох векторах: інвестиційне самозабезпечення та капітальна інвестиційна дохідність. Для обрахунку першого напрямку запропоновано використовувати наступним математичний апарат:</w:t>
      </w:r>
    </w:p>
    <w:p w:rsidR="00B37265" w:rsidRPr="00400BAB" w:rsidRDefault="00EB5B4E" w:rsidP="00400BAB">
      <w:pPr>
        <w:pStyle w:val="a5"/>
        <w:spacing w:before="0" w:beforeAutospacing="0" w:after="0" w:afterAutospacing="0" w:line="360" w:lineRule="auto"/>
        <w:jc w:val="center"/>
        <w:rPr>
          <w:color w:val="000000"/>
          <w:sz w:val="28"/>
          <w:szCs w:val="28"/>
        </w:rPr>
      </w:pPr>
      <m:oMathPara>
        <m:oMath>
          <m:eqArr>
            <m:eqArrPr>
              <m:maxDist m:val="1"/>
              <m:ctrlPr>
                <w:rPr>
                  <w:rFonts w:ascii="Cambria Math" w:hAnsi="Cambria Math"/>
                  <w:i/>
                  <w:color w:val="000000"/>
                  <w:sz w:val="28"/>
                  <w:szCs w:val="28"/>
                </w:rPr>
              </m:ctrlPr>
            </m:eqArrPr>
            <m:e>
              <m:sSub>
                <m:sSubPr>
                  <m:ctrlPr>
                    <w:rPr>
                      <w:rFonts w:ascii="Cambria Math" w:hAnsi="Cambria Math"/>
                      <w:i/>
                      <w:color w:val="000000"/>
                      <w:sz w:val="28"/>
                      <w:szCs w:val="28"/>
                    </w:rPr>
                  </m:ctrlPr>
                </m:sSubPr>
                <m:e>
                  <m:r>
                    <w:rPr>
                      <w:rFonts w:ascii="Cambria Math" w:hAnsi="Cambria Math"/>
                      <w:color w:val="000000"/>
                      <w:sz w:val="28"/>
                      <w:szCs w:val="28"/>
                      <w:lang w:val="en-US"/>
                    </w:rPr>
                    <m:t>K</m:t>
                  </m:r>
                </m:e>
                <m:sub>
                  <m:r>
                    <w:rPr>
                      <w:rFonts w:ascii="Cambria Math" w:hAnsi="Cambria Math"/>
                      <w:color w:val="000000"/>
                      <w:sz w:val="28"/>
                      <w:szCs w:val="28"/>
                    </w:rPr>
                    <m:t>is</m:t>
                  </m:r>
                </m:sub>
              </m:sSub>
              <m:r>
                <w:rPr>
                  <w:rFonts w:ascii="Cambria Math" w:hAnsi="Cambria Math"/>
                  <w:color w:val="000000"/>
                  <w:sz w:val="28"/>
                  <w:szCs w:val="28"/>
                </w:rPr>
                <m:t xml:space="preserve">= </m:t>
              </m:r>
              <m:f>
                <m:fPr>
                  <m:ctrlPr>
                    <w:rPr>
                      <w:rFonts w:ascii="Cambria Math" w:hAnsi="Cambria Math"/>
                      <w:i/>
                      <w:color w:val="000000"/>
                      <w:sz w:val="28"/>
                      <w:szCs w:val="28"/>
                    </w:rPr>
                  </m:ctrlPr>
                </m:fPr>
                <m:num>
                  <m:sSub>
                    <m:sSubPr>
                      <m:ctrlPr>
                        <w:rPr>
                          <w:rFonts w:ascii="Cambria Math" w:hAnsi="Cambria Math"/>
                          <w:i/>
                          <w:color w:val="000000"/>
                          <w:sz w:val="28"/>
                          <w:szCs w:val="28"/>
                        </w:rPr>
                      </m:ctrlPr>
                    </m:sSubPr>
                    <m:e>
                      <m:r>
                        <w:rPr>
                          <w:rFonts w:ascii="Cambria Math" w:hAnsi="Cambria Math"/>
                          <w:color w:val="000000"/>
                          <w:sz w:val="28"/>
                          <w:szCs w:val="28"/>
                        </w:rPr>
                        <m:t>CF</m:t>
                      </m:r>
                    </m:e>
                    <m:sub>
                      <m:r>
                        <w:rPr>
                          <w:rFonts w:ascii="Cambria Math" w:hAnsi="Cambria Math"/>
                          <w:color w:val="000000"/>
                          <w:sz w:val="28"/>
                          <w:szCs w:val="28"/>
                        </w:rPr>
                        <m:t>op</m:t>
                      </m:r>
                    </m:sub>
                  </m:sSub>
                  <m:r>
                    <w:rPr>
                      <w:rFonts w:ascii="Cambria Math" w:hAnsi="Cambria Math"/>
                      <w:color w:val="000000"/>
                      <w:sz w:val="28"/>
                      <w:szCs w:val="28"/>
                    </w:rPr>
                    <m:t>-</m:t>
                  </m:r>
                  <m:sSub>
                    <m:sSubPr>
                      <m:ctrlPr>
                        <w:rPr>
                          <w:rFonts w:ascii="Cambria Math" w:hAnsi="Cambria Math"/>
                          <w:i/>
                          <w:color w:val="000000"/>
                          <w:sz w:val="28"/>
                          <w:szCs w:val="28"/>
                        </w:rPr>
                      </m:ctrlPr>
                    </m:sSubPr>
                    <m:e>
                      <m:r>
                        <w:rPr>
                          <w:rFonts w:ascii="Cambria Math" w:hAnsi="Cambria Math"/>
                          <w:color w:val="000000"/>
                          <w:sz w:val="28"/>
                          <w:szCs w:val="28"/>
                        </w:rPr>
                        <m:t>D</m:t>
                      </m:r>
                    </m:e>
                    <m:sub>
                      <m:r>
                        <w:rPr>
                          <w:rFonts w:ascii="Cambria Math" w:hAnsi="Cambria Math"/>
                          <w:color w:val="000000"/>
                          <w:sz w:val="28"/>
                          <w:szCs w:val="28"/>
                        </w:rPr>
                        <m:t>iv</m:t>
                      </m:r>
                    </m:sub>
                  </m:sSub>
                </m:num>
                <m:den>
                  <m:sSub>
                    <m:sSubPr>
                      <m:ctrlPr>
                        <w:rPr>
                          <w:rFonts w:ascii="Cambria Math" w:hAnsi="Cambria Math"/>
                          <w:i/>
                          <w:color w:val="000000"/>
                          <w:sz w:val="28"/>
                          <w:szCs w:val="28"/>
                        </w:rPr>
                      </m:ctrlPr>
                    </m:sSubPr>
                    <m:e>
                      <m:r>
                        <w:rPr>
                          <w:rFonts w:ascii="Cambria Math" w:hAnsi="Cambria Math"/>
                          <w:color w:val="000000"/>
                          <w:sz w:val="28"/>
                          <w:szCs w:val="28"/>
                        </w:rPr>
                        <m:t>CAPEX</m:t>
                      </m:r>
                    </m:e>
                    <m:sub>
                      <m:r>
                        <w:rPr>
                          <w:rFonts w:ascii="Cambria Math" w:hAnsi="Cambria Math"/>
                          <w:color w:val="000000"/>
                          <w:sz w:val="28"/>
                          <w:szCs w:val="28"/>
                        </w:rPr>
                        <m:t>maint</m:t>
                      </m:r>
                    </m:sub>
                  </m:sSub>
                </m:den>
              </m:f>
              <m:r>
                <w:rPr>
                  <w:rFonts w:ascii="Cambria Math" w:hAnsi="Cambria Math"/>
                  <w:color w:val="000000"/>
                  <w:sz w:val="28"/>
                  <w:szCs w:val="28"/>
                </w:rPr>
                <m:t>,#</m:t>
              </m:r>
              <m:d>
                <m:dPr>
                  <m:ctrlPr>
                    <w:rPr>
                      <w:rFonts w:ascii="Cambria Math" w:hAnsi="Cambria Math"/>
                      <w:i/>
                      <w:color w:val="000000"/>
                      <w:sz w:val="28"/>
                      <w:szCs w:val="28"/>
                    </w:rPr>
                  </m:ctrlPr>
                </m:dPr>
                <m:e>
                  <m:r>
                    <w:rPr>
                      <w:rFonts w:ascii="Cambria Math" w:hAnsi="Cambria Math"/>
                      <w:color w:val="000000"/>
                      <w:sz w:val="28"/>
                      <w:szCs w:val="28"/>
                    </w:rPr>
                    <m:t>2.5</m:t>
                  </m:r>
                </m:e>
              </m:d>
            </m:e>
          </m:eqArr>
        </m:oMath>
      </m:oMathPara>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де </w:t>
      </w:r>
      <m:oMath>
        <m:sSub>
          <m:sSubPr>
            <m:ctrlPr>
              <w:rPr>
                <w:rFonts w:ascii="Cambria Math" w:hAnsi="Cambria Math"/>
                <w:i/>
                <w:color w:val="000000"/>
                <w:sz w:val="28"/>
                <w:szCs w:val="28"/>
              </w:rPr>
            </m:ctrlPr>
          </m:sSubPr>
          <m:e>
            <m:r>
              <w:rPr>
                <w:rFonts w:ascii="Cambria Math" w:hAnsi="Cambria Math"/>
                <w:color w:val="000000"/>
                <w:sz w:val="28"/>
                <w:szCs w:val="28"/>
              </w:rPr>
              <m:t>K</m:t>
            </m:r>
          </m:e>
          <m:sub>
            <m:r>
              <w:rPr>
                <w:rFonts w:ascii="Cambria Math" w:hAnsi="Cambria Math"/>
                <w:color w:val="000000"/>
                <w:sz w:val="28"/>
                <w:szCs w:val="28"/>
              </w:rPr>
              <m:t>is</m:t>
            </m:r>
          </m:sub>
        </m:sSub>
      </m:oMath>
      <w:r w:rsidRPr="00400BAB">
        <w:rPr>
          <w:color w:val="000000"/>
          <w:sz w:val="28"/>
          <w:szCs w:val="28"/>
          <w:lang w:val="uk-UA"/>
        </w:rPr>
        <w:t xml:space="preserve"> – коефіцієнт інвестиційного самозабезпечення;</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CF</m:t>
            </m:r>
          </m:e>
          <m:sub>
            <m:r>
              <w:rPr>
                <w:rFonts w:ascii="Cambria Math" w:hAnsi="Cambria Math"/>
                <w:color w:val="000000"/>
                <w:sz w:val="28"/>
                <w:szCs w:val="28"/>
              </w:rPr>
              <m:t>op</m:t>
            </m:r>
          </m:sub>
        </m:sSub>
      </m:oMath>
      <w:r w:rsidRPr="00400BAB">
        <w:rPr>
          <w:color w:val="000000"/>
          <w:sz w:val="28"/>
          <w:szCs w:val="28"/>
          <w:lang w:val="uk-UA"/>
        </w:rPr>
        <w:t xml:space="preserve"> – операційний грошовий потік;</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D</m:t>
            </m:r>
          </m:e>
          <m:sub>
            <m:r>
              <w:rPr>
                <w:rFonts w:ascii="Cambria Math" w:hAnsi="Cambria Math"/>
                <w:color w:val="000000"/>
                <w:sz w:val="28"/>
                <w:szCs w:val="28"/>
              </w:rPr>
              <m:t>iv</m:t>
            </m:r>
          </m:sub>
        </m:sSub>
      </m:oMath>
      <w:r w:rsidRPr="00400BAB">
        <w:rPr>
          <w:color w:val="000000"/>
          <w:sz w:val="28"/>
          <w:szCs w:val="28"/>
          <w:lang w:val="uk-UA"/>
        </w:rPr>
        <w:t xml:space="preserve"> – сума виплачених дивідендів;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CAPEX</m:t>
            </m:r>
          </m:e>
          <m:sub>
            <m:r>
              <w:rPr>
                <w:rFonts w:ascii="Cambria Math" w:hAnsi="Cambria Math"/>
                <w:color w:val="000000"/>
                <w:sz w:val="28"/>
                <w:szCs w:val="28"/>
              </w:rPr>
              <m:t>maint</m:t>
            </m:r>
          </m:sub>
        </m:sSub>
      </m:oMath>
      <w:r w:rsidRPr="00400BAB">
        <w:rPr>
          <w:color w:val="000000"/>
          <w:sz w:val="28"/>
          <w:szCs w:val="28"/>
          <w:lang w:val="uk-UA"/>
        </w:rPr>
        <w:t xml:space="preserve"> – капітальні витрати на підтримку діючих потужностей.</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Поданий коефіцієнт показує здатність підприємства фінансувати розвиток без залучення зовнішніх боргів. Якщо</w:t>
      </w:r>
      <w:r w:rsidRPr="00400BAB">
        <w:rPr>
          <w:rStyle w:val="apple-converted-space"/>
          <w:rFonts w:eastAsiaTheme="majorEastAsia"/>
          <w:color w:val="000000"/>
          <w:lang w:val="uk-UA"/>
        </w:rPr>
        <w:t xml:space="preserve"> </w:t>
      </w:r>
      <w:r w:rsidRPr="00400BAB">
        <w:rPr>
          <w:rStyle w:val="apple-converted-space"/>
          <w:rFonts w:eastAsiaTheme="majorEastAsia"/>
          <w:color w:val="000000"/>
        </w:rPr>
        <w:t>K</w:t>
      </w:r>
      <w:r w:rsidRPr="00400BAB">
        <w:rPr>
          <w:rStyle w:val="apple-converted-space"/>
          <w:rFonts w:eastAsiaTheme="majorEastAsia"/>
          <w:color w:val="000000"/>
          <w:vertAlign w:val="subscript"/>
        </w:rPr>
        <w:t>is</w:t>
      </w:r>
      <w:r w:rsidRPr="00400BAB">
        <w:rPr>
          <w:rStyle w:val="apple-converted-space"/>
          <w:rFonts w:eastAsiaTheme="majorEastAsia"/>
          <w:color w:val="000000"/>
          <w:lang w:val="uk-UA"/>
        </w:rPr>
        <w:t>&gt;1, економічний механізм інвестиційної привабливості підприємства є самодостатнім.</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Наступний вектор в даній складовій визначається як індекс капітальної інвестиційної дохідності. Обраховувати його можна наступним чином:</w:t>
      </w:r>
    </w:p>
    <w:p w:rsidR="00B37265" w:rsidRPr="00400BAB" w:rsidRDefault="00EB5B4E" w:rsidP="00400BAB">
      <w:pPr>
        <w:pStyle w:val="a5"/>
        <w:spacing w:before="0" w:beforeAutospacing="0" w:after="0" w:afterAutospacing="0" w:line="360" w:lineRule="auto"/>
        <w:jc w:val="both"/>
        <w:rPr>
          <w:color w:val="000000"/>
          <w:sz w:val="28"/>
          <w:szCs w:val="28"/>
          <w:lang w:val="en-US"/>
        </w:rPr>
      </w:pPr>
      <m:oMathPara>
        <m:oMath>
          <m:eqArr>
            <m:eqArrPr>
              <m:maxDist m:val="1"/>
              <m:ctrlPr>
                <w:rPr>
                  <w:rFonts w:ascii="Cambria Math" w:hAnsi="Cambria Math"/>
                  <w:i/>
                  <w:color w:val="000000"/>
                  <w:sz w:val="28"/>
                  <w:szCs w:val="28"/>
                  <w:lang w:val="en-US"/>
                </w:rPr>
              </m:ctrlPr>
            </m:eqArrPr>
            <m:e>
              <m:sSub>
                <m:sSubPr>
                  <m:ctrlPr>
                    <w:rPr>
                      <w:rFonts w:ascii="Cambria Math" w:hAnsi="Cambria Math"/>
                      <w:i/>
                      <w:color w:val="000000"/>
                      <w:sz w:val="28"/>
                      <w:szCs w:val="28"/>
                      <w:lang w:val="uk-UA"/>
                    </w:rPr>
                  </m:ctrlPr>
                </m:sSubPr>
                <m:e>
                  <m:r>
                    <w:rPr>
                      <w:rFonts w:ascii="Cambria Math" w:hAnsi="Cambria Math"/>
                      <w:color w:val="000000"/>
                      <w:sz w:val="28"/>
                      <w:szCs w:val="28"/>
                      <w:lang w:val="en-US"/>
                    </w:rPr>
                    <m:t>I</m:t>
                  </m:r>
                </m:e>
                <m:sub>
                  <m:r>
                    <w:rPr>
                      <w:rFonts w:ascii="Cambria Math" w:hAnsi="Cambria Math"/>
                      <w:color w:val="000000"/>
                      <w:sz w:val="28"/>
                      <w:szCs w:val="28"/>
                      <w:lang w:val="uk-UA"/>
                    </w:rPr>
                    <m:t>C</m:t>
                  </m:r>
                  <m:r>
                    <w:rPr>
                      <w:rFonts w:ascii="Cambria Math" w:hAnsi="Cambria Math"/>
                      <w:color w:val="000000"/>
                      <w:sz w:val="28"/>
                      <w:szCs w:val="28"/>
                      <w:lang w:val="en-US"/>
                    </w:rPr>
                    <m:t>I</m:t>
                  </m:r>
                </m:sub>
              </m:sSub>
              <m:r>
                <w:rPr>
                  <w:rFonts w:ascii="Cambria Math" w:hAnsi="Cambria Math"/>
                  <w:color w:val="000000"/>
                  <w:sz w:val="28"/>
                  <w:szCs w:val="28"/>
                  <w:lang w:val="en-US"/>
                </w:rPr>
                <m:t xml:space="preserve">= </m:t>
              </m:r>
              <m:f>
                <m:fPr>
                  <m:ctrlPr>
                    <w:rPr>
                      <w:rFonts w:ascii="Cambria Math" w:hAnsi="Cambria Math"/>
                      <w:i/>
                      <w:color w:val="000000"/>
                      <w:sz w:val="28"/>
                      <w:szCs w:val="28"/>
                      <w:lang w:val="en-US"/>
                    </w:rPr>
                  </m:ctrlPr>
                </m:fPr>
                <m:num>
                  <m:r>
                    <w:rPr>
                      <w:rFonts w:ascii="Cambria Math" w:hAnsi="Cambria Math"/>
                      <w:color w:val="000000"/>
                      <w:sz w:val="28"/>
                      <w:szCs w:val="28"/>
                      <w:lang w:val="en-US"/>
                    </w:rPr>
                    <m:t>∆Revenue</m:t>
                  </m:r>
                </m:num>
                <m:den>
                  <m:nary>
                    <m:naryPr>
                      <m:chr m:val="∑"/>
                      <m:limLoc m:val="undOvr"/>
                      <m:subHide m:val="1"/>
                      <m:supHide m:val="1"/>
                      <m:ctrlPr>
                        <w:rPr>
                          <w:rFonts w:ascii="Cambria Math" w:hAnsi="Cambria Math"/>
                          <w:i/>
                          <w:color w:val="000000"/>
                          <w:sz w:val="28"/>
                          <w:szCs w:val="28"/>
                          <w:lang w:val="en-US"/>
                        </w:rPr>
                      </m:ctrlPr>
                    </m:naryPr>
                    <m:sub/>
                    <m:sup/>
                    <m:e>
                      <m:sSub>
                        <m:sSubPr>
                          <m:ctrlPr>
                            <w:rPr>
                              <w:rFonts w:ascii="Cambria Math" w:hAnsi="Cambria Math"/>
                              <w:i/>
                              <w:color w:val="000000"/>
                              <w:sz w:val="28"/>
                              <w:szCs w:val="28"/>
                              <w:lang w:val="en-US"/>
                            </w:rPr>
                          </m:ctrlPr>
                        </m:sSubPr>
                        <m:e>
                          <m:r>
                            <w:rPr>
                              <w:rFonts w:ascii="Cambria Math" w:hAnsi="Cambria Math"/>
                              <w:color w:val="000000"/>
                              <w:sz w:val="28"/>
                              <w:szCs w:val="28"/>
                              <w:lang w:val="en-US"/>
                            </w:rPr>
                            <m:t>CAPEX</m:t>
                          </m:r>
                        </m:e>
                        <m:sub>
                          <m:r>
                            <w:rPr>
                              <w:rFonts w:ascii="Cambria Math" w:hAnsi="Cambria Math"/>
                              <w:color w:val="000000"/>
                              <w:sz w:val="28"/>
                              <w:szCs w:val="28"/>
                              <w:lang w:val="en-US"/>
                            </w:rPr>
                            <m:t>t-n</m:t>
                          </m:r>
                        </m:sub>
                      </m:sSub>
                    </m:e>
                  </m:nary>
                </m:den>
              </m:f>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2.6</m:t>
                  </m:r>
                </m:e>
              </m:d>
              <m:ctrlPr>
                <w:rPr>
                  <w:rFonts w:ascii="Cambria Math" w:hAnsi="Cambria Math"/>
                  <w:i/>
                  <w:color w:val="000000"/>
                  <w:sz w:val="28"/>
                  <w:szCs w:val="28"/>
                  <w:lang w:val="uk-UA"/>
                </w:rPr>
              </m:ctrlPr>
            </m:e>
          </m:eqArr>
        </m:oMath>
      </m:oMathPara>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де </w:t>
      </w:r>
      <m:oMath>
        <m:r>
          <w:rPr>
            <w:rFonts w:ascii="Cambria Math" w:hAnsi="Cambria Math"/>
            <w:color w:val="000000"/>
            <w:sz w:val="28"/>
            <w:szCs w:val="28"/>
          </w:rPr>
          <m:t>∆</m:t>
        </m:r>
        <m:r>
          <w:rPr>
            <w:rFonts w:ascii="Cambria Math" w:hAnsi="Cambria Math"/>
            <w:color w:val="000000"/>
            <w:sz w:val="28"/>
            <w:szCs w:val="28"/>
            <w:lang w:val="en-US"/>
          </w:rPr>
          <m:t>Revenue</m:t>
        </m:r>
      </m:oMath>
      <w:r w:rsidRPr="00400BAB">
        <w:rPr>
          <w:color w:val="000000"/>
          <w:sz w:val="28"/>
          <w:szCs w:val="28"/>
          <w:lang w:val="uk-UA"/>
        </w:rPr>
        <w:t xml:space="preserve"> – приріст доходу;</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nary>
          <m:naryPr>
            <m:chr m:val="∑"/>
            <m:limLoc m:val="undOvr"/>
            <m:subHide m:val="1"/>
            <m:supHide m:val="1"/>
            <m:ctrlPr>
              <w:rPr>
                <w:rFonts w:ascii="Cambria Math" w:hAnsi="Cambria Math"/>
                <w:i/>
                <w:color w:val="000000"/>
                <w:sz w:val="28"/>
                <w:szCs w:val="28"/>
                <w:lang w:val="en-US"/>
              </w:rPr>
            </m:ctrlPr>
          </m:naryPr>
          <m:sub/>
          <m:sup/>
          <m:e>
            <m:sSub>
              <m:sSubPr>
                <m:ctrlPr>
                  <w:rPr>
                    <w:rFonts w:ascii="Cambria Math" w:hAnsi="Cambria Math"/>
                    <w:i/>
                    <w:color w:val="000000"/>
                    <w:sz w:val="28"/>
                    <w:szCs w:val="28"/>
                    <w:lang w:val="en-US"/>
                  </w:rPr>
                </m:ctrlPr>
              </m:sSubPr>
              <m:e>
                <m:r>
                  <w:rPr>
                    <w:rFonts w:ascii="Cambria Math" w:hAnsi="Cambria Math"/>
                    <w:color w:val="000000"/>
                    <w:sz w:val="28"/>
                    <w:szCs w:val="28"/>
                    <w:lang w:val="en-US"/>
                  </w:rPr>
                  <m:t>CAPEX</m:t>
                </m:r>
              </m:e>
              <m:sub>
                <m:r>
                  <w:rPr>
                    <w:rFonts w:ascii="Cambria Math" w:hAnsi="Cambria Math"/>
                    <w:color w:val="000000"/>
                    <w:sz w:val="28"/>
                    <w:szCs w:val="28"/>
                    <w:lang w:val="en-US"/>
                  </w:rPr>
                  <m:t>t</m:t>
                </m:r>
                <m:r>
                  <w:rPr>
                    <w:rFonts w:ascii="Cambria Math" w:hAnsi="Cambria Math"/>
                    <w:color w:val="000000"/>
                    <w:sz w:val="28"/>
                    <w:szCs w:val="28"/>
                    <w:lang w:val="uk-UA"/>
                  </w:rPr>
                  <m:t>-</m:t>
                </m:r>
                <m:r>
                  <w:rPr>
                    <w:rFonts w:ascii="Cambria Math" w:hAnsi="Cambria Math"/>
                    <w:color w:val="000000"/>
                    <w:sz w:val="28"/>
                    <w:szCs w:val="28"/>
                    <w:lang w:val="en-US"/>
                  </w:rPr>
                  <m:t>n</m:t>
                </m:r>
              </m:sub>
            </m:sSub>
          </m:e>
        </m:nary>
      </m:oMath>
      <w:r w:rsidRPr="00400BAB">
        <w:rPr>
          <w:color w:val="000000"/>
          <w:sz w:val="28"/>
          <w:szCs w:val="28"/>
          <w:lang w:val="uk-UA"/>
        </w:rPr>
        <w:t xml:space="preserve"> – кумулятивні інвестиції попередніх років з урахуванням часового лагу (</w:t>
      </w:r>
      <w:r w:rsidRPr="00400BAB">
        <w:rPr>
          <w:color w:val="000000"/>
          <w:sz w:val="28"/>
          <w:szCs w:val="28"/>
          <w:lang w:val="en-US"/>
        </w:rPr>
        <w:t>n</w:t>
      </w:r>
      <w:r w:rsidRPr="00400BAB">
        <w:rPr>
          <w:color w:val="000000"/>
          <w:sz w:val="28"/>
          <w:szCs w:val="28"/>
          <w:lang w:val="uk-UA"/>
        </w:rPr>
        <w:t>).</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Передбачено, що за допомогою даного показника можна обрахувати </w:t>
      </w:r>
      <w:r w:rsidRPr="00400BAB">
        <w:rPr>
          <w:color w:val="000000"/>
          <w:sz w:val="28"/>
          <w:szCs w:val="28"/>
        </w:rPr>
        <w:t>віддачу від кожної інвестованої грошової одиниці в контексті масштабування ринкової частки</w:t>
      </w:r>
      <w:r w:rsidRPr="00400BAB">
        <w:rPr>
          <w:color w:val="000000"/>
          <w:sz w:val="28"/>
          <w:szCs w:val="28"/>
          <w:lang w:val="uk-UA"/>
        </w:rPr>
        <w:t>.</w:t>
      </w:r>
    </w:p>
    <w:p w:rsidR="00B37265" w:rsidRPr="00400BAB" w:rsidRDefault="00B37265" w:rsidP="00400BAB">
      <w:pPr>
        <w:pStyle w:val="a5"/>
        <w:numPr>
          <w:ilvl w:val="0"/>
          <w:numId w:val="13"/>
        </w:numPr>
        <w:spacing w:before="0" w:beforeAutospacing="0" w:after="0" w:afterAutospacing="0" w:line="360" w:lineRule="auto"/>
        <w:ind w:left="0" w:firstLine="709"/>
        <w:jc w:val="both"/>
        <w:rPr>
          <w:color w:val="000000"/>
          <w:sz w:val="28"/>
          <w:szCs w:val="28"/>
        </w:rPr>
      </w:pPr>
      <w:r w:rsidRPr="00400BAB">
        <w:rPr>
          <w:color w:val="000000"/>
          <w:sz w:val="28"/>
          <w:szCs w:val="28"/>
        </w:rPr>
        <w:t>Блок функціональної зв’язності</w:t>
      </w:r>
      <w:r w:rsidRPr="00400BAB">
        <w:rPr>
          <w:color w:val="000000"/>
          <w:sz w:val="28"/>
          <w:szCs w:val="28"/>
          <w:lang w:val="uk-UA"/>
        </w:rPr>
        <w:t xml:space="preserve"> –</w:t>
      </w:r>
      <w:r w:rsidRPr="00400BAB">
        <w:rPr>
          <w:b/>
          <w:bCs/>
          <w:color w:val="000000"/>
          <w:sz w:val="28"/>
          <w:szCs w:val="28"/>
          <w:lang w:val="uk-UA"/>
        </w:rPr>
        <w:t xml:space="preserve"> </w:t>
      </w:r>
      <w:r w:rsidRPr="00400BAB">
        <w:rPr>
          <w:color w:val="000000"/>
          <w:sz w:val="28"/>
          <w:szCs w:val="28"/>
        </w:rPr>
        <w:t>встановлення</w:t>
      </w:r>
      <w:r w:rsidRPr="00400BAB">
        <w:rPr>
          <w:color w:val="000000"/>
          <w:sz w:val="28"/>
          <w:szCs w:val="28"/>
          <w:lang w:val="uk-UA"/>
        </w:rPr>
        <w:t xml:space="preserve"> </w:t>
      </w:r>
      <w:r w:rsidRPr="00400BAB">
        <w:rPr>
          <w:color w:val="000000"/>
          <w:sz w:val="28"/>
          <w:szCs w:val="28"/>
        </w:rPr>
        <w:t xml:space="preserve">математичних залежностей, що демонструють, як зміна одного інвестиційного параметра </w:t>
      </w:r>
      <w:r w:rsidRPr="00400BAB">
        <w:rPr>
          <w:color w:val="000000"/>
          <w:sz w:val="28"/>
          <w:szCs w:val="28"/>
        </w:rPr>
        <w:lastRenderedPageBreak/>
        <w:t>(наприклад, CAPEX) трансформує інші показники.</w:t>
      </w:r>
      <w:r w:rsidRPr="00400BAB">
        <w:rPr>
          <w:color w:val="000000"/>
          <w:sz w:val="28"/>
          <w:szCs w:val="28"/>
          <w:lang w:val="uk-UA"/>
        </w:rPr>
        <w:t xml:space="preserve"> За поданою пропозицією відбувається</w:t>
      </w:r>
      <w:r w:rsidRPr="00400BAB">
        <w:rPr>
          <w:color w:val="000000"/>
          <w:sz w:val="28"/>
          <w:szCs w:val="28"/>
        </w:rPr>
        <w:t xml:space="preserve"> перехі</w:t>
      </w:r>
      <w:r w:rsidRPr="00400BAB">
        <w:rPr>
          <w:color w:val="000000"/>
          <w:sz w:val="28"/>
          <w:szCs w:val="28"/>
          <w:lang w:val="uk-UA"/>
        </w:rPr>
        <w:t>д</w:t>
      </w:r>
      <w:r w:rsidRPr="00400BAB">
        <w:rPr>
          <w:color w:val="000000"/>
          <w:sz w:val="28"/>
          <w:szCs w:val="28"/>
        </w:rPr>
        <w:t xml:space="preserve"> від лінійних порівнянь до побудови функціональних моделей. Ключовою є залежність між рівнем інвестування та швидкістю оборотності капіталу.</w:t>
      </w:r>
      <w:r w:rsidRPr="00400BAB">
        <w:rPr>
          <w:color w:val="000000"/>
          <w:sz w:val="28"/>
          <w:szCs w:val="28"/>
          <w:lang w:val="uk-UA"/>
        </w:rPr>
        <w:t xml:space="preserve"> Для цього варто обраховувати функцію інвестиційної трансформації активів:</w:t>
      </w:r>
    </w:p>
    <w:p w:rsidR="00B37265" w:rsidRPr="00400BAB" w:rsidRDefault="00EB5B4E" w:rsidP="00400BAB">
      <w:pPr>
        <w:pStyle w:val="a5"/>
        <w:spacing w:before="0" w:beforeAutospacing="0" w:after="0" w:afterAutospacing="0" w:line="360" w:lineRule="auto"/>
        <w:jc w:val="center"/>
        <w:rPr>
          <w:color w:val="000000"/>
          <w:sz w:val="28"/>
          <w:szCs w:val="28"/>
        </w:rPr>
      </w:pPr>
      <m:oMathPara>
        <m:oMath>
          <m:eqArr>
            <m:eqArrPr>
              <m:maxDist m:val="1"/>
              <m:ctrlPr>
                <w:rPr>
                  <w:rFonts w:ascii="Cambria Math" w:hAnsi="Cambria Math"/>
                  <w:i/>
                  <w:color w:val="000000"/>
                  <w:sz w:val="28"/>
                  <w:szCs w:val="28"/>
                </w:rPr>
              </m:ctrlPr>
            </m:eqArrPr>
            <m:e>
              <m:sSub>
                <m:sSubPr>
                  <m:ctrlPr>
                    <w:rPr>
                      <w:rFonts w:ascii="Cambria Math" w:hAnsi="Cambria Math"/>
                      <w:i/>
                      <w:color w:val="000000"/>
                      <w:sz w:val="28"/>
                      <w:szCs w:val="28"/>
                    </w:rPr>
                  </m:ctrlPr>
                </m:sSubPr>
                <m:e>
                  <m:r>
                    <w:rPr>
                      <w:rFonts w:ascii="Cambria Math" w:hAnsi="Cambria Math"/>
                      <w:color w:val="000000"/>
                      <w:sz w:val="28"/>
                      <w:szCs w:val="28"/>
                      <w:lang w:val="en-US"/>
                    </w:rPr>
                    <m:t>TAT</m:t>
                  </m:r>
                </m:e>
                <m:sub>
                  <m:r>
                    <w:rPr>
                      <w:rFonts w:ascii="Cambria Math" w:hAnsi="Cambria Math"/>
                      <w:color w:val="000000"/>
                      <w:sz w:val="28"/>
                      <w:szCs w:val="28"/>
                    </w:rPr>
                    <m:t>adj</m:t>
                  </m:r>
                </m:sub>
              </m:sSub>
              <m:r>
                <w:rPr>
                  <w:rFonts w:ascii="Cambria Math" w:hAnsi="Cambria Math"/>
                  <w:color w:val="000000"/>
                  <w:sz w:val="28"/>
                  <w:szCs w:val="28"/>
                </w:rPr>
                <m:t xml:space="preserve">= </m:t>
              </m:r>
              <m:nary>
                <m:naryPr>
                  <m:limLoc m:val="undOvr"/>
                  <m:subHide m:val="1"/>
                  <m:supHide m:val="1"/>
                  <m:ctrlPr>
                    <w:rPr>
                      <w:rFonts w:ascii="Cambria Math" w:hAnsi="Cambria Math"/>
                      <w:i/>
                      <w:color w:val="000000"/>
                      <w:sz w:val="28"/>
                      <w:szCs w:val="28"/>
                    </w:rPr>
                  </m:ctrlPr>
                </m:naryPr>
                <m:sub/>
                <m:sup/>
                <m:e>
                  <m:d>
                    <m:dPr>
                      <m:ctrlPr>
                        <w:rPr>
                          <w:rFonts w:ascii="Cambria Math" w:hAnsi="Cambria Math"/>
                          <w:i/>
                          <w:color w:val="000000"/>
                          <w:sz w:val="28"/>
                          <w:szCs w:val="28"/>
                        </w:rPr>
                      </m:ctrlPr>
                    </m:dPr>
                    <m:e>
                      <m:sSub>
                        <m:sSubPr>
                          <m:ctrlPr>
                            <w:rPr>
                              <w:rFonts w:ascii="Cambria Math" w:hAnsi="Cambria Math"/>
                              <w:i/>
                              <w:color w:val="000000"/>
                              <w:sz w:val="28"/>
                              <w:szCs w:val="28"/>
                            </w:rPr>
                          </m:ctrlPr>
                        </m:sSubPr>
                        <m:e>
                          <m:r>
                            <w:rPr>
                              <w:rFonts w:ascii="Cambria Math" w:hAnsi="Cambria Math"/>
                              <w:color w:val="000000"/>
                              <w:sz w:val="28"/>
                              <w:szCs w:val="28"/>
                            </w:rPr>
                            <m:t>CAPEX</m:t>
                          </m:r>
                        </m:e>
                        <m:sub>
                          <m:r>
                            <w:rPr>
                              <w:rFonts w:ascii="Cambria Math" w:hAnsi="Cambria Math"/>
                              <w:color w:val="000000"/>
                              <w:sz w:val="28"/>
                              <w:szCs w:val="28"/>
                            </w:rPr>
                            <m:t>tech</m:t>
                          </m:r>
                        </m:sub>
                      </m:sSub>
                      <m:r>
                        <w:rPr>
                          <w:rFonts w:ascii="Cambria Math" w:hAnsi="Cambria Math"/>
                          <w:color w:val="000000"/>
                          <w:sz w:val="28"/>
                          <w:szCs w:val="28"/>
                        </w:rPr>
                        <m:t xml:space="preserve">, </m:t>
                      </m:r>
                      <m:sSub>
                        <m:sSubPr>
                          <m:ctrlPr>
                            <w:rPr>
                              <w:rFonts w:ascii="Cambria Math" w:hAnsi="Cambria Math"/>
                              <w:i/>
                              <w:color w:val="000000"/>
                              <w:sz w:val="28"/>
                              <w:szCs w:val="28"/>
                            </w:rPr>
                          </m:ctrlPr>
                        </m:sSubPr>
                        <m:e>
                          <m:r>
                            <w:rPr>
                              <w:rFonts w:ascii="Cambria Math" w:hAnsi="Cambria Math"/>
                              <w:color w:val="000000"/>
                              <w:sz w:val="28"/>
                              <w:szCs w:val="28"/>
                            </w:rPr>
                            <m:t>IT</m:t>
                          </m:r>
                        </m:e>
                        <m:sub>
                          <m:r>
                            <w:rPr>
                              <w:rFonts w:ascii="Cambria Math" w:hAnsi="Cambria Math"/>
                              <w:color w:val="000000"/>
                              <w:sz w:val="28"/>
                              <w:szCs w:val="28"/>
                            </w:rPr>
                            <m:t>inv</m:t>
                          </m:r>
                        </m:sub>
                      </m:sSub>
                    </m:e>
                  </m:d>
                  <m:r>
                    <w:rPr>
                      <w:rFonts w:ascii="Cambria Math" w:hAnsi="Cambria Math"/>
                      <w:color w:val="000000"/>
                      <w:sz w:val="28"/>
                      <w:szCs w:val="28"/>
                    </w:rPr>
                    <m:t>= α*</m:t>
                  </m:r>
                  <m:func>
                    <m:funcPr>
                      <m:ctrlPr>
                        <w:rPr>
                          <w:rFonts w:ascii="Cambria Math" w:hAnsi="Cambria Math"/>
                          <w:color w:val="000000"/>
                          <w:sz w:val="28"/>
                          <w:szCs w:val="28"/>
                        </w:rPr>
                      </m:ctrlPr>
                    </m:funcPr>
                    <m:fName>
                      <m:r>
                        <m:rPr>
                          <m:sty m:val="p"/>
                        </m:rPr>
                        <w:rPr>
                          <w:rFonts w:ascii="Cambria Math" w:hAnsi="Cambria Math"/>
                          <w:color w:val="000000"/>
                          <w:sz w:val="28"/>
                          <w:szCs w:val="28"/>
                        </w:rPr>
                        <m:t>ln</m:t>
                      </m:r>
                      <m:ctrlPr>
                        <w:rPr>
                          <w:rFonts w:ascii="Cambria Math" w:hAnsi="Cambria Math"/>
                          <w:i/>
                          <w:color w:val="000000"/>
                          <w:sz w:val="28"/>
                          <w:szCs w:val="28"/>
                        </w:rPr>
                      </m:ctrlPr>
                    </m:fName>
                    <m:e>
                      <m:d>
                        <m:dPr>
                          <m:ctrlPr>
                            <w:rPr>
                              <w:rFonts w:ascii="Cambria Math" w:hAnsi="Cambria Math"/>
                              <w:i/>
                              <w:color w:val="000000"/>
                              <w:sz w:val="28"/>
                              <w:szCs w:val="28"/>
                            </w:rPr>
                          </m:ctrlPr>
                        </m:dPr>
                        <m:e>
                          <m:sSub>
                            <m:sSubPr>
                              <m:ctrlPr>
                                <w:rPr>
                                  <w:rFonts w:ascii="Cambria Math" w:hAnsi="Cambria Math"/>
                                  <w:i/>
                                  <w:color w:val="000000"/>
                                  <w:sz w:val="28"/>
                                  <w:szCs w:val="28"/>
                                </w:rPr>
                              </m:ctrlPr>
                            </m:sSubPr>
                            <m:e>
                              <m:r>
                                <w:rPr>
                                  <w:rFonts w:ascii="Cambria Math" w:hAnsi="Cambria Math"/>
                                  <w:color w:val="000000"/>
                                  <w:sz w:val="28"/>
                                  <w:szCs w:val="28"/>
                                </w:rPr>
                                <m:t>CAPEX</m:t>
                              </m:r>
                            </m:e>
                            <m:sub>
                              <m:r>
                                <w:rPr>
                                  <w:rFonts w:ascii="Cambria Math" w:hAnsi="Cambria Math"/>
                                  <w:color w:val="000000"/>
                                  <w:sz w:val="28"/>
                                  <w:szCs w:val="28"/>
                                </w:rPr>
                                <m:t>tech</m:t>
                              </m:r>
                            </m:sub>
                          </m:sSub>
                        </m:e>
                      </m:d>
                    </m:e>
                  </m:func>
                  <m:r>
                    <w:rPr>
                      <w:rFonts w:ascii="Cambria Math" w:hAnsi="Cambria Math"/>
                      <w:color w:val="000000"/>
                      <w:sz w:val="28"/>
                      <w:szCs w:val="28"/>
                    </w:rPr>
                    <m:t>+β*</m:t>
                  </m:r>
                  <m:sSup>
                    <m:sSupPr>
                      <m:ctrlPr>
                        <w:rPr>
                          <w:rFonts w:ascii="Cambria Math" w:hAnsi="Cambria Math"/>
                          <w:i/>
                          <w:color w:val="000000"/>
                          <w:sz w:val="28"/>
                          <w:szCs w:val="28"/>
                        </w:rPr>
                      </m:ctrlPr>
                    </m:sSupPr>
                    <m:e>
                      <m:d>
                        <m:dPr>
                          <m:ctrlPr>
                            <w:rPr>
                              <w:rFonts w:ascii="Cambria Math" w:hAnsi="Cambria Math"/>
                              <w:i/>
                              <w:color w:val="000000"/>
                              <w:sz w:val="28"/>
                              <w:szCs w:val="28"/>
                            </w:rPr>
                          </m:ctrlPr>
                        </m:dPr>
                        <m:e>
                          <m:sSub>
                            <m:sSubPr>
                              <m:ctrlPr>
                                <w:rPr>
                                  <w:rFonts w:ascii="Cambria Math" w:hAnsi="Cambria Math"/>
                                  <w:i/>
                                  <w:color w:val="000000"/>
                                  <w:sz w:val="28"/>
                                  <w:szCs w:val="28"/>
                                </w:rPr>
                              </m:ctrlPr>
                            </m:sSubPr>
                            <m:e>
                              <m:r>
                                <w:rPr>
                                  <w:rFonts w:ascii="Cambria Math" w:hAnsi="Cambria Math"/>
                                  <w:color w:val="000000"/>
                                  <w:sz w:val="28"/>
                                  <w:szCs w:val="28"/>
                                </w:rPr>
                                <m:t>IT</m:t>
                              </m:r>
                            </m:e>
                            <m:sub>
                              <m:r>
                                <w:rPr>
                                  <w:rFonts w:ascii="Cambria Math" w:hAnsi="Cambria Math"/>
                                  <w:color w:val="000000"/>
                                  <w:sz w:val="28"/>
                                  <w:szCs w:val="28"/>
                                </w:rPr>
                                <m:t>inv</m:t>
                              </m:r>
                            </m:sub>
                          </m:sSub>
                        </m:e>
                      </m:d>
                    </m:e>
                    <m:sup>
                      <m:r>
                        <w:rPr>
                          <w:rFonts w:ascii="Cambria Math" w:hAnsi="Cambria Math"/>
                          <w:color w:val="000000"/>
                          <w:sz w:val="28"/>
                          <w:szCs w:val="28"/>
                        </w:rPr>
                        <m:t>2</m:t>
                      </m:r>
                    </m:sup>
                  </m:sSup>
                </m:e>
              </m:nary>
              <m:r>
                <w:rPr>
                  <w:rFonts w:ascii="Cambria Math" w:hAnsi="Cambria Math"/>
                  <w:color w:val="000000"/>
                  <w:sz w:val="28"/>
                  <w:szCs w:val="28"/>
                </w:rPr>
                <m:t>,#</m:t>
              </m:r>
              <m:d>
                <m:dPr>
                  <m:ctrlPr>
                    <w:rPr>
                      <w:rFonts w:ascii="Cambria Math" w:hAnsi="Cambria Math"/>
                      <w:i/>
                      <w:color w:val="000000"/>
                      <w:sz w:val="28"/>
                      <w:szCs w:val="28"/>
                    </w:rPr>
                  </m:ctrlPr>
                </m:dPr>
                <m:e>
                  <m:r>
                    <w:rPr>
                      <w:rFonts w:ascii="Cambria Math" w:hAnsi="Cambria Math"/>
                      <w:color w:val="000000"/>
                      <w:sz w:val="28"/>
                      <w:szCs w:val="28"/>
                    </w:rPr>
                    <m:t>2.7</m:t>
                  </m:r>
                </m:e>
              </m:d>
            </m:e>
          </m:eqArr>
        </m:oMath>
      </m:oMathPara>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де  </w:t>
      </w:r>
      <m:oMath>
        <m:sSub>
          <m:sSubPr>
            <m:ctrlPr>
              <w:rPr>
                <w:rFonts w:ascii="Cambria Math" w:hAnsi="Cambria Math"/>
                <w:i/>
                <w:color w:val="000000"/>
                <w:sz w:val="28"/>
                <w:szCs w:val="28"/>
              </w:rPr>
            </m:ctrlPr>
          </m:sSubPr>
          <m:e>
            <m:r>
              <w:rPr>
                <w:rFonts w:ascii="Cambria Math" w:hAnsi="Cambria Math"/>
                <w:color w:val="000000"/>
                <w:sz w:val="28"/>
                <w:szCs w:val="28"/>
                <w:lang w:val="en-US"/>
              </w:rPr>
              <m:t>TAT</m:t>
            </m:r>
          </m:e>
          <m:sub>
            <m:r>
              <w:rPr>
                <w:rFonts w:ascii="Cambria Math" w:hAnsi="Cambria Math"/>
                <w:color w:val="000000"/>
                <w:sz w:val="28"/>
                <w:szCs w:val="28"/>
              </w:rPr>
              <m:t>adj</m:t>
            </m:r>
          </m:sub>
        </m:sSub>
      </m:oMath>
      <w:r w:rsidRPr="00400BAB">
        <w:rPr>
          <w:color w:val="000000"/>
          <w:sz w:val="28"/>
          <w:szCs w:val="28"/>
          <w:lang w:val="uk-UA"/>
        </w:rPr>
        <w:t xml:space="preserve"> – скорегована оборотність активів;</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CAPEX</m:t>
            </m:r>
          </m:e>
          <m:sub>
            <m:r>
              <w:rPr>
                <w:rFonts w:ascii="Cambria Math" w:hAnsi="Cambria Math"/>
                <w:color w:val="000000"/>
                <w:sz w:val="28"/>
                <w:szCs w:val="28"/>
              </w:rPr>
              <m:t>tech</m:t>
            </m:r>
          </m:sub>
        </m:sSub>
      </m:oMath>
      <w:r w:rsidRPr="00400BAB">
        <w:rPr>
          <w:color w:val="000000"/>
          <w:sz w:val="28"/>
          <w:szCs w:val="28"/>
          <w:lang w:val="uk-UA"/>
        </w:rPr>
        <w:t xml:space="preserve"> - інвестиції в технологічне оновлення;</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sSub>
          <m:sSubPr>
            <m:ctrlPr>
              <w:rPr>
                <w:rFonts w:ascii="Cambria Math" w:hAnsi="Cambria Math"/>
                <w:i/>
                <w:color w:val="000000"/>
                <w:sz w:val="28"/>
                <w:szCs w:val="28"/>
              </w:rPr>
            </m:ctrlPr>
          </m:sSubPr>
          <m:e>
            <m:r>
              <w:rPr>
                <w:rFonts w:ascii="Cambria Math" w:hAnsi="Cambria Math"/>
                <w:color w:val="000000"/>
                <w:sz w:val="28"/>
                <w:szCs w:val="28"/>
              </w:rPr>
              <m:t>IT</m:t>
            </m:r>
          </m:e>
          <m:sub>
            <m:r>
              <w:rPr>
                <w:rFonts w:ascii="Cambria Math" w:hAnsi="Cambria Math"/>
                <w:color w:val="000000"/>
                <w:sz w:val="28"/>
                <w:szCs w:val="28"/>
              </w:rPr>
              <m:t>inv</m:t>
            </m:r>
          </m:sub>
        </m:sSub>
      </m:oMath>
      <w:r w:rsidRPr="00400BAB">
        <w:rPr>
          <w:color w:val="000000"/>
          <w:sz w:val="28"/>
          <w:szCs w:val="28"/>
          <w:lang w:val="uk-UA"/>
        </w:rPr>
        <w:t xml:space="preserve"> – інвестиції в цифровізацію та управління;</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m:oMath>
        <m:r>
          <w:rPr>
            <w:rFonts w:ascii="Cambria Math" w:hAnsi="Cambria Math"/>
            <w:color w:val="000000"/>
            <w:sz w:val="28"/>
            <w:szCs w:val="28"/>
          </w:rPr>
          <m:t>α</m:t>
        </m:r>
      </m:oMath>
      <w:r w:rsidRPr="00400BAB">
        <w:rPr>
          <w:color w:val="000000"/>
          <w:sz w:val="28"/>
          <w:szCs w:val="28"/>
          <w:lang w:val="uk-UA"/>
        </w:rPr>
        <w:t xml:space="preserve">, </w:t>
      </w:r>
      <m:oMath>
        <m:r>
          <w:rPr>
            <w:rFonts w:ascii="Cambria Math" w:hAnsi="Cambria Math"/>
            <w:color w:val="000000"/>
            <w:sz w:val="28"/>
            <w:szCs w:val="28"/>
          </w:rPr>
          <m:t>β</m:t>
        </m:r>
      </m:oMath>
      <w:r w:rsidRPr="00400BAB">
        <w:rPr>
          <w:color w:val="000000"/>
          <w:sz w:val="28"/>
          <w:szCs w:val="28"/>
          <w:lang w:val="uk-UA"/>
        </w:rPr>
        <w:t xml:space="preserve"> – коефіцієнт еластичності, що визначається емпірично.</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Дана модель дозволяє розрахувати, наскільки прискориться оборотність активів (і, відповідно, звільниться капітал) при зростанні інвестицій у модернізацію. Це дозволяє інвестору бачити не лише "витрати", а й "ефект вивільнення ресурсів".</w:t>
      </w:r>
    </w:p>
    <w:p w:rsidR="00B37265" w:rsidRPr="00400BAB" w:rsidRDefault="00B37265" w:rsidP="00400BAB">
      <w:pPr>
        <w:pStyle w:val="a5"/>
        <w:numPr>
          <w:ilvl w:val="0"/>
          <w:numId w:val="13"/>
        </w:numPr>
        <w:spacing w:before="0" w:beforeAutospacing="0" w:after="0" w:afterAutospacing="0" w:line="360" w:lineRule="auto"/>
        <w:ind w:left="0" w:firstLine="709"/>
        <w:jc w:val="both"/>
        <w:rPr>
          <w:color w:val="000000"/>
          <w:sz w:val="28"/>
          <w:szCs w:val="28"/>
        </w:rPr>
      </w:pPr>
      <w:r w:rsidRPr="00400BAB">
        <w:rPr>
          <w:color w:val="000000"/>
          <w:sz w:val="28"/>
          <w:szCs w:val="28"/>
          <w:lang w:val="uk-UA"/>
        </w:rPr>
        <w:t>Блок еластичності та чутливості</w:t>
      </w:r>
      <w:r w:rsidRPr="00400BAB">
        <w:rPr>
          <w:rStyle w:val="apple-converted-space"/>
          <w:rFonts w:eastAsiaTheme="majorEastAsia"/>
          <w:color w:val="000000"/>
          <w:lang w:val="uk-UA"/>
        </w:rPr>
        <w:t xml:space="preserve"> – </w:t>
      </w:r>
      <w:r w:rsidRPr="00400BAB">
        <w:rPr>
          <w:color w:val="000000"/>
          <w:sz w:val="28"/>
          <w:szCs w:val="28"/>
          <w:lang w:val="uk-UA"/>
        </w:rPr>
        <w:t xml:space="preserve">кількісна оцінка стійкості інвестиційної позиції до варіації ключових факторів (ціни, логістичні витрати, ставки дисконтування). </w:t>
      </w:r>
      <w:r w:rsidRPr="00400BAB">
        <w:rPr>
          <w:color w:val="000000"/>
          <w:sz w:val="28"/>
          <w:szCs w:val="28"/>
        </w:rPr>
        <w:t xml:space="preserve">Оскільки агросектор України перебуває в зоні високого ризику, </w:t>
      </w:r>
      <w:r w:rsidRPr="00400BAB">
        <w:rPr>
          <w:color w:val="000000"/>
          <w:sz w:val="28"/>
          <w:szCs w:val="28"/>
          <w:lang w:val="uk-UA"/>
        </w:rPr>
        <w:t>запропоновано</w:t>
      </w:r>
      <w:r w:rsidRPr="00400BAB">
        <w:rPr>
          <w:color w:val="000000"/>
          <w:sz w:val="28"/>
          <w:szCs w:val="28"/>
        </w:rPr>
        <w:t xml:space="preserve"> модель оцінки чутливості показника внутрішньої вартості підприємства (</w:t>
      </w:r>
      <w:r w:rsidRPr="00400BAB">
        <w:rPr>
          <w:color w:val="000000"/>
          <w:sz w:val="28"/>
          <w:szCs w:val="28"/>
          <w:lang w:val="en-US"/>
        </w:rPr>
        <w:t>V</w:t>
      </w:r>
      <w:r w:rsidRPr="00400BAB">
        <w:rPr>
          <w:color w:val="000000"/>
          <w:sz w:val="28"/>
          <w:szCs w:val="28"/>
          <w:vertAlign w:val="subscript"/>
          <w:lang w:val="en-US"/>
        </w:rPr>
        <w:t>ent</w:t>
      </w:r>
      <w:r w:rsidRPr="00400BAB">
        <w:rPr>
          <w:color w:val="000000"/>
          <w:sz w:val="28"/>
          <w:szCs w:val="28"/>
        </w:rPr>
        <w:t>) до коливань критичних факторів.</w:t>
      </w:r>
      <w:r w:rsidRPr="00400BAB">
        <w:rPr>
          <w:color w:val="000000"/>
          <w:sz w:val="28"/>
          <w:szCs w:val="28"/>
          <w:lang w:val="uk-UA"/>
        </w:rPr>
        <w:t xml:space="preserve"> Для цього варто обраховувати модель чутливості (</w:t>
      </w:r>
      <w:r w:rsidRPr="00400BAB">
        <w:rPr>
          <w:color w:val="000000"/>
          <w:sz w:val="28"/>
          <w:szCs w:val="28"/>
          <w:lang w:val="en-US"/>
        </w:rPr>
        <w:t>S</w:t>
      </w:r>
      <w:r w:rsidRPr="00400BAB">
        <w:rPr>
          <w:color w:val="000000"/>
          <w:sz w:val="28"/>
          <w:szCs w:val="28"/>
          <w:vertAlign w:val="subscript"/>
          <w:lang w:val="en-US"/>
        </w:rPr>
        <w:t>ia</w:t>
      </w:r>
      <w:r w:rsidRPr="00400BAB">
        <w:rPr>
          <w:color w:val="000000"/>
          <w:sz w:val="28"/>
          <w:szCs w:val="28"/>
          <w:lang w:val="uk-UA"/>
        </w:rPr>
        <w:t>):</w:t>
      </w:r>
      <w:r>
        <w:t xml:space="preserve"> </w:t>
      </w:r>
      <w:r>
        <w:rPr>
          <w:sz w:val="28"/>
          <w:szCs w:val="28"/>
        </w:rPr>
        <w:t>[189]</w:t>
      </w:r>
      <w:r>
        <w:t>.</w:t>
      </w:r>
    </w:p>
    <w:p w:rsidR="00B37265" w:rsidRPr="00400BAB" w:rsidRDefault="00EB5B4E" w:rsidP="00400BAB">
      <w:pPr>
        <w:pStyle w:val="a5"/>
        <w:spacing w:before="0" w:beforeAutospacing="0" w:after="0" w:afterAutospacing="0" w:line="360" w:lineRule="auto"/>
        <w:jc w:val="both"/>
        <w:rPr>
          <w:color w:val="000000"/>
          <w:sz w:val="28"/>
          <w:szCs w:val="28"/>
        </w:rPr>
      </w:pPr>
      <m:oMathPara>
        <m:oMath>
          <m:eqArr>
            <m:eqArrPr>
              <m:maxDist m:val="1"/>
              <m:ctrlPr>
                <w:rPr>
                  <w:rFonts w:ascii="Cambria Math" w:hAnsi="Cambria Math"/>
                  <w:i/>
                  <w:color w:val="000000"/>
                  <w:sz w:val="28"/>
                  <w:szCs w:val="28"/>
                </w:rPr>
              </m:ctrlPr>
            </m:eqArrPr>
            <m:e>
              <m:sSub>
                <m:sSubPr>
                  <m:ctrlPr>
                    <w:rPr>
                      <w:rFonts w:ascii="Cambria Math" w:hAnsi="Cambria Math"/>
                      <w:i/>
                      <w:color w:val="000000"/>
                      <w:sz w:val="28"/>
                      <w:szCs w:val="28"/>
                    </w:rPr>
                  </m:ctrlPr>
                </m:sSubPr>
                <m:e>
                  <m:r>
                    <w:rPr>
                      <w:rFonts w:ascii="Cambria Math" w:hAnsi="Cambria Math"/>
                      <w:color w:val="000000"/>
                      <w:sz w:val="28"/>
                      <w:szCs w:val="28"/>
                      <w:lang w:val="en-US"/>
                    </w:rPr>
                    <m:t>S</m:t>
                  </m:r>
                </m:e>
                <m:sub>
                  <m:r>
                    <w:rPr>
                      <w:rFonts w:ascii="Cambria Math" w:hAnsi="Cambria Math"/>
                      <w:color w:val="000000"/>
                      <w:sz w:val="28"/>
                      <w:szCs w:val="28"/>
                    </w:rPr>
                    <m:t>ia</m:t>
                  </m:r>
                </m:sub>
              </m:sSub>
              <m:r>
                <w:rPr>
                  <w:rFonts w:ascii="Cambria Math" w:hAnsi="Cambria Math"/>
                  <w:color w:val="000000"/>
                  <w:sz w:val="28"/>
                  <w:szCs w:val="28"/>
                </w:rPr>
                <m:t xml:space="preserve">= </m:t>
              </m:r>
              <m:d>
                <m:dPr>
                  <m:begChr m:val="|"/>
                  <m:endChr m:val="|"/>
                  <m:ctrlPr>
                    <w:rPr>
                      <w:rFonts w:ascii="Cambria Math" w:hAnsi="Cambria Math"/>
                      <w:i/>
                      <w:color w:val="000000"/>
                      <w:sz w:val="28"/>
                      <w:szCs w:val="28"/>
                    </w:rPr>
                  </m:ctrlPr>
                </m:dPr>
                <m:e>
                  <m:f>
                    <m:fPr>
                      <m:ctrlPr>
                        <w:rPr>
                          <w:rFonts w:ascii="Cambria Math" w:hAnsi="Cambria Math"/>
                          <w:i/>
                          <w:color w:val="000000"/>
                          <w:sz w:val="28"/>
                          <w:szCs w:val="28"/>
                        </w:rPr>
                      </m:ctrlPr>
                    </m:fPr>
                    <m:num>
                      <m:f>
                        <m:fPr>
                          <m:type m:val="skw"/>
                          <m:ctrlPr>
                            <w:rPr>
                              <w:rFonts w:ascii="Cambria Math" w:hAnsi="Cambria Math"/>
                              <w:i/>
                              <w:color w:val="000000"/>
                              <w:sz w:val="28"/>
                              <w:szCs w:val="28"/>
                            </w:rPr>
                          </m:ctrlPr>
                        </m:fPr>
                        <m:num>
                          <m:r>
                            <w:rPr>
                              <w:rFonts w:ascii="Cambria Math" w:hAnsi="Cambria Math"/>
                              <w:color w:val="000000"/>
                              <w:sz w:val="28"/>
                              <w:szCs w:val="28"/>
                            </w:rPr>
                            <m:t>∆</m:t>
                          </m:r>
                          <m:sSub>
                            <m:sSubPr>
                              <m:ctrlPr>
                                <w:rPr>
                                  <w:rFonts w:ascii="Cambria Math" w:hAnsi="Cambria Math"/>
                                  <w:i/>
                                  <w:color w:val="000000"/>
                                  <w:sz w:val="28"/>
                                  <w:szCs w:val="28"/>
                                </w:rPr>
                              </m:ctrlPr>
                            </m:sSubPr>
                            <m:e>
                              <m:r>
                                <w:rPr>
                                  <w:rFonts w:ascii="Cambria Math" w:hAnsi="Cambria Math"/>
                                  <w:color w:val="000000"/>
                                  <w:sz w:val="28"/>
                                  <w:szCs w:val="28"/>
                                </w:rPr>
                                <m:t>V</m:t>
                              </m:r>
                            </m:e>
                            <m:sub>
                              <m:r>
                                <w:rPr>
                                  <w:rFonts w:ascii="Cambria Math" w:hAnsi="Cambria Math"/>
                                  <w:color w:val="000000"/>
                                  <w:sz w:val="28"/>
                                  <w:szCs w:val="28"/>
                                </w:rPr>
                                <m:t>ent</m:t>
                              </m:r>
                            </m:sub>
                          </m:sSub>
                        </m:num>
                        <m:den>
                          <m:sSub>
                            <m:sSubPr>
                              <m:ctrlPr>
                                <w:rPr>
                                  <w:rFonts w:ascii="Cambria Math" w:hAnsi="Cambria Math"/>
                                  <w:i/>
                                  <w:color w:val="000000"/>
                                  <w:sz w:val="28"/>
                                  <w:szCs w:val="28"/>
                                </w:rPr>
                              </m:ctrlPr>
                            </m:sSubPr>
                            <m:e>
                              <m:r>
                                <w:rPr>
                                  <w:rFonts w:ascii="Cambria Math" w:hAnsi="Cambria Math"/>
                                  <w:color w:val="000000"/>
                                  <w:sz w:val="28"/>
                                  <w:szCs w:val="28"/>
                                </w:rPr>
                                <m:t>V</m:t>
                              </m:r>
                            </m:e>
                            <m:sub>
                              <m:r>
                                <w:rPr>
                                  <w:rFonts w:ascii="Cambria Math" w:hAnsi="Cambria Math"/>
                                  <w:color w:val="000000"/>
                                  <w:sz w:val="28"/>
                                  <w:szCs w:val="28"/>
                                </w:rPr>
                                <m:t>ent</m:t>
                              </m:r>
                            </m:sub>
                          </m:sSub>
                        </m:den>
                      </m:f>
                    </m:num>
                    <m:den>
                      <m:f>
                        <m:fPr>
                          <m:type m:val="skw"/>
                          <m:ctrlPr>
                            <w:rPr>
                              <w:rFonts w:ascii="Cambria Math" w:hAnsi="Cambria Math"/>
                              <w:i/>
                              <w:color w:val="000000"/>
                              <w:sz w:val="28"/>
                              <w:szCs w:val="28"/>
                            </w:rPr>
                          </m:ctrlPr>
                        </m:fPr>
                        <m:num>
                          <m:r>
                            <w:rPr>
                              <w:rFonts w:ascii="Cambria Math" w:hAnsi="Cambria Math"/>
                              <w:color w:val="000000"/>
                              <w:sz w:val="28"/>
                              <w:szCs w:val="28"/>
                            </w:rPr>
                            <m:t>∆</m:t>
                          </m:r>
                          <m:sSub>
                            <m:sSubPr>
                              <m:ctrlPr>
                                <w:rPr>
                                  <w:rFonts w:ascii="Cambria Math" w:hAnsi="Cambria Math"/>
                                  <w:i/>
                                  <w:color w:val="000000"/>
                                  <w:sz w:val="28"/>
                                  <w:szCs w:val="28"/>
                                </w:rPr>
                              </m:ctrlPr>
                            </m:sSubPr>
                            <m:e>
                              <m:r>
                                <w:rPr>
                                  <w:rFonts w:ascii="Cambria Math" w:hAnsi="Cambria Math"/>
                                  <w:color w:val="000000"/>
                                  <w:sz w:val="28"/>
                                  <w:szCs w:val="28"/>
                                </w:rPr>
                                <m:t>F</m:t>
                              </m:r>
                            </m:e>
                            <m:sub>
                              <m:r>
                                <w:rPr>
                                  <w:rFonts w:ascii="Cambria Math" w:hAnsi="Cambria Math"/>
                                  <w:color w:val="000000"/>
                                  <w:sz w:val="28"/>
                                  <w:szCs w:val="28"/>
                                </w:rPr>
                                <m:t>j</m:t>
                              </m:r>
                            </m:sub>
                          </m:sSub>
                        </m:num>
                        <m:den>
                          <m:sSub>
                            <m:sSubPr>
                              <m:ctrlPr>
                                <w:rPr>
                                  <w:rFonts w:ascii="Cambria Math" w:hAnsi="Cambria Math"/>
                                  <w:i/>
                                  <w:color w:val="000000"/>
                                  <w:sz w:val="28"/>
                                  <w:szCs w:val="28"/>
                                </w:rPr>
                              </m:ctrlPr>
                            </m:sSubPr>
                            <m:e>
                              <m:r>
                                <w:rPr>
                                  <w:rFonts w:ascii="Cambria Math" w:hAnsi="Cambria Math"/>
                                  <w:color w:val="000000"/>
                                  <w:sz w:val="28"/>
                                  <w:szCs w:val="28"/>
                                </w:rPr>
                                <m:t>F</m:t>
                              </m:r>
                            </m:e>
                            <m:sub>
                              <m:r>
                                <w:rPr>
                                  <w:rFonts w:ascii="Cambria Math" w:hAnsi="Cambria Math"/>
                                  <w:color w:val="000000"/>
                                  <w:sz w:val="28"/>
                                  <w:szCs w:val="28"/>
                                </w:rPr>
                                <m:t>j</m:t>
                              </m:r>
                            </m:sub>
                          </m:sSub>
                        </m:den>
                      </m:f>
                    </m:den>
                  </m:f>
                </m:e>
              </m:d>
              <m:r>
                <w:rPr>
                  <w:rFonts w:ascii="Cambria Math" w:hAnsi="Cambria Math"/>
                  <w:color w:val="000000"/>
                  <w:sz w:val="28"/>
                  <w:szCs w:val="28"/>
                </w:rPr>
                <m:t>,#</m:t>
              </m:r>
              <m:d>
                <m:dPr>
                  <m:ctrlPr>
                    <w:rPr>
                      <w:rFonts w:ascii="Cambria Math" w:hAnsi="Cambria Math"/>
                      <w:i/>
                      <w:color w:val="000000"/>
                      <w:sz w:val="28"/>
                      <w:szCs w:val="28"/>
                    </w:rPr>
                  </m:ctrlPr>
                </m:dPr>
                <m:e>
                  <m:r>
                    <w:rPr>
                      <w:rFonts w:ascii="Cambria Math" w:hAnsi="Cambria Math"/>
                      <w:color w:val="000000"/>
                      <w:sz w:val="28"/>
                      <w:szCs w:val="28"/>
                    </w:rPr>
                    <m:t>2.8</m:t>
                  </m:r>
                </m:e>
              </m:d>
            </m:e>
          </m:eqArr>
        </m:oMath>
      </m:oMathPara>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де </w:t>
      </w:r>
      <w:r w:rsidRPr="00400BAB">
        <w:rPr>
          <w:color w:val="000000"/>
          <w:sz w:val="28"/>
          <w:szCs w:val="28"/>
        </w:rPr>
        <w:t>V</w:t>
      </w:r>
      <w:r w:rsidRPr="00400BAB">
        <w:rPr>
          <w:color w:val="000000"/>
          <w:sz w:val="28"/>
          <w:szCs w:val="28"/>
          <w:vertAlign w:val="subscript"/>
        </w:rPr>
        <w:t>ent</w:t>
      </w:r>
      <w:r w:rsidRPr="00400BAB">
        <w:rPr>
          <w:color w:val="000000"/>
          <w:sz w:val="28"/>
          <w:szCs w:val="28"/>
        </w:rPr>
        <w:t xml:space="preserve"> – </w:t>
      </w:r>
      <w:r w:rsidRPr="00400BAB">
        <w:rPr>
          <w:color w:val="000000"/>
          <w:sz w:val="28"/>
          <w:szCs w:val="28"/>
          <w:lang w:val="uk-UA"/>
        </w:rPr>
        <w:t>оціночна вартість (інвестиційна привабливість) підприємства;</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      </w:t>
      </w:r>
      <w:r w:rsidRPr="00400BAB">
        <w:rPr>
          <w:color w:val="000000"/>
          <w:sz w:val="28"/>
          <w:szCs w:val="28"/>
          <w:lang w:val="en-US"/>
        </w:rPr>
        <w:t>F</w:t>
      </w:r>
      <w:r w:rsidRPr="00400BAB">
        <w:rPr>
          <w:color w:val="000000"/>
          <w:sz w:val="28"/>
          <w:szCs w:val="28"/>
          <w:vertAlign w:val="subscript"/>
          <w:lang w:val="en-US"/>
        </w:rPr>
        <w:t>j</w:t>
      </w:r>
      <w:r w:rsidRPr="00400BAB">
        <w:rPr>
          <w:color w:val="000000"/>
          <w:sz w:val="28"/>
          <w:szCs w:val="28"/>
        </w:rPr>
        <w:t xml:space="preserve"> – </w:t>
      </w:r>
      <w:r w:rsidRPr="00400BAB">
        <w:rPr>
          <w:color w:val="000000"/>
          <w:sz w:val="28"/>
          <w:szCs w:val="28"/>
          <w:lang w:val="uk-UA"/>
        </w:rPr>
        <w:t>ключовий фактор впливу (обирається залежно від специфіки діяльності підприємства);</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 xml:space="preserve">Визначення даного показника </w:t>
      </w:r>
      <w:r w:rsidRPr="00400BAB">
        <w:rPr>
          <w:color w:val="000000"/>
          <w:sz w:val="28"/>
          <w:szCs w:val="28"/>
          <w:lang w:val="en-US"/>
        </w:rPr>
        <w:t>S</w:t>
      </w:r>
      <w:r w:rsidRPr="00400BAB">
        <w:rPr>
          <w:color w:val="000000"/>
          <w:sz w:val="28"/>
          <w:szCs w:val="28"/>
          <w:vertAlign w:val="subscript"/>
          <w:lang w:val="en-US"/>
        </w:rPr>
        <w:t>ia</w:t>
      </w:r>
      <w:r w:rsidRPr="00400BAB">
        <w:rPr>
          <w:color w:val="000000"/>
          <w:sz w:val="28"/>
          <w:szCs w:val="28"/>
          <w:lang w:val="uk-UA"/>
        </w:rPr>
        <w:t xml:space="preserve"> показує </w:t>
      </w:r>
      <w:r w:rsidRPr="00400BAB">
        <w:rPr>
          <w:color w:val="000000"/>
          <w:sz w:val="28"/>
          <w:szCs w:val="28"/>
        </w:rPr>
        <w:t>відсоткову зміну привабливості при зміні фактора на 1%.</w:t>
      </w:r>
      <w:r w:rsidRPr="00400BAB">
        <w:rPr>
          <w:color w:val="000000"/>
          <w:sz w:val="28"/>
          <w:szCs w:val="28"/>
          <w:lang w:val="uk-UA"/>
        </w:rPr>
        <w:t xml:space="preserve"> Якщо отриманий результат </w:t>
      </w:r>
      <w:r w:rsidRPr="00400BAB">
        <w:rPr>
          <w:color w:val="000000"/>
          <w:sz w:val="28"/>
          <w:szCs w:val="28"/>
          <w:lang w:val="en-US"/>
        </w:rPr>
        <w:t>S</w:t>
      </w:r>
      <w:r w:rsidRPr="00400BAB">
        <w:rPr>
          <w:color w:val="000000"/>
          <w:sz w:val="28"/>
          <w:szCs w:val="28"/>
          <w:vertAlign w:val="subscript"/>
          <w:lang w:val="en-US"/>
        </w:rPr>
        <w:t>ia</w:t>
      </w:r>
      <w:r w:rsidRPr="00400BAB">
        <w:rPr>
          <w:color w:val="000000"/>
          <w:sz w:val="28"/>
          <w:szCs w:val="28"/>
          <w:vertAlign w:val="subscript"/>
        </w:rPr>
        <w:t xml:space="preserve"> </w:t>
      </w:r>
      <w:r w:rsidRPr="00400BAB">
        <w:rPr>
          <w:color w:val="000000"/>
          <w:sz w:val="28"/>
          <w:szCs w:val="28"/>
        </w:rPr>
        <w:t>&gt; 1</w:t>
      </w:r>
      <w:r w:rsidRPr="00400BAB">
        <w:rPr>
          <w:color w:val="000000"/>
          <w:sz w:val="28"/>
          <w:szCs w:val="28"/>
          <w:lang w:val="uk-UA"/>
        </w:rPr>
        <w:t xml:space="preserve"> – </w:t>
      </w:r>
      <w:r w:rsidRPr="00400BAB">
        <w:rPr>
          <w:color w:val="000000"/>
          <w:sz w:val="28"/>
          <w:szCs w:val="28"/>
          <w:lang w:val="uk-UA"/>
        </w:rPr>
        <w:lastRenderedPageBreak/>
        <w:t xml:space="preserve">інвестиційна привабливість є високочутливою, відповідно ризики досить високими. Якщо отриманий результат </w:t>
      </w:r>
      <w:r w:rsidRPr="00400BAB">
        <w:rPr>
          <w:color w:val="000000"/>
          <w:sz w:val="28"/>
          <w:szCs w:val="28"/>
          <w:lang w:val="en-US"/>
        </w:rPr>
        <w:t>S</w:t>
      </w:r>
      <w:r w:rsidRPr="00400BAB">
        <w:rPr>
          <w:color w:val="000000"/>
          <w:sz w:val="28"/>
          <w:szCs w:val="28"/>
          <w:vertAlign w:val="subscript"/>
          <w:lang w:val="en-US"/>
        </w:rPr>
        <w:t>ia</w:t>
      </w:r>
      <w:r w:rsidRPr="00400BAB">
        <w:rPr>
          <w:color w:val="000000"/>
          <w:sz w:val="28"/>
          <w:szCs w:val="28"/>
          <w:vertAlign w:val="subscript"/>
        </w:rPr>
        <w:t xml:space="preserve"> </w:t>
      </w:r>
      <w:r w:rsidRPr="00400BAB">
        <w:rPr>
          <w:color w:val="000000"/>
          <w:sz w:val="28"/>
          <w:szCs w:val="28"/>
        </w:rPr>
        <w:t>&lt; 1</w:t>
      </w:r>
      <w:r w:rsidRPr="00400BAB">
        <w:rPr>
          <w:color w:val="000000"/>
          <w:sz w:val="28"/>
          <w:szCs w:val="28"/>
          <w:lang w:val="uk-UA"/>
        </w:rPr>
        <w:t xml:space="preserve"> –</w:t>
      </w:r>
      <w:r w:rsidRPr="00400BAB">
        <w:rPr>
          <w:color w:val="000000"/>
          <w:sz w:val="28"/>
          <w:szCs w:val="28"/>
        </w:rPr>
        <w:t xml:space="preserve"> </w:t>
      </w:r>
      <w:r w:rsidRPr="00400BAB">
        <w:rPr>
          <w:color w:val="000000"/>
          <w:sz w:val="28"/>
          <w:szCs w:val="28"/>
          <w:lang w:val="uk-UA"/>
        </w:rPr>
        <w:t>механізм привабливості є стійким, відповідно адаптивний.</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lang w:val="uk-UA"/>
        </w:rPr>
        <w:t xml:space="preserve">Наукова доцільність впровадження запропонованого математичного підходу обумовлена необхідністю подолання методологічного консерватизму, який притаманний більшості сучасних методик оцінювання інвестиційної привабливості. </w:t>
      </w:r>
      <w:r w:rsidRPr="00400BAB">
        <w:rPr>
          <w:color w:val="000000"/>
          <w:sz w:val="28"/>
          <w:szCs w:val="28"/>
        </w:rPr>
        <w:t>Основна перевага деагрегованої системи локальних показників полягає у забезпеченні максимальної прозорості аналітичного висновку. На відміну від інтегральних індексів, які мають властивість «поглинати» критичні відхилення окремих параметрів за рахунок позитивної динаміки інших, авторська система локальних детермінант дозволяє ідентифікувати специфічні точки деструкції інвестиційного потенціалу на ранніх стадіях. Це створює умови для формування прецизійного управлінського впливу, спрямованого на конкретний вузол економічного механізму, що потребує корекції, будь то швидкість оборотності капіталу чи ефективність використання амортизаційних фондів. Такий підхід трансформує роль аналітика з пасивного спостерігача агрегованих трендів у активного діагноста внутрішніх процесів формування вартості.</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Окремої уваги заслуговує наукова цінність блоку функціональних залежностей, який вводить у дисертаційне дослідження категорію нелінійної віддачі від інвестицій. Традиційні методики часто ігнорують складну природу взаємозв'язків між капітальними витратами та операційною ефективністю, розглядаючи їх як паралельні процеси. Авторське напрацювання дозволяє математично довести, що інвестиції у технологічне переозброєння мають мультиплікативний ефект, який проявляється через логарифмічну або квадратичну функцію росту оборотності активів. Це дозволяє обґрунтувати інвестору логіку «тимчасового зниження прибутковості» заради «експоненціального зростання стійкості», що є критично важливим для великих агрохолдингів у періоди масштабної </w:t>
      </w:r>
      <w:r w:rsidRPr="00400BAB">
        <w:rPr>
          <w:color w:val="000000"/>
          <w:sz w:val="28"/>
          <w:szCs w:val="28"/>
        </w:rPr>
        <w:lastRenderedPageBreak/>
        <w:t>інфраструктурної перебудови. Встановлення таких залежностей перетворює математичний апарат на інструмент стратегічного діалогу між менеджментом підприємства та потенційним інвестором, оскільки надає кількісні докази майбутньої ефективності поточних витрат.</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Впровадження моделі чутливості та еластичності інвестиційної привабливості стає ключовим фактором забезпечення предиктивності економічного механізму в умовах </w:t>
      </w:r>
      <w:r w:rsidRPr="00400BAB">
        <w:rPr>
          <w:color w:val="000000"/>
          <w:sz w:val="28"/>
          <w:szCs w:val="28"/>
          <w:lang w:val="uk-UA"/>
        </w:rPr>
        <w:t>швидких змін</w:t>
      </w:r>
      <w:r w:rsidRPr="00400BAB">
        <w:rPr>
          <w:color w:val="000000"/>
          <w:sz w:val="28"/>
          <w:szCs w:val="28"/>
        </w:rPr>
        <w:t>. В аграрному секторі, де зовнішні шоки мають кумулятивний характер, здатність кількісно оцінити відгук системи на зміну вартості логістики чи коливання цін на світових ринках є безальтернативною умовою виживання. Запропонований коефіцієнт</w:t>
      </w:r>
      <w:r w:rsidRPr="00400BAB">
        <w:rPr>
          <w:rStyle w:val="apple-converted-space"/>
          <w:rFonts w:eastAsiaTheme="majorEastAsia"/>
          <w:color w:val="000000"/>
          <w:lang w:val="uk-UA"/>
        </w:rPr>
        <w:t xml:space="preserve"> </w:t>
      </w:r>
      <w:r w:rsidRPr="00400BAB">
        <w:rPr>
          <w:rStyle w:val="apple-converted-space"/>
          <w:rFonts w:eastAsiaTheme="majorEastAsia"/>
          <w:color w:val="000000"/>
        </w:rPr>
        <w:t>S</w:t>
      </w:r>
      <w:r w:rsidRPr="00400BAB">
        <w:rPr>
          <w:rStyle w:val="apple-converted-space"/>
          <w:rFonts w:eastAsiaTheme="majorEastAsia"/>
          <w:color w:val="000000"/>
          <w:vertAlign w:val="subscript"/>
        </w:rPr>
        <w:t>ia</w:t>
      </w:r>
      <w:r w:rsidRPr="00400BAB">
        <w:rPr>
          <w:rStyle w:val="apple-converted-space"/>
          <w:rFonts w:eastAsiaTheme="majorEastAsia"/>
          <w:color w:val="000000"/>
          <w:lang w:val="uk-UA"/>
        </w:rPr>
        <w:t xml:space="preserve"> </w:t>
      </w:r>
      <w:r w:rsidRPr="00400BAB">
        <w:rPr>
          <w:color w:val="000000"/>
          <w:sz w:val="28"/>
          <w:szCs w:val="28"/>
        </w:rPr>
        <w:t>виступає медіатором між макроекономічним середовищем та мікроекономічними показниками підприємства, дозволяючи проводити безперервне стрес-тестування інвестиційної позиції. Це надає підходу рис динамічного моделювання, що суттєво відрізняє його від статичних зрізів, які домінували в науковій літературі дотепер. Таким чином, підприємство отримує не просто оцінку, а динамічний алгоритм адаптації інвестиційної стратегії до мінливих умов ринку.</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Підсумовуючи результати теоретико-математичного обґрунтування авторського підходу, слід </w:t>
      </w:r>
      <w:r w:rsidRPr="00400BAB">
        <w:rPr>
          <w:color w:val="000000"/>
          <w:sz w:val="28"/>
          <w:szCs w:val="28"/>
          <w:lang w:val="uk-UA"/>
        </w:rPr>
        <w:t>зауважити</w:t>
      </w:r>
      <w:r w:rsidRPr="00400BAB">
        <w:rPr>
          <w:color w:val="000000"/>
          <w:sz w:val="28"/>
          <w:szCs w:val="28"/>
        </w:rPr>
        <w:t xml:space="preserve">, що він формує принципово нову методологічну базу для ідентифікації економічних механізмів формування інвестиційної привабливості. Перехід від описових методів до функціонально-параметричного моделювання дозволяє ідентифікувати не лише наслідки інвестиційної діяльності, а й її глибинні причинно-наслідкові зв’язки. Використання деагрегованої системи показників у поєднанні з аналізом еластичності створює синергетичний ефект, забезпечуючи високу точність прогнозів та надійність аналітичних висновків. Це дозволяє стверджувати про завершення формування аналітичного етапу дослідження, результати якого стають фундаментом для розробки практичних рекомендацій щодо зміцнення інвестиційного потенціалу вітчизняних сільськогосподарських підприємств у наступних розділах роботи. </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lastRenderedPageBreak/>
        <w:t>Для емпіричного підтвердження дієвості розробленого математичного інструментарію проведено апробацію авторського підходу на базі фінансово-господарської звітності Kernel, МХП та Astarta-Kyiv. Представлені нижче розрахунки демонструють перехід від статичного опису до динамічного моделювання інвестиційної привабливості, що дозволяє верифікувати теоретичні положення дисертаційного дослідження.</w:t>
      </w:r>
      <w:r w:rsidRPr="00400BAB">
        <w:rPr>
          <w:color w:val="000000"/>
          <w:sz w:val="28"/>
          <w:szCs w:val="28"/>
          <w:lang w:val="uk-UA"/>
        </w:rPr>
        <w:t xml:space="preserve"> Застосування системи локальних детермінант дозволило ідентифікувати приховані закономірності формування інвестиційного потенціалу, які залишалися поза увагою при використанні традиційних інтегральних методів, що були обраховані в попередніх розділах дослідження.</w:t>
      </w:r>
    </w:p>
    <w:p w:rsidR="00C32176" w:rsidRDefault="00B37265" w:rsidP="00C32176">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Першим етапом апробації став розрахунок коефіцієнтів самозабезпечення та інвестиційної ємності, що формують фундамент ресурсної автоно</w:t>
      </w:r>
      <w:r w:rsidR="00C32176">
        <w:rPr>
          <w:color w:val="000000"/>
          <w:sz w:val="28"/>
          <w:szCs w:val="28"/>
          <w:lang w:val="uk-UA"/>
        </w:rPr>
        <w:t xml:space="preserve">мії підприємства (табл. 2.9). </w:t>
      </w:r>
    </w:p>
    <w:p w:rsidR="00B37265" w:rsidRPr="00212E70" w:rsidRDefault="00B37265" w:rsidP="00C32176">
      <w:pPr>
        <w:pStyle w:val="a5"/>
        <w:spacing w:before="0" w:beforeAutospacing="0" w:after="0" w:afterAutospacing="0" w:line="360" w:lineRule="auto"/>
        <w:ind w:firstLine="709"/>
        <w:jc w:val="right"/>
        <w:rPr>
          <w:color w:val="000000"/>
          <w:sz w:val="28"/>
          <w:szCs w:val="28"/>
          <w:lang w:val="uk-UA"/>
        </w:rPr>
      </w:pPr>
      <w:r w:rsidRPr="00212E70">
        <w:rPr>
          <w:color w:val="000000"/>
          <w:sz w:val="28"/>
          <w:szCs w:val="28"/>
          <w:lang w:val="uk-UA"/>
        </w:rPr>
        <w:t>Таблиця 2.9</w:t>
      </w:r>
    </w:p>
    <w:p w:rsidR="00B37265" w:rsidRPr="00400BAB" w:rsidRDefault="00B37265" w:rsidP="00400BAB">
      <w:pPr>
        <w:pStyle w:val="a5"/>
        <w:spacing w:before="0" w:beforeAutospacing="0" w:after="0" w:afterAutospacing="0" w:line="360" w:lineRule="auto"/>
        <w:jc w:val="center"/>
        <w:rPr>
          <w:b/>
          <w:bCs/>
          <w:color w:val="000000"/>
          <w:sz w:val="28"/>
          <w:szCs w:val="28"/>
          <w:lang w:val="uk-UA"/>
        </w:rPr>
      </w:pPr>
      <w:r w:rsidRPr="00400BAB">
        <w:rPr>
          <w:b/>
          <w:bCs/>
          <w:color w:val="000000"/>
          <w:sz w:val="28"/>
          <w:szCs w:val="28"/>
          <w:lang w:val="uk-UA"/>
        </w:rPr>
        <w:t>Розрахунок локальних показників інвестиційного самозабезпечення (</w:t>
      </w:r>
      <w:r w:rsidRPr="00400BAB">
        <w:rPr>
          <w:b/>
          <w:bCs/>
          <w:color w:val="000000"/>
          <w:sz w:val="28"/>
          <w:szCs w:val="28"/>
          <w:lang w:val="en-US"/>
        </w:rPr>
        <w:t>K</w:t>
      </w:r>
      <w:r w:rsidRPr="00400BAB">
        <w:rPr>
          <w:b/>
          <w:bCs/>
          <w:color w:val="000000"/>
          <w:sz w:val="28"/>
          <w:szCs w:val="28"/>
          <w:vertAlign w:val="subscript"/>
          <w:lang w:val="en-US"/>
        </w:rPr>
        <w:t>is</w:t>
      </w:r>
      <w:r w:rsidRPr="00400BAB">
        <w:rPr>
          <w:b/>
          <w:bCs/>
          <w:color w:val="000000"/>
          <w:sz w:val="28"/>
          <w:szCs w:val="28"/>
          <w:lang w:val="uk-UA"/>
        </w:rPr>
        <w:t>) та інтенсивності (</w:t>
      </w:r>
      <w:r w:rsidRPr="00400BAB">
        <w:rPr>
          <w:b/>
          <w:bCs/>
          <w:color w:val="000000"/>
          <w:sz w:val="28"/>
          <w:szCs w:val="28"/>
        </w:rPr>
        <w:t>I</w:t>
      </w:r>
      <w:r w:rsidRPr="00400BAB">
        <w:rPr>
          <w:b/>
          <w:bCs/>
          <w:color w:val="000000"/>
          <w:sz w:val="28"/>
          <w:szCs w:val="28"/>
          <w:vertAlign w:val="subscript"/>
        </w:rPr>
        <w:t>c</w:t>
      </w:r>
      <w:r w:rsidRPr="00400BAB">
        <w:rPr>
          <w:b/>
          <w:bCs/>
          <w:color w:val="000000"/>
          <w:sz w:val="28"/>
          <w:szCs w:val="28"/>
          <w:vertAlign w:val="subscript"/>
          <w:lang w:val="uk-UA"/>
        </w:rPr>
        <w:t>і</w:t>
      </w:r>
      <w:r w:rsidRPr="00400BAB">
        <w:rPr>
          <w:b/>
          <w:bCs/>
          <w:color w:val="000000"/>
          <w:sz w:val="28"/>
          <w:szCs w:val="28"/>
          <w:lang w:val="uk-UA"/>
        </w:rPr>
        <w:t xml:space="preserve">) </w:t>
      </w:r>
    </w:p>
    <w:tbl>
      <w:tblPr>
        <w:tblW w:w="906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920"/>
        <w:gridCol w:w="850"/>
        <w:gridCol w:w="920"/>
        <w:gridCol w:w="1021"/>
        <w:gridCol w:w="1020"/>
        <w:gridCol w:w="873"/>
        <w:gridCol w:w="1463"/>
      </w:tblGrid>
      <w:tr w:rsidR="00B37265" w:rsidRPr="00400BAB" w:rsidTr="00B37265">
        <w:trPr>
          <w:cantSplit/>
          <w:trHeight w:val="315"/>
          <w:tblHeader/>
        </w:trPr>
        <w:tc>
          <w:tcPr>
            <w:tcW w:w="0" w:type="auto"/>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Підприємство / Показник</w:t>
            </w:r>
          </w:p>
        </w:tc>
        <w:tc>
          <w:tcPr>
            <w:tcW w:w="826" w:type="dxa"/>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2021</w:t>
            </w:r>
          </w:p>
        </w:tc>
        <w:tc>
          <w:tcPr>
            <w:tcW w:w="894" w:type="dxa"/>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2022</w:t>
            </w:r>
          </w:p>
        </w:tc>
        <w:tc>
          <w:tcPr>
            <w:tcW w:w="992" w:type="dxa"/>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2023</w:t>
            </w:r>
          </w:p>
        </w:tc>
        <w:tc>
          <w:tcPr>
            <w:tcW w:w="991" w:type="dxa"/>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2024</w:t>
            </w:r>
          </w:p>
        </w:tc>
        <w:tc>
          <w:tcPr>
            <w:tcW w:w="848" w:type="dxa"/>
            <w:tcMar>
              <w:top w:w="30" w:type="dxa"/>
              <w:left w:w="45" w:type="dxa"/>
              <w:bottom w:w="30" w:type="dxa"/>
              <w:right w:w="45"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2025</w:t>
            </w:r>
          </w:p>
        </w:tc>
        <w:tc>
          <w:tcPr>
            <w:tcW w:w="1421" w:type="dxa"/>
            <w:tcMar>
              <w:top w:w="30" w:type="dxa"/>
              <w:left w:w="0" w:type="dxa"/>
              <w:bottom w:w="30" w:type="dxa"/>
              <w:right w:w="0" w:type="dxa"/>
            </w:tcMar>
            <w:vAlign w:val="center"/>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Середнє значення за період</w:t>
            </w:r>
          </w:p>
        </w:tc>
      </w:tr>
      <w:tr w:rsidR="00B37265" w:rsidRPr="00400BAB" w:rsidTr="00B37265">
        <w:trPr>
          <w:cantSplit/>
          <w:trHeight w:val="315"/>
        </w:trPr>
        <w:tc>
          <w:tcPr>
            <w:tcW w:w="9067" w:type="dxa"/>
            <w:gridSpan w:val="7"/>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Kernel</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Коеф. самозабезпечення (K</w:t>
            </w:r>
            <w:r w:rsidRPr="00400BAB">
              <w:rPr>
                <w:rFonts w:ascii="Times New Roman" w:hAnsi="Times New Roman"/>
                <w:color w:val="000000" w:themeColor="text1"/>
                <w:vertAlign w:val="subscript"/>
              </w:rPr>
              <w:t>is</w:t>
            </w:r>
            <w:r w:rsidRPr="00400BAB">
              <w:rPr>
                <w:rFonts w:ascii="Times New Roman" w:hAnsi="Times New Roman"/>
                <w:color w:val="000000" w:themeColor="text1"/>
              </w:rPr>
              <w:t>)</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1,42</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0,45</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0,88</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1,05</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1,18</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0,996</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Індекс інтенсивності (I</w:t>
            </w:r>
            <w:r w:rsidRPr="00400BAB">
              <w:rPr>
                <w:rFonts w:ascii="Times New Roman" w:hAnsi="Times New Roman"/>
                <w:color w:val="000000" w:themeColor="text1"/>
                <w:vertAlign w:val="subscript"/>
              </w:rPr>
              <w:t>ci</w:t>
            </w:r>
            <w:r w:rsidRPr="00400BAB">
              <w:rPr>
                <w:rFonts w:ascii="Times New Roman" w:hAnsi="Times New Roman"/>
                <w:color w:val="000000" w:themeColor="text1"/>
              </w:rPr>
              <w:t>)</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0,15</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0,08</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0,12</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0,14</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0,15</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0,128</w:t>
            </w:r>
          </w:p>
        </w:tc>
      </w:tr>
      <w:tr w:rsidR="00B37265" w:rsidRPr="00400BAB" w:rsidTr="00B37265">
        <w:trPr>
          <w:cantSplit/>
          <w:trHeight w:val="315"/>
        </w:trPr>
        <w:tc>
          <w:tcPr>
            <w:tcW w:w="9067" w:type="dxa"/>
            <w:gridSpan w:val="7"/>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МХП</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Коеф. самозабезпечення (K</w:t>
            </w:r>
            <w:r w:rsidRPr="00400BAB">
              <w:rPr>
                <w:rFonts w:ascii="Times New Roman" w:hAnsi="Times New Roman"/>
                <w:color w:val="000000" w:themeColor="text1"/>
                <w:vertAlign w:val="subscript"/>
              </w:rPr>
              <w:t>is</w:t>
            </w:r>
            <w:r w:rsidRPr="00400BAB">
              <w:rPr>
                <w:rFonts w:ascii="Times New Roman" w:hAnsi="Times New Roman"/>
                <w:color w:val="000000" w:themeColor="text1"/>
              </w:rPr>
              <w:t>)</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1,25</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0,92</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1,15</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1,22</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1,3</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1,168</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Індекс інтенсивності (I</w:t>
            </w:r>
            <w:r w:rsidRPr="00400BAB">
              <w:rPr>
                <w:rFonts w:ascii="Times New Roman" w:hAnsi="Times New Roman"/>
                <w:color w:val="000000" w:themeColor="text1"/>
                <w:vertAlign w:val="subscript"/>
              </w:rPr>
              <w:t>ci</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0,18</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0,14</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0,16</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0,19</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0,21</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0,176</w:t>
            </w:r>
          </w:p>
        </w:tc>
      </w:tr>
      <w:tr w:rsidR="00B37265" w:rsidRPr="00400BAB" w:rsidTr="00B37265">
        <w:trPr>
          <w:cantSplit/>
          <w:trHeight w:val="315"/>
        </w:trPr>
        <w:tc>
          <w:tcPr>
            <w:tcW w:w="9067" w:type="dxa"/>
            <w:gridSpan w:val="7"/>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Astarta-Kyiv</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Коеф. самозабезпечення (K</w:t>
            </w:r>
            <w:r w:rsidRPr="00400BAB">
              <w:rPr>
                <w:rFonts w:ascii="Times New Roman" w:hAnsi="Times New Roman"/>
                <w:color w:val="000000" w:themeColor="text1"/>
                <w:vertAlign w:val="subscript"/>
              </w:rPr>
              <w:t>is</w:t>
            </w:r>
            <w:r w:rsidRPr="00400BAB">
              <w:rPr>
                <w:rFonts w:ascii="Times New Roman" w:hAnsi="Times New Roman"/>
                <w:color w:val="000000" w:themeColor="text1"/>
              </w:rPr>
              <w:t>)</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1,65</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1,12</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1,45</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1,55</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1,62</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1,478</w:t>
            </w:r>
          </w:p>
        </w:tc>
      </w:tr>
      <w:tr w:rsidR="00B37265" w:rsidRPr="00400BAB" w:rsidTr="00B37265">
        <w:trPr>
          <w:cantSplit/>
          <w:trHeight w:val="315"/>
        </w:trPr>
        <w:tc>
          <w:tcPr>
            <w:tcW w:w="0" w:type="auto"/>
            <w:tcMar>
              <w:top w:w="30" w:type="dxa"/>
              <w:left w:w="45" w:type="dxa"/>
              <w:bottom w:w="30" w:type="dxa"/>
              <w:right w:w="45" w:type="dxa"/>
            </w:tcMar>
            <w:vAlign w:val="bottom"/>
            <w:hideMark/>
          </w:tcPr>
          <w:p w:rsidR="00B37265" w:rsidRPr="00400BAB" w:rsidRDefault="00B37265" w:rsidP="00C94451">
            <w:pPr>
              <w:spacing w:after="0" w:line="240" w:lineRule="auto"/>
              <w:rPr>
                <w:rFonts w:ascii="Times New Roman" w:hAnsi="Times New Roman"/>
                <w:color w:val="000000" w:themeColor="text1"/>
              </w:rPr>
            </w:pPr>
            <w:r w:rsidRPr="00400BAB">
              <w:rPr>
                <w:rFonts w:ascii="Times New Roman" w:hAnsi="Times New Roman"/>
                <w:color w:val="000000" w:themeColor="text1"/>
              </w:rPr>
              <w:t>Індекс інтенсивності (I</w:t>
            </w:r>
            <w:r w:rsidRPr="00400BAB">
              <w:rPr>
                <w:rFonts w:ascii="Times New Roman" w:hAnsi="Times New Roman"/>
                <w:color w:val="000000" w:themeColor="text1"/>
                <w:vertAlign w:val="subscript"/>
              </w:rPr>
              <w:t>ci</w:t>
            </w:r>
          </w:p>
        </w:tc>
        <w:tc>
          <w:tcPr>
            <w:tcW w:w="826"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0,22</w:t>
            </w:r>
          </w:p>
        </w:tc>
        <w:tc>
          <w:tcPr>
            <w:tcW w:w="894"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0,18</w:t>
            </w:r>
          </w:p>
        </w:tc>
        <w:tc>
          <w:tcPr>
            <w:tcW w:w="992"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0,24</w:t>
            </w:r>
          </w:p>
        </w:tc>
        <w:tc>
          <w:tcPr>
            <w:tcW w:w="99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0,26</w:t>
            </w:r>
          </w:p>
        </w:tc>
        <w:tc>
          <w:tcPr>
            <w:tcW w:w="848"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0,28</w:t>
            </w:r>
          </w:p>
        </w:tc>
        <w:tc>
          <w:tcPr>
            <w:tcW w:w="1421" w:type="dxa"/>
            <w:tcMar>
              <w:top w:w="30" w:type="dxa"/>
              <w:left w:w="45" w:type="dxa"/>
              <w:bottom w:w="30" w:type="dxa"/>
              <w:right w:w="45" w:type="dxa"/>
            </w:tcMar>
            <w:vAlign w:val="bottom"/>
            <w:hideMark/>
          </w:tcPr>
          <w:p w:rsidR="00B37265" w:rsidRPr="00400BAB" w:rsidRDefault="00B37265" w:rsidP="00C94451">
            <w:pPr>
              <w:spacing w:after="0" w:line="240" w:lineRule="auto"/>
              <w:jc w:val="center"/>
              <w:rPr>
                <w:rFonts w:ascii="Times New Roman" w:hAnsi="Times New Roman"/>
                <w:color w:val="000000" w:themeColor="text1"/>
              </w:rPr>
            </w:pPr>
            <w:r w:rsidRPr="00400BAB">
              <w:rPr>
                <w:rFonts w:ascii="Times New Roman" w:hAnsi="Times New Roman"/>
                <w:color w:val="000000" w:themeColor="text1"/>
              </w:rPr>
              <w:t>0,236</w:t>
            </w:r>
          </w:p>
        </w:tc>
      </w:tr>
    </w:tbl>
    <w:p w:rsidR="00B37265" w:rsidRPr="00400BAB" w:rsidRDefault="00B37265" w:rsidP="00400BAB">
      <w:pPr>
        <w:pStyle w:val="a5"/>
        <w:spacing w:before="0" w:beforeAutospacing="0" w:after="0" w:afterAutospacing="0" w:line="360" w:lineRule="auto"/>
        <w:ind w:firstLine="709"/>
        <w:rPr>
          <w:i/>
          <w:iCs/>
          <w:color w:val="000000"/>
          <w:lang w:val="uk-UA"/>
        </w:rPr>
      </w:pPr>
      <w:r w:rsidRPr="00400BAB">
        <w:rPr>
          <w:i/>
          <w:iCs/>
          <w:color w:val="000000"/>
          <w:lang w:val="uk-UA"/>
        </w:rPr>
        <w:t>Джерело: обраховано автором</w:t>
      </w:r>
    </w:p>
    <w:p w:rsidR="00BE5A3A" w:rsidRPr="00400BAB" w:rsidRDefault="00BE5A3A" w:rsidP="00BE5A3A">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В результаті обрахунків було визначено, що найбільш стійким економічним механізмом володіє</w:t>
      </w:r>
      <w:r w:rsidRPr="00400BAB">
        <w:rPr>
          <w:rStyle w:val="apple-converted-space"/>
          <w:rFonts w:eastAsiaTheme="majorEastAsia"/>
          <w:color w:val="000000"/>
          <w:lang w:val="uk-UA"/>
        </w:rPr>
        <w:t xml:space="preserve"> </w:t>
      </w:r>
      <w:r w:rsidRPr="00400BAB">
        <w:rPr>
          <w:color w:val="000000"/>
          <w:sz w:val="28"/>
          <w:szCs w:val="28"/>
        </w:rPr>
        <w:t>Astarta</w:t>
      </w:r>
      <w:r w:rsidRPr="00400BAB">
        <w:rPr>
          <w:color w:val="000000"/>
          <w:sz w:val="28"/>
          <w:szCs w:val="28"/>
          <w:lang w:val="uk-UA"/>
        </w:rPr>
        <w:t>-</w:t>
      </w:r>
      <w:r w:rsidRPr="00400BAB">
        <w:rPr>
          <w:color w:val="000000"/>
          <w:sz w:val="28"/>
          <w:szCs w:val="28"/>
        </w:rPr>
        <w:t>Kyiv</w:t>
      </w:r>
      <w:r w:rsidRPr="00400BAB">
        <w:rPr>
          <w:color w:val="000000"/>
          <w:sz w:val="28"/>
          <w:szCs w:val="28"/>
          <w:lang w:val="uk-UA"/>
        </w:rPr>
        <w:t>, де показник</w:t>
      </w:r>
      <w:r w:rsidRPr="00400BAB">
        <w:rPr>
          <w:rStyle w:val="apple-converted-space"/>
          <w:rFonts w:eastAsiaTheme="majorEastAsia"/>
          <w:color w:val="000000"/>
          <w:lang w:val="uk-UA"/>
        </w:rPr>
        <w:t xml:space="preserve"> </w:t>
      </w:r>
      <w:r w:rsidRPr="00400BAB">
        <w:rPr>
          <w:rStyle w:val="apple-converted-space"/>
          <w:rFonts w:eastAsiaTheme="majorEastAsia"/>
          <w:color w:val="000000"/>
          <w:lang w:val="en-US"/>
        </w:rPr>
        <w:t>K</w:t>
      </w:r>
      <w:r w:rsidRPr="00400BAB">
        <w:rPr>
          <w:rStyle w:val="apple-converted-space"/>
          <w:rFonts w:eastAsiaTheme="majorEastAsia"/>
          <w:color w:val="000000"/>
          <w:vertAlign w:val="subscript"/>
          <w:lang w:val="en-US"/>
        </w:rPr>
        <w:t>is</w:t>
      </w:r>
      <w:r w:rsidRPr="00400BAB">
        <w:rPr>
          <w:rStyle w:val="apple-converted-space"/>
          <w:rFonts w:eastAsiaTheme="majorEastAsia"/>
          <w:color w:val="000000"/>
          <w:lang w:val="uk-UA"/>
        </w:rPr>
        <w:t xml:space="preserve"> </w:t>
      </w:r>
      <w:r w:rsidRPr="00400BAB">
        <w:rPr>
          <w:color w:val="000000"/>
          <w:sz w:val="28"/>
          <w:szCs w:val="28"/>
          <w:lang w:val="uk-UA"/>
        </w:rPr>
        <w:t xml:space="preserve">не опускався нижче одиниці навіть у піковий кризовий рік (1,12 у 2022 р.). </w:t>
      </w:r>
    </w:p>
    <w:p w:rsidR="00B37265"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lastRenderedPageBreak/>
        <w:t>Це математично доводить вищу адаптивність підприємства до зовнішніх шоків за рахунок внутрішніх резервів. Натомість для</w:t>
      </w:r>
      <w:r w:rsidRPr="00400BAB">
        <w:rPr>
          <w:rStyle w:val="apple-converted-space"/>
          <w:rFonts w:eastAsiaTheme="majorEastAsia"/>
          <w:color w:val="000000"/>
          <w:lang w:val="uk-UA"/>
        </w:rPr>
        <w:t xml:space="preserve"> К</w:t>
      </w:r>
      <w:r w:rsidRPr="00400BAB">
        <w:rPr>
          <w:color w:val="000000"/>
          <w:sz w:val="28"/>
          <w:szCs w:val="28"/>
        </w:rPr>
        <w:t>ernel</w:t>
      </w:r>
      <w:r w:rsidRPr="00400BAB">
        <w:rPr>
          <w:b/>
          <w:bCs/>
          <w:color w:val="000000"/>
          <w:sz w:val="28"/>
          <w:szCs w:val="28"/>
          <w:lang w:val="uk-UA"/>
        </w:rPr>
        <w:t xml:space="preserve"> </w:t>
      </w:r>
      <w:r w:rsidRPr="00400BAB">
        <w:rPr>
          <w:color w:val="000000"/>
          <w:sz w:val="28"/>
          <w:szCs w:val="28"/>
        </w:rPr>
        <w:t>ідентиф</w:t>
      </w:r>
      <w:r w:rsidR="00C32176">
        <w:rPr>
          <w:color w:val="000000"/>
          <w:sz w:val="28"/>
          <w:szCs w:val="28"/>
        </w:rPr>
        <w:t>іковано критичний розрив у 2022</w:t>
      </w:r>
      <w:r w:rsidR="00C32176">
        <w:rPr>
          <w:color w:val="000000"/>
          <w:sz w:val="28"/>
          <w:szCs w:val="28"/>
          <w:lang w:val="uk-UA"/>
        </w:rPr>
        <w:t>-</w:t>
      </w:r>
      <w:r w:rsidRPr="00400BAB">
        <w:rPr>
          <w:color w:val="000000"/>
          <w:sz w:val="28"/>
          <w:szCs w:val="28"/>
        </w:rPr>
        <w:t>2023 рр. (</w:t>
      </w:r>
      <w:r w:rsidRPr="00400BAB">
        <w:rPr>
          <w:rStyle w:val="apple-converted-space"/>
          <w:rFonts w:eastAsiaTheme="majorEastAsia"/>
          <w:color w:val="000000"/>
        </w:rPr>
        <w:t>K</w:t>
      </w:r>
      <w:r w:rsidRPr="00400BAB">
        <w:rPr>
          <w:rStyle w:val="apple-converted-space"/>
          <w:rFonts w:eastAsiaTheme="majorEastAsia"/>
          <w:color w:val="000000"/>
          <w:vertAlign w:val="subscript"/>
        </w:rPr>
        <w:t>is</w:t>
      </w:r>
      <w:r w:rsidRPr="00400BAB">
        <w:rPr>
          <w:rStyle w:val="apple-converted-space"/>
          <w:rFonts w:eastAsiaTheme="majorEastAsia"/>
          <w:color w:val="000000"/>
        </w:rPr>
        <w:t>&lt;1</w:t>
      </w:r>
      <w:r w:rsidRPr="00400BAB">
        <w:rPr>
          <w:color w:val="000000"/>
          <w:sz w:val="28"/>
          <w:szCs w:val="28"/>
        </w:rPr>
        <w:t xml:space="preserve">), що пояснює необхідність активного залучення зовнішнього капіталу для підтримки інвестиційного циклу. Наступним кроком реалізації підходу є моделювання функціональних залежностей, що дозволяє встановити зв'язок між інвестиціями в модернізацію </w:t>
      </w:r>
      <w:r w:rsidRPr="00400BAB">
        <w:rPr>
          <w:color w:val="000000"/>
          <w:sz w:val="28"/>
          <w:szCs w:val="28"/>
          <w:lang w:val="uk-UA"/>
        </w:rPr>
        <w:t>та ІТ і управління щодо</w:t>
      </w:r>
      <w:r w:rsidRPr="00400BAB">
        <w:rPr>
          <w:color w:val="000000"/>
          <w:sz w:val="28"/>
          <w:szCs w:val="28"/>
        </w:rPr>
        <w:t xml:space="preserve"> швидк</w:t>
      </w:r>
      <w:r w:rsidRPr="00400BAB">
        <w:rPr>
          <w:color w:val="000000"/>
          <w:sz w:val="28"/>
          <w:szCs w:val="28"/>
          <w:lang w:val="uk-UA"/>
        </w:rPr>
        <w:t>о</w:t>
      </w:r>
      <w:r w:rsidRPr="00400BAB">
        <w:rPr>
          <w:color w:val="000000"/>
          <w:sz w:val="28"/>
          <w:szCs w:val="28"/>
        </w:rPr>
        <w:t>ст</w:t>
      </w:r>
      <w:r w:rsidRPr="00400BAB">
        <w:rPr>
          <w:color w:val="000000"/>
          <w:sz w:val="28"/>
          <w:szCs w:val="28"/>
          <w:lang w:val="uk-UA"/>
        </w:rPr>
        <w:t>і</w:t>
      </w:r>
      <w:r w:rsidRPr="00400BAB">
        <w:rPr>
          <w:color w:val="000000"/>
          <w:sz w:val="28"/>
          <w:szCs w:val="28"/>
        </w:rPr>
        <w:t xml:space="preserve"> оборотності капіталу (</w:t>
      </w:r>
      <w:r w:rsidRPr="00400BAB">
        <w:rPr>
          <w:color w:val="000000"/>
          <w:sz w:val="28"/>
          <w:szCs w:val="28"/>
          <w:lang w:val="uk-UA"/>
        </w:rPr>
        <w:t>рис. Д.1 (додаток Д)-2.20</w:t>
      </w:r>
      <w:r w:rsidRPr="00400BAB">
        <w:rPr>
          <w:color w:val="000000"/>
          <w:sz w:val="28"/>
          <w:szCs w:val="28"/>
        </w:rPr>
        <w:t>).</w:t>
      </w:r>
    </w:p>
    <w:p w:rsidR="00BE5A3A" w:rsidRPr="009D5DD0" w:rsidRDefault="00BE5A3A" w:rsidP="00BE5A3A">
      <w:pPr>
        <w:pStyle w:val="a5"/>
        <w:spacing w:before="0" w:beforeAutospacing="0" w:after="0" w:afterAutospacing="0" w:line="360" w:lineRule="auto"/>
        <w:ind w:firstLine="709"/>
        <w:jc w:val="both"/>
        <w:rPr>
          <w:color w:val="000000"/>
          <w:sz w:val="28"/>
          <w:szCs w:val="28"/>
          <w:lang w:val="uk-UA"/>
        </w:rPr>
      </w:pPr>
      <w:r w:rsidRPr="009D5DD0">
        <w:rPr>
          <w:color w:val="000000"/>
          <w:sz w:val="28"/>
          <w:szCs w:val="28"/>
          <w:lang w:val="uk-UA"/>
        </w:rPr>
        <w:t>Розрахований індекс інтенсивності (</w:t>
      </w:r>
      <w:r w:rsidRPr="00400BAB">
        <w:rPr>
          <w:color w:val="000000"/>
          <w:sz w:val="28"/>
          <w:szCs w:val="28"/>
        </w:rPr>
        <w:t>I</w:t>
      </w:r>
      <w:r w:rsidRPr="00400BAB">
        <w:rPr>
          <w:color w:val="000000"/>
          <w:sz w:val="28"/>
          <w:szCs w:val="28"/>
          <w:vertAlign w:val="subscript"/>
        </w:rPr>
        <w:t>ci</w:t>
      </w:r>
      <w:r w:rsidRPr="009D5DD0">
        <w:rPr>
          <w:color w:val="000000"/>
          <w:sz w:val="28"/>
          <w:szCs w:val="28"/>
          <w:lang w:val="uk-UA"/>
        </w:rPr>
        <w:t xml:space="preserve">) демонструє, що кожна одиниця капіталу в МХП та </w:t>
      </w:r>
      <w:r w:rsidRPr="00400BAB">
        <w:rPr>
          <w:color w:val="000000"/>
          <w:sz w:val="28"/>
          <w:szCs w:val="28"/>
        </w:rPr>
        <w:t>Astarta</w:t>
      </w:r>
      <w:r w:rsidRPr="009D5DD0">
        <w:rPr>
          <w:color w:val="000000"/>
          <w:sz w:val="28"/>
          <w:szCs w:val="28"/>
          <w:lang w:val="uk-UA"/>
        </w:rPr>
        <w:t>-</w:t>
      </w:r>
      <w:r w:rsidRPr="00400BAB">
        <w:rPr>
          <w:color w:val="000000"/>
          <w:sz w:val="28"/>
          <w:szCs w:val="28"/>
        </w:rPr>
        <w:t>Kyiv</w:t>
      </w:r>
      <w:r w:rsidRPr="009D5DD0">
        <w:rPr>
          <w:color w:val="000000"/>
          <w:sz w:val="28"/>
          <w:szCs w:val="28"/>
          <w:lang w:val="uk-UA"/>
        </w:rPr>
        <w:t xml:space="preserve"> генерує вищий приріст доходу порівняно з </w:t>
      </w:r>
      <w:r w:rsidRPr="00400BAB">
        <w:rPr>
          <w:rStyle w:val="apple-converted-space"/>
          <w:rFonts w:eastAsiaTheme="majorEastAsia"/>
          <w:color w:val="000000"/>
          <w:lang w:val="uk-UA"/>
        </w:rPr>
        <w:t>К</w:t>
      </w:r>
      <w:r w:rsidRPr="00400BAB">
        <w:rPr>
          <w:color w:val="000000"/>
          <w:sz w:val="28"/>
          <w:szCs w:val="28"/>
        </w:rPr>
        <w:t>ernel</w:t>
      </w:r>
      <w:r w:rsidRPr="009D5DD0">
        <w:rPr>
          <w:color w:val="000000"/>
          <w:sz w:val="28"/>
          <w:szCs w:val="28"/>
          <w:lang w:val="uk-UA"/>
        </w:rPr>
        <w:t>, що вказує на вищу технологічну ефективність їхніх інвестиційних проєктів.</w:t>
      </w:r>
    </w:p>
    <w:p w:rsidR="00BE5A3A" w:rsidRPr="00400BAB" w:rsidRDefault="00BE5A3A" w:rsidP="00BE5A3A">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Деталізація параметрів на рис. Д.1–Д.3 (додаток Д) дозволяє зробити фундаментальний висновок про різну чутливість економічних механізмів підприємств до інвестиційних вливань. Найвищий коефіцієнт еластичності ідентифіковано у</w:t>
      </w:r>
      <w:r w:rsidRPr="00400BAB">
        <w:rPr>
          <w:rStyle w:val="apple-converted-space"/>
          <w:rFonts w:eastAsiaTheme="majorEastAsia"/>
          <w:color w:val="000000"/>
          <w:lang w:val="uk-UA"/>
        </w:rPr>
        <w:t xml:space="preserve"> </w:t>
      </w:r>
      <w:r w:rsidRPr="00400BAB">
        <w:rPr>
          <w:color w:val="000000"/>
          <w:sz w:val="28"/>
          <w:szCs w:val="28"/>
        </w:rPr>
        <w:t>Kernel</w:t>
      </w:r>
      <w:r w:rsidRPr="00400BAB">
        <w:rPr>
          <w:rStyle w:val="apple-converted-space"/>
          <w:rFonts w:eastAsiaTheme="majorEastAsia"/>
          <w:color w:val="000000"/>
          <w:lang w:val="uk-UA"/>
        </w:rPr>
        <w:t xml:space="preserve"> </w:t>
      </w:r>
      <w:r w:rsidR="00C32176">
        <w:rPr>
          <w:color w:val="000000"/>
          <w:sz w:val="28"/>
          <w:szCs w:val="28"/>
          <w:lang w:val="uk-UA"/>
        </w:rPr>
        <w:t>в період 2022-</w:t>
      </w:r>
      <w:r w:rsidRPr="00400BAB">
        <w:rPr>
          <w:color w:val="000000"/>
          <w:sz w:val="28"/>
          <w:szCs w:val="28"/>
          <w:lang w:val="uk-UA"/>
        </w:rPr>
        <w:t>2023 рр. (0,42</w:t>
      </w:r>
      <w:r w:rsidR="00C32176">
        <w:rPr>
          <w:color w:val="000000"/>
          <w:sz w:val="28"/>
          <w:szCs w:val="28"/>
          <w:lang w:val="uk-UA"/>
        </w:rPr>
        <w:t xml:space="preserve"> </w:t>
      </w:r>
      <w:r w:rsidRPr="00400BAB">
        <w:rPr>
          <w:color w:val="000000"/>
          <w:sz w:val="28"/>
          <w:szCs w:val="28"/>
          <w:lang w:val="uk-UA"/>
        </w:rPr>
        <w:t>–</w:t>
      </w:r>
      <w:r w:rsidR="00C32176">
        <w:rPr>
          <w:color w:val="000000"/>
          <w:sz w:val="28"/>
          <w:szCs w:val="28"/>
          <w:lang w:val="uk-UA"/>
        </w:rPr>
        <w:t xml:space="preserve"> </w:t>
      </w:r>
      <w:r w:rsidRPr="00400BAB">
        <w:rPr>
          <w:color w:val="000000"/>
          <w:sz w:val="28"/>
          <w:szCs w:val="28"/>
          <w:lang w:val="uk-UA"/>
        </w:rPr>
        <w:t>0,38). Це математично підтверджує, що для даного підприємства інвестиції в перебудову логістичних вузлів мали критичне значення: кожна одиниця капіталу в цей період давала максимальний відносний приріст ефективності оборотності, попри загальне зниження показника</w:t>
      </w:r>
      <w:r w:rsidRPr="00400BAB">
        <w:rPr>
          <w:rStyle w:val="apple-converted-space"/>
          <w:rFonts w:eastAsiaTheme="majorEastAsia"/>
          <w:color w:val="000000"/>
          <w:lang w:val="uk-UA"/>
        </w:rPr>
        <w:t xml:space="preserve"> оборотності активів </w:t>
      </w:r>
      <w:r w:rsidRPr="00400BAB">
        <w:rPr>
          <w:color w:val="000000"/>
          <w:sz w:val="28"/>
          <w:szCs w:val="28"/>
          <w:lang w:val="uk-UA"/>
        </w:rPr>
        <w:t>порівняно з докризовим рівнем.</w:t>
      </w:r>
    </w:p>
    <w:p w:rsidR="00BE5A3A" w:rsidRPr="00400BAB" w:rsidRDefault="00BE5A3A" w:rsidP="00BE5A3A">
      <w:pPr>
        <w:pStyle w:val="a5"/>
        <w:spacing w:before="0" w:beforeAutospacing="0" w:after="0" w:afterAutospacing="0" w:line="360" w:lineRule="auto"/>
        <w:ind w:firstLine="709"/>
        <w:jc w:val="both"/>
        <w:rPr>
          <w:color w:val="000000"/>
          <w:sz w:val="28"/>
          <w:szCs w:val="28"/>
        </w:rPr>
      </w:pPr>
      <w:r w:rsidRPr="00400BAB">
        <w:rPr>
          <w:color w:val="000000"/>
          <w:sz w:val="28"/>
          <w:szCs w:val="28"/>
        </w:rPr>
        <w:t>Для</w:t>
      </w:r>
      <w:r w:rsidRPr="00400BAB">
        <w:rPr>
          <w:rStyle w:val="apple-converted-space"/>
          <w:rFonts w:eastAsiaTheme="majorEastAsia"/>
          <w:color w:val="000000"/>
          <w:lang w:val="uk-UA"/>
        </w:rPr>
        <w:t xml:space="preserve"> </w:t>
      </w:r>
      <w:r w:rsidRPr="00400BAB">
        <w:rPr>
          <w:color w:val="000000"/>
          <w:sz w:val="28"/>
          <w:szCs w:val="28"/>
        </w:rPr>
        <w:t>МХП</w:t>
      </w:r>
      <w:r w:rsidRPr="00400BAB">
        <w:rPr>
          <w:rStyle w:val="apple-converted-space"/>
          <w:rFonts w:eastAsiaTheme="majorEastAsia"/>
          <w:color w:val="000000"/>
          <w:lang w:val="uk-UA"/>
        </w:rPr>
        <w:t xml:space="preserve"> </w:t>
      </w:r>
      <w:r w:rsidRPr="00400BAB">
        <w:rPr>
          <w:color w:val="000000"/>
          <w:sz w:val="28"/>
          <w:szCs w:val="28"/>
        </w:rPr>
        <w:t xml:space="preserve">встановлено найбільш стабільну функціональну залежність. Високі значення інвестицій в IT та управління, які планомірно зростають з 18,4 до 38,0 млн $, дозволили компанії утримувати найвищий показник оборотності активів у вибірці (1,7–1,9 рази). </w:t>
      </w:r>
    </w:p>
    <w:p w:rsidR="00435FDC" w:rsidRPr="0055571B" w:rsidRDefault="00EB5B4E" w:rsidP="0055571B">
      <w:pPr>
        <w:pStyle w:val="a5"/>
        <w:spacing w:before="0" w:beforeAutospacing="0" w:after="0" w:afterAutospacing="0" w:line="360" w:lineRule="auto"/>
        <w:ind w:firstLine="709"/>
        <w:jc w:val="both"/>
        <w:rPr>
          <w:color w:val="000000"/>
          <w:sz w:val="28"/>
          <w:szCs w:val="28"/>
        </w:rPr>
      </w:pPr>
      <w:r w:rsidRPr="0055571B">
        <w:rPr>
          <w:color w:val="000000"/>
          <w:sz w:val="28"/>
          <w:szCs w:val="28"/>
        </w:rPr>
        <w:t>Графіки функціональної залежності оборотності активів від інвестиційних параметрів наведено в додатку Д (рис. Д.1–Д.3).</w:t>
      </w:r>
    </w:p>
    <w:p w:rsidR="00BE5A3A" w:rsidRPr="00BE5A3A" w:rsidRDefault="00BE5A3A" w:rsidP="00BE5A3A">
      <w:pPr>
        <w:pStyle w:val="a5"/>
        <w:spacing w:before="0" w:beforeAutospacing="0" w:after="0" w:afterAutospacing="0" w:line="360" w:lineRule="auto"/>
        <w:ind w:firstLine="709"/>
        <w:jc w:val="both"/>
        <w:rPr>
          <w:color w:val="000000"/>
          <w:sz w:val="28"/>
          <w:szCs w:val="28"/>
          <w:lang w:val="uk-UA"/>
        </w:rPr>
      </w:pPr>
      <w:r w:rsidRPr="0055571B">
        <w:rPr>
          <w:color w:val="000000"/>
          <w:sz w:val="28"/>
          <w:szCs w:val="28"/>
        </w:rPr>
        <w:t>Це свідчить про сформований механізм</w:t>
      </w:r>
      <w:r w:rsidRPr="00BE5A3A">
        <w:rPr>
          <w:color w:val="000000"/>
          <w:sz w:val="28"/>
          <w:szCs w:val="28"/>
          <w:lang w:val="uk-UA"/>
        </w:rPr>
        <w:t xml:space="preserve"> «технологічного лідерства», де інвестиції в цифровізацію процесів виступають не допоміжним, а базовим фактором підтримки інвестиційної привабливості.</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BE5A3A">
        <w:rPr>
          <w:color w:val="000000"/>
          <w:sz w:val="28"/>
          <w:szCs w:val="28"/>
          <w:lang w:val="uk-UA"/>
        </w:rPr>
        <w:lastRenderedPageBreak/>
        <w:t>Особливий науковий інтерес викликає модель</w:t>
      </w:r>
      <w:r w:rsidRPr="00400BAB">
        <w:rPr>
          <w:rStyle w:val="apple-converted-space"/>
          <w:rFonts w:eastAsiaTheme="majorEastAsia"/>
          <w:color w:val="000000"/>
          <w:lang w:val="uk-UA"/>
        </w:rPr>
        <w:t xml:space="preserve"> </w:t>
      </w:r>
      <w:r w:rsidRPr="00400BAB">
        <w:rPr>
          <w:color w:val="000000"/>
          <w:sz w:val="28"/>
          <w:szCs w:val="28"/>
        </w:rPr>
        <w:t>Astarta</w:t>
      </w:r>
      <w:r w:rsidRPr="00BE5A3A">
        <w:rPr>
          <w:color w:val="000000"/>
          <w:sz w:val="28"/>
          <w:szCs w:val="28"/>
          <w:lang w:val="uk-UA"/>
        </w:rPr>
        <w:t>-</w:t>
      </w:r>
      <w:r w:rsidRPr="00400BAB">
        <w:rPr>
          <w:color w:val="000000"/>
          <w:sz w:val="28"/>
          <w:szCs w:val="28"/>
        </w:rPr>
        <w:t>Kyiv</w:t>
      </w:r>
      <w:r w:rsidRPr="00BE5A3A">
        <w:rPr>
          <w:color w:val="000000"/>
          <w:sz w:val="28"/>
          <w:szCs w:val="28"/>
          <w:lang w:val="uk-UA"/>
        </w:rPr>
        <w:t xml:space="preserve">, де спостерігається унікальне явище: зростання оборотності активів на фоні помірного технологічного </w:t>
      </w:r>
      <w:r w:rsidRPr="00400BAB">
        <w:rPr>
          <w:color w:val="000000"/>
          <w:sz w:val="28"/>
          <w:szCs w:val="28"/>
        </w:rPr>
        <w:t>CAPEX</w:t>
      </w:r>
      <w:r w:rsidRPr="00BE5A3A">
        <w:rPr>
          <w:color w:val="000000"/>
          <w:sz w:val="28"/>
          <w:szCs w:val="28"/>
          <w:lang w:val="uk-UA"/>
        </w:rPr>
        <w:t xml:space="preserve">. </w:t>
      </w:r>
      <w:r w:rsidRPr="00F346C3">
        <w:rPr>
          <w:color w:val="000000"/>
          <w:sz w:val="28"/>
          <w:szCs w:val="28"/>
          <w:lang w:val="uk-UA"/>
        </w:rPr>
        <w:t xml:space="preserve">Це пояснюється високою ефективністю інвестицій в управління, що забезпечує якісну трансформацію бізнес-процесів без надмірного капітального навантаження. </w:t>
      </w:r>
      <w:r w:rsidRPr="00400BAB">
        <w:rPr>
          <w:color w:val="000000"/>
          <w:sz w:val="28"/>
          <w:szCs w:val="28"/>
        </w:rPr>
        <w:t>Коефіцієнт еластичності 0,28 у 2022 році свідчить про те, що адаптаційні заходи підприємства виявилися найбільш точними та математично вивіреними.</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Систематизація цих даних за авторським підходом дозволяє стверджувати, що інвестиційна при</w:t>
      </w:r>
      <w:r w:rsidR="00C32176">
        <w:rPr>
          <w:color w:val="000000"/>
          <w:sz w:val="28"/>
          <w:szCs w:val="28"/>
        </w:rPr>
        <w:t>вабливість агрохолдингів у 2024</w:t>
      </w:r>
      <w:r w:rsidR="00C32176">
        <w:rPr>
          <w:color w:val="000000"/>
          <w:sz w:val="28"/>
          <w:szCs w:val="28"/>
          <w:lang w:val="uk-UA"/>
        </w:rPr>
        <w:t>-</w:t>
      </w:r>
      <w:r w:rsidRPr="00400BAB">
        <w:rPr>
          <w:color w:val="000000"/>
          <w:sz w:val="28"/>
          <w:szCs w:val="28"/>
        </w:rPr>
        <w:t>2025 рр. визнача</w:t>
      </w:r>
      <w:r w:rsidRPr="00400BAB">
        <w:rPr>
          <w:color w:val="000000"/>
          <w:sz w:val="28"/>
          <w:szCs w:val="28"/>
          <w:lang w:val="uk-UA"/>
        </w:rPr>
        <w:t>ється</w:t>
      </w:r>
      <w:r w:rsidRPr="00400BAB">
        <w:rPr>
          <w:color w:val="000000"/>
          <w:sz w:val="28"/>
          <w:szCs w:val="28"/>
        </w:rPr>
        <w:t xml:space="preserve"> не валовим обсягом інвестицій, а здатністю менеджменту підтримувати оптимальне співвідношення мі</w:t>
      </w:r>
      <w:r w:rsidRPr="004C5906">
        <w:rPr>
          <w:sz w:val="28"/>
          <w:szCs w:val="28"/>
        </w:rPr>
        <w:t xml:space="preserve">ж інвестиціями в технології </w:t>
      </w:r>
      <w:r w:rsidRPr="00400BAB">
        <w:rPr>
          <w:color w:val="000000"/>
          <w:sz w:val="28"/>
          <w:szCs w:val="28"/>
        </w:rPr>
        <w:t>та</w:t>
      </w:r>
      <w:r w:rsidRPr="004C5906">
        <w:rPr>
          <w:sz w:val="28"/>
          <w:szCs w:val="28"/>
        </w:rPr>
        <w:t xml:space="preserve"> інвестиціями в ІТ й управління</w:t>
      </w:r>
      <w:r w:rsidRPr="00400BAB">
        <w:rPr>
          <w:color w:val="000000"/>
          <w:sz w:val="28"/>
          <w:szCs w:val="28"/>
        </w:rPr>
        <w:t>. Виявлені нелінійні залежності стають основою для побудови прогнозних моделей у наступному розділі дисертації, що дозволить кількісно обґрунтувати необхідний обсяг реінвестування для досягнення цільових показників вартості підприємства. Таким чином, детальне структурування забезпечує доказову базу для математичного підтвердження ефективності запропонованого автором інструментарію.</w:t>
      </w: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Завершальним елементом апробації є розрахунок моделі чутливості, яка кількісно визначає ризикованість інвестиційного профілю підприємств (табл. 2.10).</w:t>
      </w:r>
    </w:p>
    <w:p w:rsidR="00C32176" w:rsidRDefault="00B37265" w:rsidP="00C32176">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lang w:val="uk-UA"/>
        </w:rPr>
        <w:t>Розраховані коефіцієнти</w:t>
      </w:r>
      <w:r w:rsidRPr="00400BAB">
        <w:rPr>
          <w:rStyle w:val="apple-converted-space"/>
          <w:rFonts w:eastAsiaTheme="majorEastAsia"/>
          <w:color w:val="000000"/>
          <w:lang w:val="uk-UA"/>
        </w:rPr>
        <w:t xml:space="preserve"> (</w:t>
      </w:r>
      <w:r w:rsidRPr="00400BAB">
        <w:rPr>
          <w:color w:val="000000"/>
          <w:sz w:val="28"/>
          <w:szCs w:val="28"/>
          <w:lang w:val="en-US"/>
        </w:rPr>
        <w:t>S</w:t>
      </w:r>
      <w:r w:rsidRPr="00400BAB">
        <w:rPr>
          <w:color w:val="000000"/>
          <w:sz w:val="28"/>
          <w:szCs w:val="28"/>
          <w:vertAlign w:val="subscript"/>
          <w:lang w:val="en-US"/>
        </w:rPr>
        <w:t>ia</w:t>
      </w:r>
      <w:r w:rsidRPr="00400BAB">
        <w:rPr>
          <w:rStyle w:val="apple-converted-space"/>
          <w:rFonts w:eastAsiaTheme="majorEastAsia"/>
          <w:color w:val="000000"/>
          <w:lang w:val="uk-UA"/>
        </w:rPr>
        <w:t xml:space="preserve">) </w:t>
      </w:r>
      <w:r w:rsidRPr="00400BAB">
        <w:rPr>
          <w:color w:val="000000"/>
          <w:sz w:val="28"/>
          <w:szCs w:val="28"/>
          <w:lang w:val="uk-UA"/>
        </w:rPr>
        <w:t>дають змогу зробити висновок:</w:t>
      </w:r>
      <w:r w:rsidRPr="00400BAB">
        <w:rPr>
          <w:rStyle w:val="apple-converted-space"/>
          <w:rFonts w:eastAsiaTheme="majorEastAsia"/>
          <w:color w:val="000000"/>
          <w:lang w:val="uk-UA"/>
        </w:rPr>
        <w:t xml:space="preserve"> </w:t>
      </w:r>
      <w:r w:rsidRPr="00400BAB">
        <w:rPr>
          <w:color w:val="000000"/>
          <w:sz w:val="28"/>
          <w:szCs w:val="28"/>
        </w:rPr>
        <w:t>Astarta</w:t>
      </w:r>
      <w:r w:rsidRPr="00400BAB">
        <w:rPr>
          <w:color w:val="000000"/>
          <w:sz w:val="28"/>
          <w:szCs w:val="28"/>
          <w:lang w:val="uk-UA"/>
        </w:rPr>
        <w:t>-</w:t>
      </w:r>
      <w:r w:rsidRPr="00400BAB">
        <w:rPr>
          <w:color w:val="000000"/>
          <w:sz w:val="28"/>
          <w:szCs w:val="28"/>
        </w:rPr>
        <w:t>Kyiv</w:t>
      </w:r>
      <w:r w:rsidRPr="00400BAB">
        <w:rPr>
          <w:rStyle w:val="apple-converted-space"/>
          <w:rFonts w:eastAsiaTheme="majorEastAsia"/>
          <w:color w:val="000000"/>
          <w:lang w:val="uk-UA"/>
        </w:rPr>
        <w:t xml:space="preserve"> </w:t>
      </w:r>
      <w:r w:rsidRPr="00400BAB">
        <w:rPr>
          <w:color w:val="000000"/>
          <w:sz w:val="28"/>
          <w:szCs w:val="28"/>
          <w:lang w:val="uk-UA"/>
        </w:rPr>
        <w:t>має найбільш захищений економічний механізм (всі показники &lt; 1), що робить її ідеальним об’єктом для консервативних інвесторів; натомість інвестиційна привабливість</w:t>
      </w:r>
      <w:r w:rsidRPr="00400BAB">
        <w:rPr>
          <w:rStyle w:val="apple-converted-space"/>
          <w:rFonts w:eastAsiaTheme="majorEastAsia"/>
          <w:color w:val="000000"/>
          <w:lang w:val="uk-UA"/>
        </w:rPr>
        <w:t xml:space="preserve"> </w:t>
      </w:r>
      <w:r w:rsidRPr="00400BAB">
        <w:rPr>
          <w:color w:val="000000"/>
          <w:sz w:val="28"/>
          <w:szCs w:val="28"/>
        </w:rPr>
        <w:t>Kernel</w:t>
      </w:r>
      <w:r w:rsidRPr="00400BAB">
        <w:rPr>
          <w:rStyle w:val="apple-converted-space"/>
          <w:rFonts w:eastAsiaTheme="majorEastAsia"/>
          <w:color w:val="000000"/>
          <w:lang w:val="uk-UA"/>
        </w:rPr>
        <w:t xml:space="preserve"> </w:t>
      </w:r>
      <w:r w:rsidRPr="00400BAB">
        <w:rPr>
          <w:color w:val="000000"/>
          <w:sz w:val="28"/>
          <w:szCs w:val="28"/>
          <w:lang w:val="uk-UA"/>
        </w:rPr>
        <w:t>є гіперчутливою до логістичних факторів (1,45), що означає: зміна вартості перевезень на 10% спричиняє коливання інвестиційної вартості компанії на 14,5%; для</w:t>
      </w:r>
      <w:r w:rsidRPr="00400BAB">
        <w:rPr>
          <w:rStyle w:val="apple-converted-space"/>
          <w:rFonts w:eastAsiaTheme="majorEastAsia"/>
          <w:color w:val="000000"/>
          <w:lang w:val="uk-UA"/>
        </w:rPr>
        <w:t xml:space="preserve"> </w:t>
      </w:r>
      <w:r w:rsidRPr="00400BAB">
        <w:rPr>
          <w:color w:val="000000"/>
          <w:sz w:val="28"/>
          <w:szCs w:val="28"/>
          <w:lang w:val="uk-UA"/>
        </w:rPr>
        <w:t>МХП</w:t>
      </w:r>
      <w:r w:rsidRPr="00400BAB">
        <w:rPr>
          <w:rStyle w:val="apple-converted-space"/>
          <w:rFonts w:eastAsiaTheme="majorEastAsia"/>
          <w:color w:val="000000"/>
          <w:lang w:val="uk-UA"/>
        </w:rPr>
        <w:t xml:space="preserve"> </w:t>
      </w:r>
      <w:r w:rsidRPr="00400BAB">
        <w:rPr>
          <w:color w:val="000000"/>
          <w:sz w:val="28"/>
          <w:szCs w:val="28"/>
          <w:lang w:val="uk-UA"/>
        </w:rPr>
        <w:t xml:space="preserve">ідентифіковано специфічну чутливість до вартості капіталу (ставки дисконту </w:t>
      </w:r>
      <w:r w:rsidR="00C32176" w:rsidRPr="00400BAB">
        <w:rPr>
          <w:color w:val="000000"/>
          <w:sz w:val="28"/>
          <w:szCs w:val="28"/>
          <w:lang w:val="uk-UA"/>
        </w:rPr>
        <w:t>–</w:t>
      </w:r>
      <w:r w:rsidRPr="00400BAB">
        <w:rPr>
          <w:color w:val="000000"/>
          <w:sz w:val="28"/>
          <w:szCs w:val="28"/>
          <w:lang w:val="uk-UA"/>
        </w:rPr>
        <w:t xml:space="preserve"> 1,12), що зумовлено високою часткою залучених к</w:t>
      </w:r>
      <w:r w:rsidR="00C32176">
        <w:rPr>
          <w:color w:val="000000"/>
          <w:sz w:val="28"/>
          <w:szCs w:val="28"/>
          <w:lang w:val="uk-UA"/>
        </w:rPr>
        <w:t>оштів у структурі фінансування.</w:t>
      </w:r>
    </w:p>
    <w:p w:rsidR="0055571B" w:rsidRDefault="0055571B" w:rsidP="00C32176">
      <w:pPr>
        <w:pStyle w:val="a5"/>
        <w:spacing w:before="0" w:beforeAutospacing="0" w:after="0" w:afterAutospacing="0" w:line="360" w:lineRule="auto"/>
        <w:ind w:firstLine="709"/>
        <w:jc w:val="right"/>
        <w:rPr>
          <w:color w:val="000000"/>
          <w:sz w:val="28"/>
          <w:szCs w:val="28"/>
          <w:lang w:val="uk-UA"/>
        </w:rPr>
      </w:pPr>
    </w:p>
    <w:p w:rsidR="0055571B" w:rsidRDefault="0055571B" w:rsidP="00C32176">
      <w:pPr>
        <w:pStyle w:val="a5"/>
        <w:spacing w:before="0" w:beforeAutospacing="0" w:after="0" w:afterAutospacing="0" w:line="360" w:lineRule="auto"/>
        <w:ind w:firstLine="709"/>
        <w:jc w:val="right"/>
        <w:rPr>
          <w:color w:val="000000"/>
          <w:sz w:val="28"/>
          <w:szCs w:val="28"/>
          <w:lang w:val="uk-UA"/>
        </w:rPr>
      </w:pPr>
    </w:p>
    <w:p w:rsidR="00BE5A3A" w:rsidRPr="00BE5A3A" w:rsidRDefault="00BE5A3A" w:rsidP="00C32176">
      <w:pPr>
        <w:pStyle w:val="a5"/>
        <w:spacing w:before="0" w:beforeAutospacing="0" w:after="0" w:afterAutospacing="0" w:line="360" w:lineRule="auto"/>
        <w:ind w:firstLine="709"/>
        <w:jc w:val="right"/>
        <w:rPr>
          <w:color w:val="000000"/>
          <w:sz w:val="28"/>
          <w:szCs w:val="28"/>
          <w:lang w:val="uk-UA"/>
        </w:rPr>
      </w:pPr>
      <w:r w:rsidRPr="00BE5A3A">
        <w:rPr>
          <w:color w:val="000000"/>
          <w:sz w:val="28"/>
          <w:szCs w:val="28"/>
          <w:lang w:val="uk-UA"/>
        </w:rPr>
        <w:lastRenderedPageBreak/>
        <w:t>Таблиця 2.10</w:t>
      </w:r>
    </w:p>
    <w:p w:rsidR="00BE5A3A" w:rsidRPr="00400BAB" w:rsidRDefault="00BE5A3A" w:rsidP="00BE5A3A">
      <w:pPr>
        <w:spacing w:line="360" w:lineRule="auto"/>
        <w:ind w:firstLine="709"/>
        <w:jc w:val="center"/>
        <w:rPr>
          <w:rFonts w:ascii="Times New Roman" w:hAnsi="Times New Roman"/>
          <w:b/>
          <w:bCs/>
          <w:color w:val="000000"/>
          <w:sz w:val="28"/>
          <w:szCs w:val="28"/>
          <w:lang w:val="uk-UA"/>
        </w:rPr>
      </w:pPr>
      <w:r w:rsidRPr="00400BAB">
        <w:rPr>
          <w:rFonts w:ascii="Times New Roman" w:hAnsi="Times New Roman"/>
          <w:b/>
          <w:bCs/>
          <w:color w:val="000000"/>
          <w:sz w:val="28"/>
          <w:szCs w:val="28"/>
          <w:lang w:val="uk-UA"/>
        </w:rPr>
        <w:t>Результати моделювання чутливості інвестиційної привабливості (</w:t>
      </w:r>
      <w:r w:rsidRPr="00400BAB">
        <w:rPr>
          <w:rFonts w:ascii="Times New Roman" w:hAnsi="Times New Roman"/>
          <w:b/>
          <w:bCs/>
          <w:color w:val="000000"/>
          <w:sz w:val="28"/>
          <w:szCs w:val="28"/>
          <w:lang w:val="en-US"/>
        </w:rPr>
        <w:t>S</w:t>
      </w:r>
      <w:r w:rsidRPr="00400BAB">
        <w:rPr>
          <w:rFonts w:ascii="Times New Roman" w:hAnsi="Times New Roman"/>
          <w:b/>
          <w:bCs/>
          <w:color w:val="000000"/>
          <w:sz w:val="28"/>
          <w:szCs w:val="28"/>
          <w:vertAlign w:val="subscript"/>
          <w:lang w:val="en-US"/>
        </w:rPr>
        <w:t>ia</w:t>
      </w:r>
      <w:r w:rsidRPr="00400BAB">
        <w:rPr>
          <w:rFonts w:ascii="Times New Roman" w:hAnsi="Times New Roman"/>
          <w:b/>
          <w:bCs/>
          <w:color w:val="000000"/>
          <w:sz w:val="28"/>
          <w:szCs w:val="28"/>
          <w:lang w:val="uk-UA"/>
        </w:rPr>
        <w:t xml:space="preserve">) до ключових факторів ризику </w:t>
      </w:r>
      <w:r w:rsidRPr="00400BAB">
        <w:rPr>
          <w:rFonts w:ascii="Times New Roman" w:hAnsi="Times New Roman"/>
          <w:b/>
          <w:bCs/>
          <w:color w:val="000000"/>
          <w:sz w:val="28"/>
          <w:szCs w:val="28"/>
        </w:rPr>
        <w:t>Kernel</w:t>
      </w:r>
      <w:r w:rsidRPr="00400BAB">
        <w:rPr>
          <w:rFonts w:ascii="Times New Roman" w:hAnsi="Times New Roman"/>
          <w:b/>
          <w:bCs/>
          <w:color w:val="000000"/>
          <w:sz w:val="28"/>
          <w:szCs w:val="28"/>
          <w:lang w:val="uk-UA"/>
        </w:rPr>
        <w:t xml:space="preserve">, МХП та </w:t>
      </w:r>
      <w:r w:rsidRPr="00400BAB">
        <w:rPr>
          <w:rFonts w:ascii="Times New Roman" w:hAnsi="Times New Roman"/>
          <w:b/>
          <w:bCs/>
          <w:color w:val="000000"/>
          <w:sz w:val="28"/>
          <w:szCs w:val="28"/>
        </w:rPr>
        <w:t>Astarta</w:t>
      </w:r>
      <w:r w:rsidRPr="00400BAB">
        <w:rPr>
          <w:rFonts w:ascii="Times New Roman" w:hAnsi="Times New Roman"/>
          <w:b/>
          <w:bCs/>
          <w:color w:val="000000"/>
          <w:sz w:val="28"/>
          <w:szCs w:val="28"/>
          <w:lang w:val="uk-UA"/>
        </w:rPr>
        <w:t>-</w:t>
      </w:r>
      <w:r w:rsidRPr="00400BAB">
        <w:rPr>
          <w:rFonts w:ascii="Times New Roman" w:hAnsi="Times New Roman"/>
          <w:b/>
          <w:bCs/>
          <w:color w:val="000000"/>
          <w:sz w:val="28"/>
          <w:szCs w:val="28"/>
        </w:rPr>
        <w:t>Kyiv</w:t>
      </w:r>
      <w:r w:rsidRPr="00400BAB">
        <w:rPr>
          <w:rFonts w:ascii="Times New Roman" w:hAnsi="Times New Roman"/>
          <w:b/>
          <w:bCs/>
          <w:color w:val="000000"/>
          <w:sz w:val="28"/>
          <w:szCs w:val="28"/>
          <w:lang w:val="uk-UA"/>
        </w:rPr>
        <w:t xml:space="preserve"> </w:t>
      </w:r>
      <w:r w:rsidR="00C32176">
        <w:rPr>
          <w:rFonts w:ascii="Times New Roman" w:hAnsi="Times New Roman"/>
          <w:b/>
          <w:bCs/>
          <w:color w:val="000000"/>
          <w:sz w:val="28"/>
          <w:szCs w:val="28"/>
          <w:lang w:val="uk-UA"/>
        </w:rPr>
        <w:br/>
      </w:r>
      <w:r w:rsidRPr="00400BAB">
        <w:rPr>
          <w:rFonts w:ascii="Times New Roman" w:hAnsi="Times New Roman"/>
          <w:b/>
          <w:bCs/>
          <w:color w:val="000000"/>
          <w:sz w:val="28"/>
          <w:szCs w:val="28"/>
          <w:lang w:val="uk-UA"/>
        </w:rPr>
        <w:t>за 2021–2025 рр.</w:t>
      </w:r>
    </w:p>
    <w:tbl>
      <w:tblPr>
        <w:tblW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939"/>
        <w:gridCol w:w="1849"/>
        <w:gridCol w:w="2186"/>
        <w:gridCol w:w="1778"/>
        <w:gridCol w:w="1652"/>
      </w:tblGrid>
      <w:tr w:rsidR="00BE5A3A" w:rsidRPr="00400BAB" w:rsidTr="00BE5A3A">
        <w:trPr>
          <w:cantSplit/>
          <w:trHeight w:val="315"/>
          <w:tblHeader/>
        </w:trPr>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Підприємство / Фактор впливу</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Чутливість до вартості логістики</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Чутливість до цін на агропродукцію</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Чутливість до ставки дисконту</w:t>
            </w:r>
          </w:p>
        </w:tc>
        <w:tc>
          <w:tcPr>
            <w:tcW w:w="0" w:type="auto"/>
            <w:tcMar>
              <w:top w:w="30" w:type="dxa"/>
              <w:left w:w="0" w:type="dxa"/>
              <w:bottom w:w="30" w:type="dxa"/>
              <w:right w:w="0"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Інтегральна оцінка стійкості</w:t>
            </w:r>
          </w:p>
        </w:tc>
      </w:tr>
      <w:tr w:rsidR="00BE5A3A" w:rsidRPr="00400BAB" w:rsidTr="00BE5A3A">
        <w:trPr>
          <w:cantSplit/>
          <w:trHeight w:val="315"/>
        </w:trPr>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Kernel</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1,45</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1,22</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0,95</w:t>
            </w:r>
          </w:p>
        </w:tc>
        <w:tc>
          <w:tcPr>
            <w:tcW w:w="0" w:type="auto"/>
            <w:tcMar>
              <w:top w:w="30" w:type="dxa"/>
              <w:left w:w="0" w:type="dxa"/>
              <w:bottom w:w="30" w:type="dxa"/>
              <w:right w:w="0"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Висока чутливість</w:t>
            </w:r>
          </w:p>
        </w:tc>
      </w:tr>
      <w:tr w:rsidR="00BE5A3A" w:rsidRPr="00400BAB" w:rsidTr="00BE5A3A">
        <w:trPr>
          <w:cantSplit/>
          <w:trHeight w:val="315"/>
        </w:trPr>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МХП</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0,85</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0,78</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1,12</w:t>
            </w:r>
          </w:p>
        </w:tc>
        <w:tc>
          <w:tcPr>
            <w:tcW w:w="0" w:type="auto"/>
            <w:tcMar>
              <w:top w:w="30" w:type="dxa"/>
              <w:left w:w="0" w:type="dxa"/>
              <w:bottom w:w="30" w:type="dxa"/>
              <w:right w:w="0"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Помірна стійкість</w:t>
            </w:r>
          </w:p>
        </w:tc>
      </w:tr>
      <w:tr w:rsidR="00BE5A3A" w:rsidRPr="00400BAB" w:rsidTr="00BE5A3A">
        <w:trPr>
          <w:cantSplit/>
          <w:trHeight w:val="315"/>
        </w:trPr>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Astarta-Kyiv</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0,65</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0,55</w:t>
            </w:r>
          </w:p>
        </w:tc>
        <w:tc>
          <w:tcPr>
            <w:tcW w:w="0" w:type="auto"/>
            <w:tcMar>
              <w:top w:w="30" w:type="dxa"/>
              <w:left w:w="45" w:type="dxa"/>
              <w:bottom w:w="30" w:type="dxa"/>
              <w:right w:w="45"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0,82</w:t>
            </w:r>
          </w:p>
        </w:tc>
        <w:tc>
          <w:tcPr>
            <w:tcW w:w="0" w:type="auto"/>
            <w:tcMar>
              <w:top w:w="30" w:type="dxa"/>
              <w:left w:w="0" w:type="dxa"/>
              <w:bottom w:w="30" w:type="dxa"/>
              <w:right w:w="0" w:type="dxa"/>
            </w:tcMar>
            <w:vAlign w:val="center"/>
            <w:hideMark/>
          </w:tcPr>
          <w:p w:rsidR="00BE5A3A" w:rsidRPr="00400BAB" w:rsidRDefault="00BE5A3A" w:rsidP="00BE5A3A">
            <w:pPr>
              <w:jc w:val="center"/>
              <w:rPr>
                <w:rFonts w:ascii="Times New Roman" w:hAnsi="Times New Roman"/>
                <w:sz w:val="21"/>
                <w:szCs w:val="21"/>
              </w:rPr>
            </w:pPr>
            <w:r w:rsidRPr="00400BAB">
              <w:rPr>
                <w:rFonts w:ascii="Times New Roman" w:hAnsi="Times New Roman"/>
                <w:sz w:val="21"/>
                <w:szCs w:val="21"/>
              </w:rPr>
              <w:t>Висока стійкість</w:t>
            </w:r>
          </w:p>
        </w:tc>
      </w:tr>
    </w:tbl>
    <w:p w:rsidR="00BE5A3A" w:rsidRPr="00400BAB" w:rsidRDefault="00BE5A3A" w:rsidP="00BE5A3A">
      <w:pPr>
        <w:pStyle w:val="a5"/>
        <w:spacing w:before="0" w:beforeAutospacing="0" w:after="0" w:afterAutospacing="0" w:line="360" w:lineRule="auto"/>
        <w:ind w:firstLine="709"/>
        <w:jc w:val="both"/>
        <w:rPr>
          <w:i/>
          <w:iCs/>
          <w:lang w:val="uk-UA"/>
        </w:rPr>
      </w:pPr>
      <w:r w:rsidRPr="00400BAB">
        <w:rPr>
          <w:i/>
          <w:iCs/>
          <w:lang w:val="uk-UA"/>
        </w:rPr>
        <w:t>Джерело: обраховано автором за даними підприємств</w:t>
      </w:r>
    </w:p>
    <w:p w:rsidR="00BE5A3A" w:rsidRPr="00400BAB" w:rsidRDefault="00BE5A3A" w:rsidP="00BE5A3A">
      <w:pPr>
        <w:pStyle w:val="a5"/>
        <w:spacing w:before="0" w:beforeAutospacing="0" w:after="0" w:afterAutospacing="0" w:line="360" w:lineRule="auto"/>
        <w:ind w:firstLine="709"/>
        <w:jc w:val="both"/>
        <w:rPr>
          <w:color w:val="000000"/>
          <w:sz w:val="28"/>
          <w:szCs w:val="28"/>
          <w:lang w:val="uk-UA"/>
        </w:rPr>
      </w:pPr>
    </w:p>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r w:rsidRPr="00400BAB">
        <w:rPr>
          <w:color w:val="000000"/>
          <w:sz w:val="28"/>
          <w:szCs w:val="28"/>
        </w:rPr>
        <w:t xml:space="preserve">Таким чином, представлена емпірична перевірка повністю підтверджує дієвість запропонованого математичного інструментарію. Авторський підхід дозволив не лише </w:t>
      </w:r>
      <w:r w:rsidRPr="00400BAB">
        <w:rPr>
          <w:color w:val="000000"/>
          <w:sz w:val="28"/>
          <w:szCs w:val="28"/>
          <w:lang w:val="uk-UA"/>
        </w:rPr>
        <w:t>визначити</w:t>
      </w:r>
      <w:r w:rsidRPr="00400BAB">
        <w:rPr>
          <w:color w:val="000000"/>
          <w:sz w:val="28"/>
          <w:szCs w:val="28"/>
        </w:rPr>
        <w:t xml:space="preserve"> фінансовий стан підприємств, а й математично розмежувати їх за типами інвестиційних механізмів, виявити функціональні залежності та оцінити рівень їхньої стійкості до зовнішніх шоків. Отримані результати створюють об’єктивну базу для розробки стратегічних рекомендацій щодо підвищення інвестиційної привабливості аграрного сектору, що буде детально розкрито у наступному розділі дисертації. </w:t>
      </w:r>
    </w:p>
    <w:bookmarkEnd w:id="4"/>
    <w:p w:rsidR="00B37265" w:rsidRPr="00400BAB" w:rsidRDefault="00B37265" w:rsidP="00400BAB">
      <w:pPr>
        <w:pStyle w:val="a5"/>
        <w:spacing w:before="0" w:beforeAutospacing="0" w:after="0" w:afterAutospacing="0" w:line="360" w:lineRule="auto"/>
        <w:ind w:firstLine="709"/>
        <w:jc w:val="both"/>
        <w:rPr>
          <w:color w:val="000000"/>
          <w:sz w:val="28"/>
          <w:szCs w:val="28"/>
          <w:lang w:val="uk-UA"/>
        </w:rPr>
      </w:pPr>
    </w:p>
    <w:p w:rsidR="00B37265" w:rsidRPr="00212E70" w:rsidRDefault="00B37265" w:rsidP="00400BAB">
      <w:pPr>
        <w:pStyle w:val="a5"/>
        <w:spacing w:before="0" w:beforeAutospacing="0" w:after="0" w:afterAutospacing="0" w:line="360" w:lineRule="auto"/>
        <w:ind w:firstLine="709"/>
        <w:jc w:val="both"/>
        <w:rPr>
          <w:b/>
          <w:bCs/>
          <w:color w:val="000000"/>
          <w:sz w:val="28"/>
          <w:szCs w:val="28"/>
          <w:lang w:val="uk-UA"/>
        </w:rPr>
      </w:pPr>
      <w:r w:rsidRPr="00212E70">
        <w:rPr>
          <w:b/>
          <w:bCs/>
          <w:color w:val="000000"/>
          <w:sz w:val="28"/>
          <w:szCs w:val="28"/>
          <w:lang w:val="uk-UA"/>
        </w:rPr>
        <w:t xml:space="preserve">Висновки </w:t>
      </w:r>
      <w:r w:rsidR="00212E70" w:rsidRPr="00212E70">
        <w:rPr>
          <w:b/>
          <w:bCs/>
          <w:sz w:val="28"/>
          <w:szCs w:val="28"/>
        </w:rPr>
        <w:t>до другого розділу</w:t>
      </w:r>
    </w:p>
    <w:p w:rsidR="00B37265" w:rsidRPr="00400BAB" w:rsidRDefault="00B37265" w:rsidP="00400BAB">
      <w:pPr>
        <w:pStyle w:val="a5"/>
        <w:spacing w:before="0" w:beforeAutospacing="0" w:after="0" w:afterAutospacing="0" w:line="360" w:lineRule="auto"/>
        <w:ind w:firstLine="709"/>
        <w:jc w:val="both"/>
        <w:rPr>
          <w:b/>
          <w:bCs/>
          <w:color w:val="000000"/>
          <w:sz w:val="28"/>
          <w:szCs w:val="28"/>
          <w:lang w:val="uk-UA"/>
        </w:rPr>
      </w:pPr>
    </w:p>
    <w:p w:rsidR="00B37265" w:rsidRPr="00400BAB" w:rsidRDefault="00B37265" w:rsidP="00400BAB">
      <w:pPr>
        <w:pStyle w:val="a5"/>
        <w:numPr>
          <w:ilvl w:val="0"/>
          <w:numId w:val="14"/>
        </w:numPr>
        <w:spacing w:before="0" w:beforeAutospacing="0" w:after="0" w:afterAutospacing="0" w:line="360" w:lineRule="auto"/>
        <w:ind w:left="0" w:firstLine="709"/>
        <w:jc w:val="both"/>
        <w:rPr>
          <w:color w:val="000000"/>
          <w:sz w:val="28"/>
          <w:szCs w:val="28"/>
        </w:rPr>
      </w:pPr>
      <w:r w:rsidRPr="00400BAB">
        <w:rPr>
          <w:color w:val="000000"/>
          <w:sz w:val="28"/>
          <w:szCs w:val="28"/>
          <w:lang w:val="uk-UA"/>
        </w:rPr>
        <w:t xml:space="preserve">Проведене дослідження тенденцій розвитку </w:t>
      </w:r>
      <w:r w:rsidR="00C32176">
        <w:rPr>
          <w:color w:val="000000"/>
          <w:sz w:val="28"/>
          <w:szCs w:val="28"/>
          <w:lang w:val="uk-UA"/>
        </w:rPr>
        <w:t>аграрного сектору протягом 2021-</w:t>
      </w:r>
      <w:r w:rsidRPr="00400BAB">
        <w:rPr>
          <w:color w:val="000000"/>
          <w:sz w:val="28"/>
          <w:szCs w:val="28"/>
          <w:lang w:val="uk-UA"/>
        </w:rPr>
        <w:t xml:space="preserve">2025 рр. дозволило сформувати думку, що інвестиційне середовище України перебуває у стані перманентної трансформації, спричиненої кумулятивним впливом пандемічних обмежень та повномасштабної військової агресії. Встановлено, що ключовою особливістю даного періоду є перехід від моделі екстенсивного нарощування земельного банку до стратегії інфраструктурної автономізації та адаптивної стійкості. </w:t>
      </w:r>
      <w:r w:rsidRPr="00400BAB">
        <w:rPr>
          <w:color w:val="000000"/>
          <w:sz w:val="28"/>
          <w:szCs w:val="28"/>
          <w:lang w:val="uk-UA"/>
        </w:rPr>
        <w:lastRenderedPageBreak/>
        <w:t xml:space="preserve">Сільськогосподарські підприємства змушені були змінити пріоритети інвестування: від придбання активів до створення альтернативних логістичних маршрутів, енергонезалежних комплексів та систем глибокої переробки сировини. </w:t>
      </w:r>
      <w:r w:rsidRPr="00400BAB">
        <w:rPr>
          <w:color w:val="000000"/>
          <w:sz w:val="28"/>
          <w:szCs w:val="28"/>
        </w:rPr>
        <w:t>Це свідчить про формування нового типу інвестиційного середовища, де визначальним фактором привабливості стає не лише потенційна прибутковість, а й рівень операційної безпеки та здатності до швидкої релокації капіталу.</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lang w:val="uk-UA"/>
        </w:rPr>
        <w:t>Детальна</w:t>
      </w:r>
      <w:r w:rsidRPr="00400BAB">
        <w:rPr>
          <w:color w:val="000000"/>
          <w:sz w:val="28"/>
          <w:szCs w:val="28"/>
        </w:rPr>
        <w:t xml:space="preserve"> діагностика макроекономічних факторів підтвердила, що дестабілізаційні процеси призвели до поглиблення інформаційної асиметрії на ринку капіталу. Виявлено, що традиційні державні інструменти підтримки інвестиційної активності у воєнний період виявилися недостатніми для великих холдингів, що змусило їх шукати нові форми взаємодії з міжнародними фінансовими інституціями (EBRD, IFC). Встановлено, що інвестиційна привабливість сектору </w:t>
      </w:r>
      <w:r w:rsidRPr="00400BAB">
        <w:rPr>
          <w:color w:val="000000"/>
          <w:sz w:val="28"/>
          <w:szCs w:val="28"/>
          <w:lang w:val="uk-UA"/>
        </w:rPr>
        <w:t>у</w:t>
      </w:r>
      <w:r w:rsidRPr="00400BAB">
        <w:rPr>
          <w:color w:val="000000"/>
          <w:sz w:val="28"/>
          <w:szCs w:val="28"/>
        </w:rPr>
        <w:t xml:space="preserve"> 2025 року критично залеж</w:t>
      </w:r>
      <w:r w:rsidRPr="00400BAB">
        <w:rPr>
          <w:color w:val="000000"/>
          <w:sz w:val="28"/>
          <w:szCs w:val="28"/>
          <w:lang w:val="uk-UA"/>
        </w:rPr>
        <w:t>ить</w:t>
      </w:r>
      <w:r w:rsidRPr="00400BAB">
        <w:rPr>
          <w:color w:val="000000"/>
          <w:sz w:val="28"/>
          <w:szCs w:val="28"/>
        </w:rPr>
        <w:t xml:space="preserve"> від темпів відновлення експортної інфраструктури та доступу </w:t>
      </w:r>
      <w:r w:rsidR="00A20734">
        <w:rPr>
          <w:color w:val="000000"/>
          <w:sz w:val="28"/>
          <w:szCs w:val="28"/>
        </w:rPr>
        <w:t>до «дешевих» кредитних ресурсів</w:t>
      </w:r>
      <w:r w:rsidRPr="00400BAB">
        <w:rPr>
          <w:color w:val="000000"/>
          <w:sz w:val="28"/>
          <w:szCs w:val="28"/>
        </w:rPr>
        <w:t>.</w:t>
      </w:r>
    </w:p>
    <w:p w:rsidR="00B37265" w:rsidRPr="00400BAB" w:rsidRDefault="00C32176" w:rsidP="00400BAB">
      <w:pPr>
        <w:pStyle w:val="a5"/>
        <w:spacing w:before="0" w:beforeAutospacing="0" w:after="0" w:afterAutospacing="0" w:line="360" w:lineRule="auto"/>
        <w:ind w:firstLine="709"/>
        <w:jc w:val="both"/>
        <w:rPr>
          <w:color w:val="000000"/>
          <w:sz w:val="28"/>
          <w:szCs w:val="28"/>
        </w:rPr>
      </w:pPr>
      <w:r>
        <w:rPr>
          <w:color w:val="000000"/>
          <w:sz w:val="28"/>
          <w:szCs w:val="28"/>
        </w:rPr>
        <w:t>2.</w:t>
      </w:r>
      <w:r>
        <w:rPr>
          <w:color w:val="000000"/>
          <w:sz w:val="28"/>
          <w:szCs w:val="28"/>
          <w:lang w:val="uk-UA"/>
        </w:rPr>
        <w:t> </w:t>
      </w:r>
      <w:r w:rsidR="00B37265" w:rsidRPr="00400BAB">
        <w:rPr>
          <w:color w:val="000000"/>
          <w:sz w:val="28"/>
          <w:szCs w:val="28"/>
        </w:rPr>
        <w:t>На основі комплексного аналізу фінансової звітності лідерів ринку (Kernel, МХП, Astarta-Kyiv) ідентифіковано суттєву диференціацію їхніх адаптаційних моделей. Доведено, що вертикально інтегрована структура МХП та стратегія диверсифікації Astarta-Kyiv забезпечили їм вищий рівень фінансової резильєнтності порівняно з Kernel, який виявився більш вразливим до блокування морської логістики. Встановлено, що показники рентабельності продажів та операці</w:t>
      </w:r>
      <w:r>
        <w:rPr>
          <w:color w:val="000000"/>
          <w:sz w:val="28"/>
          <w:szCs w:val="28"/>
        </w:rPr>
        <w:t>йної ефективності у 2023</w:t>
      </w:r>
      <w:r>
        <w:rPr>
          <w:color w:val="000000"/>
          <w:sz w:val="28"/>
          <w:szCs w:val="28"/>
          <w:lang w:val="uk-UA"/>
        </w:rPr>
        <w:t>-</w:t>
      </w:r>
      <w:r w:rsidR="00B37265" w:rsidRPr="00400BAB">
        <w:rPr>
          <w:color w:val="000000"/>
          <w:sz w:val="28"/>
          <w:szCs w:val="28"/>
        </w:rPr>
        <w:t>2025 рр. демонструють V-подібну траєкторію відновлення, що є результатом глибокої перебудови внутрішнього менеджменту. Найбільш успішними виявилися механізми, засновані на повному циклі виробництва сировини та мінімізації залежності від зовнішніх постачальників енергоресурсів.</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Аналіз засвідчив тенденцію до звуження спреду між валовою та операційною прибутковістю, що вказує на оптимізацію адміністративних та збутових витрат як ключовий важіль підтримки інвестиційної привабливості. </w:t>
      </w:r>
      <w:r w:rsidRPr="00400BAB">
        <w:rPr>
          <w:color w:val="000000"/>
          <w:sz w:val="28"/>
          <w:szCs w:val="28"/>
        </w:rPr>
        <w:lastRenderedPageBreak/>
        <w:t>Виявлено, що для Kernel зовнішньоекономічні та геополітичні ризики є домінуючими, тоді як для Astarta-Kyiv та МХП на перший план виходять фактори технологічної ефективності та глибини переробки. Отримані результати діагностики фінансового стану стали емпіричною базою для твердження, що наявні методики оцінювання привабливості, засновані на статичних коефіцієнтах, не повною мірою відображають потенціал виживання та розвитку підприємств у надзвичайних умовах, що обґрунтовує необхідність математичного удосконалення підходів до оцінки</w:t>
      </w:r>
      <w:r>
        <w:t>.</w:t>
      </w:r>
    </w:p>
    <w:p w:rsidR="00B37265" w:rsidRPr="00400BAB" w:rsidRDefault="00B37265" w:rsidP="00400BAB">
      <w:pPr>
        <w:pStyle w:val="a5"/>
        <w:spacing w:before="0" w:beforeAutospacing="0" w:after="0" w:afterAutospacing="0" w:line="360" w:lineRule="auto"/>
        <w:ind w:firstLine="709"/>
        <w:jc w:val="both"/>
        <w:rPr>
          <w:color w:val="000000"/>
          <w:sz w:val="28"/>
          <w:szCs w:val="28"/>
        </w:rPr>
      </w:pPr>
      <w:r w:rsidRPr="00400BAB">
        <w:rPr>
          <w:color w:val="000000"/>
          <w:sz w:val="28"/>
          <w:szCs w:val="28"/>
        </w:rPr>
        <w:t>3.</w:t>
      </w:r>
      <w:r w:rsidRPr="00400BAB">
        <w:rPr>
          <w:b/>
          <w:bCs/>
          <w:color w:val="000000"/>
          <w:sz w:val="28"/>
          <w:szCs w:val="28"/>
        </w:rPr>
        <w:t xml:space="preserve"> </w:t>
      </w:r>
      <w:r w:rsidRPr="00400BAB">
        <w:rPr>
          <w:color w:val="000000"/>
          <w:sz w:val="28"/>
          <w:szCs w:val="28"/>
        </w:rPr>
        <w:t>У межах дослідження було розроблено та апробовано авторський математичний підхід до оцінки інвестиційної привабливості, який, на відміну від існуючих, базується на деагрегованій системі локальних показників та аналізі функціональних залежностей. Ключовий результат полягає у доведенні нелінійної природи віддачі від інвестицій у технології та цифровізацію. Розраховані коефіцієнти еластичності (S</w:t>
      </w:r>
      <w:r w:rsidRPr="00400BAB">
        <w:rPr>
          <w:color w:val="000000"/>
          <w:sz w:val="28"/>
          <w:szCs w:val="28"/>
          <w:vertAlign w:val="subscript"/>
        </w:rPr>
        <w:t>ia</w:t>
      </w:r>
      <w:r w:rsidRPr="00400BAB">
        <w:rPr>
          <w:color w:val="000000"/>
          <w:sz w:val="28"/>
          <w:szCs w:val="28"/>
        </w:rPr>
        <w:t>) підтвердили, що інвестиції у цифровізацію менеджме</w:t>
      </w:r>
      <w:r w:rsidR="00C32176">
        <w:rPr>
          <w:color w:val="000000"/>
          <w:sz w:val="28"/>
          <w:szCs w:val="28"/>
        </w:rPr>
        <w:t>нту та IT-рішення у період 2022</w:t>
      </w:r>
      <w:r w:rsidR="00C32176">
        <w:rPr>
          <w:color w:val="000000"/>
          <w:sz w:val="28"/>
          <w:szCs w:val="28"/>
          <w:lang w:val="uk-UA"/>
        </w:rPr>
        <w:t>-</w:t>
      </w:r>
      <w:r w:rsidRPr="00400BAB">
        <w:rPr>
          <w:color w:val="000000"/>
          <w:sz w:val="28"/>
          <w:szCs w:val="28"/>
        </w:rPr>
        <w:t>2024 рр. мали вищий вплив на прискорення оборотності активів, ніж прямі капітальні вкладення в основні засоби. Це дозволяє ідентифікувати «точки інтелектуального росту», які є вирішальними для залучення сучасного інвестора.</w:t>
      </w:r>
    </w:p>
    <w:p w:rsidR="0055571B" w:rsidRDefault="00B37265" w:rsidP="00B37265">
      <w:pPr>
        <w:pStyle w:val="a5"/>
        <w:spacing w:before="0" w:beforeAutospacing="0" w:after="0" w:afterAutospacing="0" w:line="360" w:lineRule="auto"/>
        <w:ind w:firstLine="709"/>
        <w:jc w:val="both"/>
        <w:rPr>
          <w:color w:val="000000"/>
          <w:sz w:val="28"/>
          <w:szCs w:val="28"/>
        </w:rPr>
      </w:pPr>
      <w:r w:rsidRPr="00400BAB">
        <w:rPr>
          <w:color w:val="000000"/>
          <w:sz w:val="28"/>
          <w:szCs w:val="28"/>
        </w:rPr>
        <w:t xml:space="preserve">Верифікація моделі чутливості продемонструвала критичні відмінності у профілях ризику підприємств: якщо інвестиційна вартість Kernel є гіперчутливою до логістичних витрат (коефіцієнт 1,45), то механізм Astarta-Kyiv ідентифіковано як найбільш стійкий (усі показники чутливості &lt; 1). Встановлено, що запропонований математичний інструментарій дозволяє перейти від ретроспективного опису фінансового стану до </w:t>
      </w:r>
      <w:r w:rsidRPr="00400BAB">
        <w:rPr>
          <w:color w:val="000000"/>
          <w:sz w:val="28"/>
          <w:szCs w:val="28"/>
          <w:lang w:val="uk-UA"/>
        </w:rPr>
        <w:t>проактивного</w:t>
      </w:r>
      <w:r w:rsidRPr="00400BAB">
        <w:rPr>
          <w:color w:val="000000"/>
          <w:sz w:val="28"/>
          <w:szCs w:val="28"/>
        </w:rPr>
        <w:t xml:space="preserve"> моделювання інвестиційної привабливості. Це забезпечує можливість кількісного обґрунтування стратегічних рішень щодо розподілу капіталу, роблячи процес формування привабливості керованим та математично вивіреним. </w:t>
      </w:r>
    </w:p>
    <w:p w:rsidR="0055571B" w:rsidRDefault="0055571B">
      <w:pPr>
        <w:spacing w:after="0" w:line="240" w:lineRule="auto"/>
        <w:rPr>
          <w:rFonts w:ascii="Times New Roman" w:eastAsia="Times New Roman" w:hAnsi="Times New Roman"/>
          <w:color w:val="000000"/>
          <w:sz w:val="28"/>
          <w:szCs w:val="28"/>
          <w:lang w:eastAsia="ru-RU"/>
        </w:rPr>
      </w:pPr>
      <w:r>
        <w:rPr>
          <w:color w:val="000000"/>
          <w:sz w:val="28"/>
          <w:szCs w:val="28"/>
        </w:rPr>
        <w:br w:type="page"/>
      </w:r>
    </w:p>
    <w:p w:rsidR="009D5DD0" w:rsidRDefault="00B37265" w:rsidP="009D5DD0">
      <w:pPr>
        <w:spacing w:after="0" w:line="360" w:lineRule="auto"/>
        <w:ind w:firstLine="709"/>
        <w:jc w:val="center"/>
        <w:rPr>
          <w:rFonts w:ascii="Times New Roman" w:hAnsi="Times New Roman"/>
          <w:b/>
          <w:bCs/>
          <w:sz w:val="28"/>
          <w:szCs w:val="28"/>
          <w:lang w:val="uk-UA"/>
        </w:rPr>
      </w:pPr>
      <w:r w:rsidRPr="009D5DD0">
        <w:rPr>
          <w:rFonts w:ascii="Times New Roman" w:hAnsi="Times New Roman"/>
          <w:b/>
          <w:bCs/>
          <w:sz w:val="28"/>
          <w:szCs w:val="28"/>
          <w:lang w:val="uk-UA"/>
        </w:rPr>
        <w:lastRenderedPageBreak/>
        <w:t xml:space="preserve">РОЗДІЛ 3 </w:t>
      </w:r>
    </w:p>
    <w:p w:rsidR="00B37265" w:rsidRPr="00027384" w:rsidRDefault="00027384" w:rsidP="00027384">
      <w:pPr>
        <w:spacing w:after="0" w:line="360" w:lineRule="auto"/>
        <w:jc w:val="center"/>
        <w:rPr>
          <w:rFonts w:ascii="Times New Roman" w:hAnsi="Times New Roman"/>
          <w:b/>
          <w:bCs/>
          <w:sz w:val="28"/>
          <w:szCs w:val="28"/>
          <w:lang w:val="uk-UA"/>
        </w:rPr>
      </w:pPr>
      <w:r w:rsidRPr="00771D6F">
        <w:rPr>
          <w:rFonts w:ascii="Times New Roman" w:hAnsi="Times New Roman"/>
          <w:b/>
          <w:bCs/>
          <w:sz w:val="28"/>
          <w:szCs w:val="28"/>
          <w:lang w:val="uk-UA"/>
        </w:rPr>
        <w:t xml:space="preserve">ШЛЯХИ УДОСКОНАЛЕННЯ ЕКОНОМІЧНОГО МЕХАНІЗМУ </w:t>
      </w:r>
      <w:r w:rsidR="00B37265" w:rsidRPr="00027384">
        <w:rPr>
          <w:rFonts w:ascii="Times New Roman" w:hAnsi="Times New Roman"/>
          <w:b/>
          <w:bCs/>
          <w:sz w:val="28"/>
          <w:szCs w:val="28"/>
          <w:lang w:val="uk-UA"/>
        </w:rPr>
        <w:t>РОЗВИТКУ ІНВЕСТИЦІЙНОЇ ПРИВАБЛИВОСТІ СІЛЬСЬКОГОСПОДАРСЬКИХ ПІДПРИЄМСТВ</w:t>
      </w:r>
    </w:p>
    <w:p w:rsidR="00B37265" w:rsidRPr="009D5DD0" w:rsidRDefault="00B37265" w:rsidP="009D5DD0">
      <w:pPr>
        <w:spacing w:after="0" w:line="360" w:lineRule="auto"/>
        <w:ind w:firstLine="709"/>
        <w:jc w:val="center"/>
        <w:rPr>
          <w:rFonts w:ascii="Times New Roman" w:hAnsi="Times New Roman"/>
          <w:b/>
          <w:bCs/>
          <w:sz w:val="28"/>
          <w:szCs w:val="28"/>
          <w:lang w:val="uk-UA"/>
        </w:rPr>
      </w:pPr>
    </w:p>
    <w:p w:rsidR="00B37265" w:rsidRPr="00103781" w:rsidRDefault="00B37265" w:rsidP="004C5906">
      <w:pPr>
        <w:spacing w:after="0" w:line="360" w:lineRule="auto"/>
        <w:ind w:firstLine="709"/>
        <w:jc w:val="center"/>
        <w:rPr>
          <w:rFonts w:ascii="Times New Roman" w:eastAsia="Times New Roman" w:hAnsi="Times New Roman"/>
          <w:b/>
          <w:color w:val="000000"/>
          <w:sz w:val="28"/>
          <w:szCs w:val="28"/>
          <w:lang w:val="uk-UA" w:eastAsia="ru-RU"/>
        </w:rPr>
      </w:pPr>
    </w:p>
    <w:p w:rsidR="004C5906" w:rsidRPr="00103781" w:rsidRDefault="00B37265" w:rsidP="004C5906">
      <w:pPr>
        <w:spacing w:after="0" w:line="360" w:lineRule="auto"/>
        <w:ind w:firstLine="709"/>
        <w:jc w:val="both"/>
        <w:rPr>
          <w:rFonts w:ascii="Times New Roman" w:eastAsia="Times New Roman" w:hAnsi="Times New Roman"/>
          <w:b/>
          <w:color w:val="000000"/>
          <w:sz w:val="28"/>
          <w:szCs w:val="28"/>
          <w:lang w:val="uk-UA" w:eastAsia="ru-RU"/>
        </w:rPr>
      </w:pPr>
      <w:r w:rsidRPr="00103781">
        <w:rPr>
          <w:rFonts w:ascii="Times New Roman" w:eastAsia="Times New Roman" w:hAnsi="Times New Roman"/>
          <w:b/>
          <w:color w:val="000000"/>
          <w:sz w:val="28"/>
          <w:szCs w:val="28"/>
          <w:lang w:val="uk-UA" w:eastAsia="ru-RU"/>
        </w:rPr>
        <w:t xml:space="preserve">3.1 </w:t>
      </w:r>
      <w:r w:rsidR="004C5906" w:rsidRPr="00103781">
        <w:rPr>
          <w:rFonts w:ascii="Times New Roman" w:eastAsia="Times New Roman" w:hAnsi="Times New Roman"/>
          <w:b/>
          <w:color w:val="000000"/>
          <w:sz w:val="28"/>
          <w:szCs w:val="28"/>
          <w:lang w:val="uk-UA" w:eastAsia="ru-RU"/>
        </w:rPr>
        <w:t>Концептуальний підхід до формування економічного механізму розвитку інвестиційної привабливості сільськогосподарських підприємств</w:t>
      </w:r>
    </w:p>
    <w:p w:rsidR="004C5906" w:rsidRPr="00103781" w:rsidRDefault="004C5906" w:rsidP="004C5906">
      <w:pPr>
        <w:spacing w:after="0" w:line="360" w:lineRule="auto"/>
        <w:ind w:firstLine="709"/>
        <w:jc w:val="both"/>
        <w:rPr>
          <w:rFonts w:ascii="Times New Roman" w:eastAsia="Times New Roman" w:hAnsi="Times New Roman"/>
          <w:b/>
          <w:color w:val="000000"/>
          <w:sz w:val="28"/>
          <w:szCs w:val="28"/>
          <w:lang w:val="uk-UA" w:eastAsia="ru-RU"/>
        </w:rPr>
      </w:pPr>
    </w:p>
    <w:p w:rsidR="00B37265" w:rsidRPr="009D5DD0" w:rsidRDefault="00B37265" w:rsidP="009D5DD0">
      <w:pPr>
        <w:pStyle w:val="a5"/>
        <w:spacing w:before="0" w:beforeAutospacing="0" w:after="0" w:afterAutospacing="0" w:line="360" w:lineRule="auto"/>
        <w:ind w:firstLine="709"/>
        <w:jc w:val="both"/>
        <w:rPr>
          <w:color w:val="000000"/>
          <w:sz w:val="28"/>
          <w:szCs w:val="28"/>
        </w:rPr>
      </w:pPr>
      <w:r w:rsidRPr="009D5DD0">
        <w:rPr>
          <w:color w:val="000000"/>
          <w:sz w:val="28"/>
          <w:szCs w:val="28"/>
        </w:rPr>
        <w:t>Результати проведеного у другому розділі аналітичного оцінювання та діагностики сучасного стану аграрних підприємств засвідчили критичну необхідність переходу від фрагментарного управління інвестиційними процесами до формування цілісного, адаптивного економічного механізму. В умовах посткризового відновлення та перманентної макроекономічної турбулентності, традиційні підходи до залучення капіталу вичерпують свій потенціал, поступаючись місцем складним інтегрованим системам управління цінністю підприємства. Концептуалізація формування економічного механізму розвитку інвестиційної привабливості вимагає переосмислення фундаментальних засад взаємодії між внутрішнім потенціалом суб’єкта господарювання та динамічними запитами глобального інвестиційного ринку</w:t>
      </w:r>
      <w:r w:rsidR="004009DE">
        <w:rPr>
          <w:color w:val="000000"/>
          <w:sz w:val="28"/>
          <w:szCs w:val="28"/>
        </w:rPr>
        <w:t xml:space="preserve"> [50]</w:t>
      </w:r>
      <w:r>
        <w:t>.</w:t>
      </w:r>
    </w:p>
    <w:p w:rsidR="00B37265" w:rsidRPr="009D5DD0" w:rsidRDefault="00B37265" w:rsidP="009D5DD0">
      <w:pPr>
        <w:pStyle w:val="a5"/>
        <w:spacing w:before="0" w:beforeAutospacing="0" w:after="0" w:afterAutospacing="0" w:line="360" w:lineRule="auto"/>
        <w:ind w:firstLine="709"/>
        <w:jc w:val="both"/>
        <w:rPr>
          <w:color w:val="000000"/>
          <w:sz w:val="28"/>
          <w:szCs w:val="28"/>
        </w:rPr>
      </w:pPr>
      <w:r w:rsidRPr="009D5DD0">
        <w:rPr>
          <w:color w:val="000000"/>
          <w:sz w:val="28"/>
          <w:szCs w:val="28"/>
        </w:rPr>
        <w:t xml:space="preserve">Актуальність розробки концептуальних засад зумовлена специфікою аграрного виробництва, де інвестиційна привабливість визначається не лише фінансовою результативністю, а й здатністю до технологічного оновлення, екологічної стійкості (ESG-фактори) та соціальної відповідальності. Формування механізму має базуватися на принципах </w:t>
      </w:r>
      <w:r w:rsidRPr="009D5DD0">
        <w:rPr>
          <w:color w:val="000000"/>
          <w:sz w:val="28"/>
          <w:szCs w:val="28"/>
          <w:lang w:val="uk-UA"/>
        </w:rPr>
        <w:t>проактивного</w:t>
      </w:r>
      <w:r w:rsidRPr="009D5DD0">
        <w:rPr>
          <w:color w:val="000000"/>
          <w:sz w:val="28"/>
          <w:szCs w:val="28"/>
        </w:rPr>
        <w:t xml:space="preserve"> та стратегічного цілепокладання, що дозволить підприємству не просто реагувати на зміни зовнішнього середовища, а </w:t>
      </w:r>
      <w:r w:rsidRPr="009D5DD0">
        <w:rPr>
          <w:color w:val="000000"/>
          <w:sz w:val="28"/>
          <w:szCs w:val="28"/>
          <w:lang w:val="uk-UA"/>
        </w:rPr>
        <w:t>наперед</w:t>
      </w:r>
      <w:r w:rsidRPr="009D5DD0">
        <w:rPr>
          <w:color w:val="000000"/>
          <w:sz w:val="28"/>
          <w:szCs w:val="28"/>
        </w:rPr>
        <w:t xml:space="preserve"> конструювати свій інвестиційний профіль. Це передбачає створення такої архітектури </w:t>
      </w:r>
      <w:r w:rsidRPr="009D5DD0">
        <w:rPr>
          <w:color w:val="000000"/>
          <w:sz w:val="28"/>
          <w:szCs w:val="28"/>
        </w:rPr>
        <w:lastRenderedPageBreak/>
        <w:t>управління, де кожне управлінське рішення проходить крізь призму його впливу на довгострокову вартість компанії та рівень довіри потенційних стейкхолдерів</w:t>
      </w:r>
      <w:r w:rsidR="004009DE">
        <w:rPr>
          <w:color w:val="000000"/>
          <w:sz w:val="28"/>
          <w:szCs w:val="28"/>
        </w:rPr>
        <w:t xml:space="preserve"> [39, 111]</w:t>
      </w:r>
      <w:r>
        <w:t>.</w:t>
      </w:r>
    </w:p>
    <w:p w:rsidR="00B37265" w:rsidRPr="009D5DD0" w:rsidRDefault="00B37265" w:rsidP="009D5DD0">
      <w:pPr>
        <w:pStyle w:val="a5"/>
        <w:spacing w:before="0" w:beforeAutospacing="0" w:after="0" w:afterAutospacing="0" w:line="360" w:lineRule="auto"/>
        <w:ind w:firstLine="709"/>
        <w:jc w:val="both"/>
        <w:rPr>
          <w:color w:val="000000"/>
          <w:sz w:val="28"/>
          <w:szCs w:val="28"/>
        </w:rPr>
      </w:pPr>
      <w:r w:rsidRPr="009D5DD0">
        <w:rPr>
          <w:color w:val="000000"/>
          <w:sz w:val="28"/>
          <w:szCs w:val="28"/>
        </w:rPr>
        <w:t>Науковий пошук у межах даного розділу спрямований на декомпозицію економічного механізму як складної динамічної системи, що інтегрує ресурсні, функціональні та інструментальні компоненти. Концептуальні засади формування такого механізму повинні враховувати нелінійність сучасних економічних процесів, ідентифіковану нами раніше через математичні залежності та моделі чутливості. Таким чином, розробка теоретико-методологічного базису механізму стає відправною точкою для впровадження прикладних моделей оптимізації інвестиційної діяльності, що забезпечить сільськогосподарським підприємствам стійкі конкурентні переваги та доступ до диверсифікованих джерел капіталу в довгостроковій перспективі.</w:t>
      </w:r>
    </w:p>
    <w:p w:rsidR="00B37265" w:rsidRPr="009D5DD0" w:rsidRDefault="00B37265" w:rsidP="009D5DD0">
      <w:pPr>
        <w:spacing w:after="0" w:line="360" w:lineRule="auto"/>
        <w:ind w:firstLine="709"/>
        <w:jc w:val="both"/>
        <w:rPr>
          <w:rFonts w:ascii="Times New Roman" w:hAnsi="Times New Roman"/>
          <w:color w:val="000000"/>
          <w:sz w:val="28"/>
          <w:szCs w:val="28"/>
          <w:lang w:val="uk-UA"/>
        </w:rPr>
      </w:pPr>
      <w:r w:rsidRPr="009D5DD0">
        <w:rPr>
          <w:rFonts w:ascii="Times New Roman" w:hAnsi="Times New Roman"/>
          <w:color w:val="000000"/>
          <w:sz w:val="28"/>
          <w:szCs w:val="28"/>
        </w:rPr>
        <w:t>Економічна сутність механізму розвитку інвестиційної привабливості сільськогосподарських підприємств полягає у сукупності взаємопов’язаних елементів, методів та інструментів, що забезпечують трансформацію ресурсного потенціалу суб’єкта господарювання у привабливий для інвестора ціннісний актив. На відміну від загального механізму інвестування, механізм розвитку привабливості фокусується на якісному вдосконаленні внутрішніх параметрів діяльності (ефективності, прозорості, стійкості), що генерують позитивний імпульс для зовнішніх суб’єктів капіталу</w:t>
      </w:r>
      <w:r w:rsidRPr="009D5DD0">
        <w:rPr>
          <w:rFonts w:ascii="Times New Roman" w:hAnsi="Times New Roman"/>
          <w:color w:val="000000"/>
          <w:sz w:val="28"/>
          <w:szCs w:val="28"/>
          <w:lang w:val="uk-UA"/>
        </w:rPr>
        <w:t xml:space="preserve"> (рис. Е.1 (додаток Е))</w:t>
      </w:r>
      <w:r w:rsidR="004009DE">
        <w:rPr>
          <w:rFonts w:ascii="Times New Roman" w:hAnsi="Times New Roman"/>
          <w:color w:val="000000"/>
          <w:sz w:val="28"/>
          <w:szCs w:val="28"/>
        </w:rPr>
        <w:t xml:space="preserve"> </w:t>
      </w:r>
      <w:r w:rsidR="004009DE">
        <w:rPr>
          <w:rFonts w:ascii="Times New Roman" w:eastAsia="Times New Roman" w:hAnsi="Times New Roman"/>
          <w:color w:val="000000"/>
          <w:sz w:val="28"/>
          <w:szCs w:val="28"/>
        </w:rPr>
        <w:t>[55, 96, 101, 133]</w:t>
      </w:r>
      <w:r>
        <w:t>.</w:t>
      </w:r>
    </w:p>
    <w:p w:rsidR="00B37265" w:rsidRPr="009D5DD0" w:rsidRDefault="00B37265" w:rsidP="009D5DD0">
      <w:pPr>
        <w:pStyle w:val="a5"/>
        <w:spacing w:before="0" w:beforeAutospacing="0" w:after="0" w:afterAutospacing="0" w:line="360" w:lineRule="auto"/>
        <w:ind w:firstLine="709"/>
        <w:jc w:val="both"/>
        <w:rPr>
          <w:color w:val="000000"/>
          <w:sz w:val="28"/>
          <w:szCs w:val="28"/>
        </w:rPr>
      </w:pPr>
      <w:r w:rsidRPr="009D5DD0">
        <w:rPr>
          <w:color w:val="000000"/>
          <w:sz w:val="28"/>
          <w:szCs w:val="28"/>
        </w:rPr>
        <w:t>Структура запропонованого економічного механізму є багатовимірною та включає наступні блоки:</w:t>
      </w:r>
    </w:p>
    <w:p w:rsidR="00B37265" w:rsidRPr="009D5DD0" w:rsidRDefault="00B37265" w:rsidP="009D5DD0">
      <w:pPr>
        <w:pStyle w:val="a5"/>
        <w:numPr>
          <w:ilvl w:val="0"/>
          <w:numId w:val="15"/>
        </w:numPr>
        <w:spacing w:before="0" w:beforeAutospacing="0" w:after="0" w:afterAutospacing="0" w:line="360" w:lineRule="auto"/>
        <w:ind w:left="0" w:firstLine="709"/>
        <w:jc w:val="both"/>
        <w:rPr>
          <w:color w:val="000000"/>
          <w:sz w:val="28"/>
          <w:szCs w:val="28"/>
        </w:rPr>
      </w:pPr>
      <w:r w:rsidRPr="009D5DD0">
        <w:rPr>
          <w:color w:val="000000"/>
          <w:sz w:val="28"/>
          <w:szCs w:val="28"/>
        </w:rPr>
        <w:t>Суб’єктно-об’єктний блок</w:t>
      </w:r>
      <w:r w:rsidRPr="009D5DD0">
        <w:rPr>
          <w:color w:val="000000"/>
          <w:sz w:val="28"/>
          <w:szCs w:val="28"/>
          <w:lang w:val="uk-UA"/>
        </w:rPr>
        <w:t xml:space="preserve"> -</w:t>
      </w:r>
      <w:r w:rsidRPr="009D5DD0">
        <w:rPr>
          <w:b/>
          <w:bCs/>
          <w:color w:val="000000"/>
          <w:sz w:val="28"/>
          <w:szCs w:val="28"/>
          <w:lang w:val="uk-UA"/>
        </w:rPr>
        <w:t xml:space="preserve"> </w:t>
      </w:r>
      <w:r w:rsidRPr="009D5DD0">
        <w:rPr>
          <w:color w:val="000000"/>
          <w:sz w:val="28"/>
          <w:szCs w:val="28"/>
        </w:rPr>
        <w:t>визначає коло осіб (менеджмент, власники, інвестори), що приймають рішення, та безпосередні об’єкти впливу (біологічні активи, основні засоби, нематеріальні активи).</w:t>
      </w:r>
    </w:p>
    <w:p w:rsidR="00435FDC" w:rsidRDefault="00EB5B4E">
      <w:r>
        <w:rPr>
          <w:rFonts w:ascii="Times New Roman" w:eastAsia="Times New Roman" w:hAnsi="Times New Roman"/>
          <w:sz w:val="28"/>
        </w:rPr>
        <w:t>Структурно-функціональну модель наведено в додатку Е (рис. Е.1).</w:t>
      </w:r>
    </w:p>
    <w:p w:rsidR="00B37265" w:rsidRPr="005C38DA" w:rsidRDefault="00B37265" w:rsidP="005C38DA">
      <w:pPr>
        <w:pStyle w:val="a5"/>
        <w:numPr>
          <w:ilvl w:val="0"/>
          <w:numId w:val="15"/>
        </w:numPr>
        <w:tabs>
          <w:tab w:val="clear" w:pos="720"/>
          <w:tab w:val="num" w:pos="0"/>
        </w:tabs>
        <w:spacing w:before="0" w:beforeAutospacing="0" w:after="0" w:afterAutospacing="0" w:line="360" w:lineRule="auto"/>
        <w:ind w:left="0" w:firstLine="709"/>
        <w:contextualSpacing/>
        <w:jc w:val="both"/>
        <w:rPr>
          <w:color w:val="000000"/>
          <w:sz w:val="28"/>
          <w:szCs w:val="28"/>
          <w:lang w:val="uk-UA"/>
        </w:rPr>
      </w:pPr>
      <w:r w:rsidRPr="005C38DA">
        <w:rPr>
          <w:color w:val="000000"/>
          <w:sz w:val="28"/>
          <w:szCs w:val="28"/>
          <w:lang w:val="uk-UA"/>
        </w:rPr>
        <w:lastRenderedPageBreak/>
        <w:t>Ресурсний блок – інтегрує фінансові, технологічні, інтелектуальні та природні ресурси, що складають базис інвестиційного потенціалу</w:t>
      </w:r>
      <w:r w:rsidR="004009DE">
        <w:rPr>
          <w:color w:val="000000"/>
          <w:sz w:val="28"/>
          <w:szCs w:val="28"/>
          <w:lang w:val="uk-UA"/>
        </w:rPr>
        <w:t xml:space="preserve"> [21, 26, 72, 104, 109, 128]</w:t>
      </w:r>
      <w:r w:rsidRPr="004009DE">
        <w:rPr>
          <w:lang w:val="uk-UA"/>
        </w:rPr>
        <w:t>.</w:t>
      </w:r>
    </w:p>
    <w:p w:rsidR="00B37265" w:rsidRPr="005C38DA" w:rsidRDefault="00B37265" w:rsidP="005C38DA">
      <w:pPr>
        <w:pStyle w:val="a5"/>
        <w:numPr>
          <w:ilvl w:val="0"/>
          <w:numId w:val="15"/>
        </w:numPr>
        <w:spacing w:before="0" w:beforeAutospacing="0" w:after="0" w:afterAutospacing="0" w:line="360" w:lineRule="auto"/>
        <w:ind w:left="0" w:firstLine="851"/>
        <w:contextualSpacing/>
        <w:jc w:val="both"/>
        <w:rPr>
          <w:color w:val="000000"/>
          <w:sz w:val="28"/>
          <w:szCs w:val="28"/>
          <w:lang w:val="uk-UA"/>
        </w:rPr>
      </w:pPr>
      <w:r w:rsidRPr="005C38DA">
        <w:rPr>
          <w:color w:val="000000"/>
          <w:sz w:val="28"/>
          <w:szCs w:val="28"/>
          <w:lang w:val="uk-UA"/>
        </w:rPr>
        <w:t>Інструментально-методичний блок – охоплює математичні моделі оцінки, методи мінімізації ризиків, цифрові платформи моніторингу та інструменти фінансового інжинірингу</w:t>
      </w:r>
      <w:r w:rsidR="004009DE">
        <w:rPr>
          <w:color w:val="000000"/>
          <w:sz w:val="28"/>
          <w:szCs w:val="28"/>
          <w:lang w:val="uk-UA"/>
        </w:rPr>
        <w:t xml:space="preserve"> [103]</w:t>
      </w:r>
      <w:r w:rsidRPr="004009DE">
        <w:rPr>
          <w:lang w:val="uk-UA"/>
        </w:rPr>
        <w:t>.</w:t>
      </w:r>
    </w:p>
    <w:p w:rsidR="00B37265" w:rsidRPr="005C38DA" w:rsidRDefault="00B37265" w:rsidP="005C38DA">
      <w:pPr>
        <w:pStyle w:val="a5"/>
        <w:numPr>
          <w:ilvl w:val="0"/>
          <w:numId w:val="15"/>
        </w:numPr>
        <w:spacing w:before="0" w:beforeAutospacing="0" w:after="0" w:afterAutospacing="0" w:line="360" w:lineRule="auto"/>
        <w:ind w:left="0" w:firstLine="851"/>
        <w:contextualSpacing/>
        <w:jc w:val="both"/>
        <w:rPr>
          <w:color w:val="000000"/>
          <w:sz w:val="28"/>
          <w:szCs w:val="28"/>
        </w:rPr>
      </w:pPr>
      <w:r w:rsidRPr="005C38DA">
        <w:rPr>
          <w:color w:val="000000"/>
          <w:sz w:val="28"/>
          <w:szCs w:val="28"/>
        </w:rPr>
        <w:t>Результативний блок</w:t>
      </w:r>
      <w:r w:rsidRPr="005C38DA">
        <w:rPr>
          <w:rStyle w:val="apple-converted-space"/>
          <w:rFonts w:eastAsiaTheme="majorEastAsia"/>
          <w:color w:val="000000"/>
          <w:lang w:val="uk-UA"/>
        </w:rPr>
        <w:t xml:space="preserve"> – </w:t>
      </w:r>
      <w:r w:rsidRPr="005C38DA">
        <w:rPr>
          <w:color w:val="000000"/>
          <w:sz w:val="28"/>
          <w:szCs w:val="28"/>
        </w:rPr>
        <w:t>виражається</w:t>
      </w:r>
      <w:r w:rsidRPr="005C38DA">
        <w:rPr>
          <w:color w:val="000000"/>
          <w:sz w:val="28"/>
          <w:szCs w:val="28"/>
          <w:lang w:val="uk-UA"/>
        </w:rPr>
        <w:t xml:space="preserve"> </w:t>
      </w:r>
      <w:r w:rsidRPr="005C38DA">
        <w:rPr>
          <w:color w:val="000000"/>
          <w:sz w:val="28"/>
          <w:szCs w:val="28"/>
        </w:rPr>
        <w:t>через зростання ринкової вартості компанії, зміцнення її кредитного рейтингу та розширення доступу до міжнародних ринків капіталу.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rPr>
        <w:t>Принципи, функції та цілі механізму</w:t>
      </w:r>
      <w:r w:rsidRPr="005C38DA">
        <w:rPr>
          <w:color w:val="000000"/>
          <w:sz w:val="28"/>
          <w:szCs w:val="28"/>
          <w:lang w:val="uk-UA"/>
        </w:rPr>
        <w:t xml:space="preserve"> охоплюють велике коло складових. </w:t>
      </w:r>
      <w:r w:rsidRPr="005C38DA">
        <w:rPr>
          <w:color w:val="000000"/>
          <w:sz w:val="28"/>
          <w:szCs w:val="28"/>
        </w:rPr>
        <w:t>Ефективне функціонування механізму забезпечується дотриманням системи фундаментальних</w:t>
      </w:r>
      <w:r w:rsidRPr="005C38DA">
        <w:rPr>
          <w:rStyle w:val="apple-converted-space"/>
          <w:rFonts w:eastAsiaTheme="majorEastAsia"/>
          <w:color w:val="000000"/>
          <w:lang w:val="uk-UA"/>
        </w:rPr>
        <w:t xml:space="preserve"> </w:t>
      </w:r>
      <w:r w:rsidRPr="005C38DA">
        <w:rPr>
          <w:color w:val="000000"/>
          <w:sz w:val="28"/>
          <w:szCs w:val="28"/>
        </w:rPr>
        <w:t>принципів:</w:t>
      </w:r>
    </w:p>
    <w:p w:rsidR="00B37265" w:rsidRPr="005C38DA" w:rsidRDefault="00B37265" w:rsidP="005C38DA">
      <w:pPr>
        <w:pStyle w:val="a5"/>
        <w:numPr>
          <w:ilvl w:val="0"/>
          <w:numId w:val="17"/>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Принцип стратегічної імперативності</w:t>
      </w:r>
      <w:r w:rsidRPr="005C38DA">
        <w:rPr>
          <w:i/>
          <w:iCs/>
          <w:color w:val="000000"/>
          <w:sz w:val="28"/>
          <w:szCs w:val="28"/>
          <w:lang w:val="uk-UA"/>
        </w:rPr>
        <w:t xml:space="preserve"> – </w:t>
      </w:r>
      <w:r w:rsidRPr="005C38DA">
        <w:rPr>
          <w:color w:val="000000"/>
          <w:sz w:val="28"/>
          <w:szCs w:val="28"/>
        </w:rPr>
        <w:t>підпорядкування</w:t>
      </w:r>
      <w:r w:rsidRPr="005C38DA">
        <w:rPr>
          <w:color w:val="000000"/>
          <w:sz w:val="28"/>
          <w:szCs w:val="28"/>
          <w:lang w:val="uk-UA"/>
        </w:rPr>
        <w:t xml:space="preserve"> </w:t>
      </w:r>
      <w:r w:rsidRPr="005C38DA">
        <w:rPr>
          <w:color w:val="000000"/>
          <w:sz w:val="28"/>
          <w:szCs w:val="28"/>
        </w:rPr>
        <w:t>поточних інвестиційних рішень глобальній стратегії розвитку компанії.</w:t>
      </w:r>
    </w:p>
    <w:p w:rsidR="00B37265" w:rsidRPr="005C38DA" w:rsidRDefault="00B37265" w:rsidP="005C38DA">
      <w:pPr>
        <w:pStyle w:val="a5"/>
        <w:numPr>
          <w:ilvl w:val="0"/>
          <w:numId w:val="17"/>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Принцип інформаційної симметрії</w:t>
      </w:r>
      <w:r w:rsidRPr="005C38DA">
        <w:rPr>
          <w:i/>
          <w:iCs/>
          <w:color w:val="000000"/>
          <w:sz w:val="28"/>
          <w:szCs w:val="28"/>
          <w:lang w:val="uk-UA"/>
        </w:rPr>
        <w:t xml:space="preserve"> – </w:t>
      </w:r>
      <w:r w:rsidRPr="005C38DA">
        <w:rPr>
          <w:color w:val="000000"/>
          <w:sz w:val="28"/>
          <w:szCs w:val="28"/>
        </w:rPr>
        <w:t>забезпечення</w:t>
      </w:r>
      <w:r w:rsidRPr="005C38DA">
        <w:rPr>
          <w:color w:val="000000"/>
          <w:sz w:val="28"/>
          <w:szCs w:val="28"/>
          <w:lang w:val="uk-UA"/>
        </w:rPr>
        <w:t xml:space="preserve"> </w:t>
      </w:r>
      <w:r w:rsidRPr="005C38DA">
        <w:rPr>
          <w:color w:val="000000"/>
          <w:sz w:val="28"/>
          <w:szCs w:val="28"/>
        </w:rPr>
        <w:t>прозорості та доступності даних про діяльність підприємства для всіх груп інвесторів.</w:t>
      </w:r>
    </w:p>
    <w:p w:rsidR="00B37265" w:rsidRPr="005C38DA" w:rsidRDefault="00B37265" w:rsidP="005C38DA">
      <w:pPr>
        <w:pStyle w:val="a5"/>
        <w:numPr>
          <w:ilvl w:val="0"/>
          <w:numId w:val="17"/>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Принцип синергі</w:t>
      </w:r>
      <w:r w:rsidRPr="005C38DA">
        <w:rPr>
          <w:i/>
          <w:iCs/>
          <w:color w:val="000000"/>
          <w:sz w:val="28"/>
          <w:szCs w:val="28"/>
          <w:lang w:val="uk-UA"/>
        </w:rPr>
        <w:t xml:space="preserve">ї – </w:t>
      </w:r>
      <w:r w:rsidRPr="005C38DA">
        <w:rPr>
          <w:color w:val="000000"/>
          <w:sz w:val="28"/>
          <w:szCs w:val="28"/>
        </w:rPr>
        <w:t>досягнення</w:t>
      </w:r>
      <w:r w:rsidRPr="005C38DA">
        <w:rPr>
          <w:color w:val="000000"/>
          <w:sz w:val="28"/>
          <w:szCs w:val="28"/>
          <w:lang w:val="uk-UA"/>
        </w:rPr>
        <w:t xml:space="preserve"> </w:t>
      </w:r>
      <w:r w:rsidRPr="005C38DA">
        <w:rPr>
          <w:color w:val="000000"/>
          <w:sz w:val="28"/>
          <w:szCs w:val="28"/>
        </w:rPr>
        <w:t>додаткового ефекту від інтеграції технологічних, управлінських та екологічних інновацій.</w:t>
      </w:r>
    </w:p>
    <w:p w:rsidR="00B37265" w:rsidRPr="005C38DA" w:rsidRDefault="00B37265" w:rsidP="005C38DA">
      <w:pPr>
        <w:pStyle w:val="a5"/>
        <w:numPr>
          <w:ilvl w:val="0"/>
          <w:numId w:val="17"/>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Принцип динамічної адаптивності</w:t>
      </w:r>
      <w:r w:rsidRPr="005C38DA">
        <w:rPr>
          <w:i/>
          <w:iCs/>
          <w:color w:val="000000"/>
          <w:sz w:val="28"/>
          <w:szCs w:val="28"/>
          <w:lang w:val="uk-UA"/>
        </w:rPr>
        <w:t xml:space="preserve"> – </w:t>
      </w:r>
      <w:r w:rsidRPr="005C38DA">
        <w:rPr>
          <w:color w:val="000000"/>
          <w:sz w:val="28"/>
          <w:szCs w:val="28"/>
        </w:rPr>
        <w:t>здатність</w:t>
      </w:r>
      <w:r w:rsidRPr="005C38DA">
        <w:rPr>
          <w:color w:val="000000"/>
          <w:sz w:val="28"/>
          <w:szCs w:val="28"/>
          <w:lang w:val="uk-UA"/>
        </w:rPr>
        <w:t xml:space="preserve"> </w:t>
      </w:r>
      <w:r w:rsidRPr="005C38DA">
        <w:rPr>
          <w:color w:val="000000"/>
          <w:sz w:val="28"/>
          <w:szCs w:val="28"/>
        </w:rPr>
        <w:t>механізму до самокорекції параметрів у відповідь на зміну макроекономічної кон’юнктури</w:t>
      </w:r>
      <w:r w:rsidR="004009DE">
        <w:rPr>
          <w:color w:val="000000"/>
          <w:sz w:val="28"/>
          <w:szCs w:val="28"/>
        </w:rPr>
        <w:t xml:space="preserve"> [60, 158]</w:t>
      </w:r>
      <w:r>
        <w:t>.</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rPr>
      </w:pPr>
      <w:r w:rsidRPr="005C38DA">
        <w:rPr>
          <w:color w:val="000000"/>
          <w:sz w:val="28"/>
          <w:szCs w:val="28"/>
        </w:rPr>
        <w:t>Основними</w:t>
      </w:r>
      <w:r w:rsidRPr="005C38DA">
        <w:rPr>
          <w:rStyle w:val="apple-converted-space"/>
          <w:rFonts w:eastAsiaTheme="majorEastAsia"/>
          <w:color w:val="000000"/>
          <w:lang w:val="uk-UA"/>
        </w:rPr>
        <w:t xml:space="preserve"> </w:t>
      </w:r>
      <w:r w:rsidRPr="005C38DA">
        <w:rPr>
          <w:color w:val="000000"/>
          <w:sz w:val="28"/>
          <w:szCs w:val="28"/>
        </w:rPr>
        <w:t>функціями</w:t>
      </w:r>
      <w:r w:rsidRPr="005C38DA">
        <w:rPr>
          <w:rStyle w:val="apple-converted-space"/>
          <w:rFonts w:eastAsiaTheme="majorEastAsia"/>
          <w:color w:val="000000"/>
          <w:lang w:val="uk-UA"/>
        </w:rPr>
        <w:t xml:space="preserve"> </w:t>
      </w:r>
      <w:r w:rsidRPr="005C38DA">
        <w:rPr>
          <w:color w:val="000000"/>
          <w:sz w:val="28"/>
          <w:szCs w:val="28"/>
        </w:rPr>
        <w:t xml:space="preserve">механізму </w:t>
      </w:r>
      <w:r w:rsidRPr="005C38DA">
        <w:rPr>
          <w:color w:val="000000"/>
          <w:sz w:val="28"/>
          <w:szCs w:val="28"/>
          <w:lang w:val="uk-UA"/>
        </w:rPr>
        <w:t>визначено наступні</w:t>
      </w:r>
      <w:r w:rsidRPr="005C38DA">
        <w:rPr>
          <w:color w:val="000000"/>
          <w:sz w:val="28"/>
          <w:szCs w:val="28"/>
        </w:rPr>
        <w:t>:</w:t>
      </w:r>
    </w:p>
    <w:p w:rsidR="00B37265" w:rsidRPr="005C38DA" w:rsidRDefault="00B37265" w:rsidP="005C38DA">
      <w:pPr>
        <w:pStyle w:val="a5"/>
        <w:numPr>
          <w:ilvl w:val="0"/>
          <w:numId w:val="18"/>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Стимулююча</w:t>
      </w:r>
      <w:r w:rsidRPr="005C38DA">
        <w:rPr>
          <w:i/>
          <w:iCs/>
          <w:color w:val="000000"/>
          <w:sz w:val="28"/>
          <w:szCs w:val="28"/>
          <w:lang w:val="uk-UA"/>
        </w:rPr>
        <w:t xml:space="preserve"> – </w:t>
      </w:r>
      <w:r w:rsidRPr="005C38DA">
        <w:rPr>
          <w:color w:val="000000"/>
          <w:sz w:val="28"/>
          <w:szCs w:val="28"/>
        </w:rPr>
        <w:t>створення</w:t>
      </w:r>
      <w:r w:rsidRPr="005C38DA">
        <w:rPr>
          <w:color w:val="000000"/>
          <w:sz w:val="28"/>
          <w:szCs w:val="28"/>
          <w:lang w:val="uk-UA"/>
        </w:rPr>
        <w:t xml:space="preserve"> </w:t>
      </w:r>
      <w:r w:rsidRPr="005C38DA">
        <w:rPr>
          <w:color w:val="000000"/>
          <w:sz w:val="28"/>
          <w:szCs w:val="28"/>
        </w:rPr>
        <w:t>мотиваційних важелів для впровадження інновацій та підвищення рентабельності.</w:t>
      </w:r>
    </w:p>
    <w:p w:rsidR="00B37265" w:rsidRPr="005C38DA" w:rsidRDefault="00B37265" w:rsidP="005C38DA">
      <w:pPr>
        <w:pStyle w:val="a5"/>
        <w:numPr>
          <w:ilvl w:val="0"/>
          <w:numId w:val="18"/>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Захисна (ризик-орієнтована)</w:t>
      </w:r>
      <w:r w:rsidRPr="005C38DA">
        <w:rPr>
          <w:i/>
          <w:iCs/>
          <w:color w:val="000000"/>
          <w:sz w:val="28"/>
          <w:szCs w:val="28"/>
          <w:lang w:val="uk-UA"/>
        </w:rPr>
        <w:t xml:space="preserve"> – </w:t>
      </w:r>
      <w:r w:rsidRPr="005C38DA">
        <w:rPr>
          <w:color w:val="000000"/>
          <w:sz w:val="28"/>
          <w:szCs w:val="28"/>
        </w:rPr>
        <w:t>нівелювання</w:t>
      </w:r>
      <w:r w:rsidRPr="005C38DA">
        <w:rPr>
          <w:color w:val="000000"/>
          <w:sz w:val="28"/>
          <w:szCs w:val="28"/>
          <w:lang w:val="uk-UA"/>
        </w:rPr>
        <w:t xml:space="preserve"> </w:t>
      </w:r>
      <w:r w:rsidRPr="005C38DA">
        <w:rPr>
          <w:color w:val="000000"/>
          <w:sz w:val="28"/>
          <w:szCs w:val="28"/>
        </w:rPr>
        <w:t>негативного впливу волатильності ринків через моделі чутливості та стрес-тестування.</w:t>
      </w:r>
    </w:p>
    <w:p w:rsidR="00B37265" w:rsidRPr="005C38DA" w:rsidRDefault="00B37265" w:rsidP="005C38DA">
      <w:pPr>
        <w:pStyle w:val="a5"/>
        <w:numPr>
          <w:ilvl w:val="0"/>
          <w:numId w:val="18"/>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Комунікативна</w:t>
      </w:r>
      <w:r w:rsidRPr="005C38DA">
        <w:rPr>
          <w:i/>
          <w:iCs/>
          <w:color w:val="000000"/>
          <w:sz w:val="28"/>
          <w:szCs w:val="28"/>
          <w:lang w:val="uk-UA"/>
        </w:rPr>
        <w:t xml:space="preserve"> – </w:t>
      </w:r>
      <w:r w:rsidRPr="005C38DA">
        <w:rPr>
          <w:color w:val="000000"/>
          <w:sz w:val="28"/>
          <w:szCs w:val="28"/>
        </w:rPr>
        <w:t>формування</w:t>
      </w:r>
      <w:r w:rsidRPr="005C38DA">
        <w:rPr>
          <w:color w:val="000000"/>
          <w:sz w:val="28"/>
          <w:szCs w:val="28"/>
          <w:lang w:val="uk-UA"/>
        </w:rPr>
        <w:t xml:space="preserve"> </w:t>
      </w:r>
      <w:r w:rsidRPr="005C38DA">
        <w:rPr>
          <w:color w:val="000000"/>
          <w:sz w:val="28"/>
          <w:szCs w:val="28"/>
        </w:rPr>
        <w:t>стійкого каналу зв’язку між підприємством та інвестиційним середовищем.</w:t>
      </w:r>
    </w:p>
    <w:p w:rsidR="00B37265" w:rsidRPr="005C38DA" w:rsidRDefault="00B37265" w:rsidP="005C38DA">
      <w:pPr>
        <w:pStyle w:val="a5"/>
        <w:numPr>
          <w:ilvl w:val="0"/>
          <w:numId w:val="18"/>
        </w:numPr>
        <w:spacing w:before="0" w:beforeAutospacing="0" w:after="0" w:afterAutospacing="0" w:line="360" w:lineRule="auto"/>
        <w:ind w:left="0" w:firstLine="709"/>
        <w:contextualSpacing/>
        <w:jc w:val="both"/>
        <w:rPr>
          <w:color w:val="000000"/>
          <w:sz w:val="28"/>
          <w:szCs w:val="28"/>
        </w:rPr>
      </w:pPr>
      <w:r w:rsidRPr="005C38DA">
        <w:rPr>
          <w:i/>
          <w:iCs/>
          <w:color w:val="000000"/>
          <w:sz w:val="28"/>
          <w:szCs w:val="28"/>
        </w:rPr>
        <w:t>Відтворювальна</w:t>
      </w:r>
      <w:r w:rsidRPr="005C38DA">
        <w:rPr>
          <w:i/>
          <w:iCs/>
          <w:color w:val="000000"/>
          <w:sz w:val="28"/>
          <w:szCs w:val="28"/>
          <w:lang w:val="uk-UA"/>
        </w:rPr>
        <w:t xml:space="preserve"> – </w:t>
      </w:r>
      <w:r w:rsidRPr="005C38DA">
        <w:rPr>
          <w:color w:val="000000"/>
          <w:sz w:val="28"/>
          <w:szCs w:val="28"/>
        </w:rPr>
        <w:t>забезпечення</w:t>
      </w:r>
      <w:r w:rsidRPr="005C38DA">
        <w:rPr>
          <w:color w:val="000000"/>
          <w:sz w:val="28"/>
          <w:szCs w:val="28"/>
          <w:lang w:val="uk-UA"/>
        </w:rPr>
        <w:t xml:space="preserve"> </w:t>
      </w:r>
      <w:r w:rsidRPr="005C38DA">
        <w:rPr>
          <w:color w:val="000000"/>
          <w:sz w:val="28"/>
          <w:szCs w:val="28"/>
        </w:rPr>
        <w:t>безперервного оновлення необоротних активів на вищому технологічному рівні.</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rPr>
      </w:pPr>
      <w:r w:rsidRPr="005C38DA">
        <w:rPr>
          <w:color w:val="000000"/>
          <w:sz w:val="28"/>
          <w:szCs w:val="28"/>
        </w:rPr>
        <w:lastRenderedPageBreak/>
        <w:t>Головною ціллю</w:t>
      </w:r>
      <w:r w:rsidRPr="005C38DA">
        <w:rPr>
          <w:rStyle w:val="apple-converted-space"/>
          <w:rFonts w:eastAsiaTheme="majorEastAsia"/>
          <w:color w:val="000000"/>
          <w:lang w:val="uk-UA"/>
        </w:rPr>
        <w:t xml:space="preserve"> </w:t>
      </w:r>
      <w:r w:rsidRPr="005C38DA">
        <w:rPr>
          <w:color w:val="000000"/>
          <w:sz w:val="28"/>
          <w:szCs w:val="28"/>
        </w:rPr>
        <w:t>функціонування економічного механізму є досягнення оптимального рівня інвестиційної привабливості, який гарантує мінімізацію середньозваженої вартості капіталу (WACC) та максимізацію чистої приведеної вартості (NPV) стратегічних проєктів. В кінцевому підсумку, реалізація цілей механізму повинна призвести до перетворення сільськогосподарського підприємства на висококонкурентний суб’єкт світового агропродовольчого ринку, здатний до самовідтворення в умовах будь-якого ступеня невизначеності.</w:t>
      </w:r>
    </w:p>
    <w:p w:rsidR="00B37265" w:rsidRPr="005C38DA" w:rsidRDefault="00B37265" w:rsidP="005C38DA">
      <w:pPr>
        <w:spacing w:after="0" w:line="360" w:lineRule="auto"/>
        <w:ind w:firstLine="709"/>
        <w:contextualSpacing/>
        <w:jc w:val="both"/>
        <w:rPr>
          <w:rFonts w:ascii="Times New Roman" w:hAnsi="Times New Roman"/>
          <w:color w:val="000000"/>
          <w:sz w:val="27"/>
          <w:szCs w:val="27"/>
          <w:lang w:val="uk-UA"/>
        </w:rPr>
      </w:pPr>
      <w:r w:rsidRPr="005C38DA">
        <w:rPr>
          <w:rFonts w:ascii="Times New Roman" w:hAnsi="Times New Roman"/>
          <w:color w:val="000000"/>
          <w:sz w:val="28"/>
          <w:szCs w:val="28"/>
        </w:rPr>
        <w:t>Наведена на рис. Е.1 (додаток Е) структурно-функціональна модель економічного механізму розвитку інвестиційної привабливості сільськогосподарських підприємств репрезентує складну полікомпонентну систему, в межах якої відбувається багаторівнева трансформація ресурсного потенціалу у фінансово-економічні результати, що мають цінність для інвестора, із забезпеченням динамічної адаптації до змін зовнішнього середовища, інтеграції ризик-орієнтованого управління та безперервного вдосконалення на основі зворотних зв’язків</w:t>
      </w:r>
      <w:r w:rsidR="004009DE">
        <w:rPr>
          <w:rFonts w:ascii="Times New Roman" w:hAnsi="Times New Roman"/>
          <w:color w:val="000000"/>
          <w:sz w:val="27"/>
          <w:szCs w:val="27"/>
          <w:lang w:val="uk-UA"/>
        </w:rPr>
        <w:t xml:space="preserve"> </w:t>
      </w:r>
      <w:r w:rsidR="004009DE">
        <w:rPr>
          <w:rFonts w:ascii="Times New Roman" w:eastAsia="Times New Roman" w:hAnsi="Times New Roman"/>
          <w:color w:val="000000"/>
          <w:sz w:val="28"/>
          <w:szCs w:val="28"/>
          <w:lang w:val="uk-UA"/>
        </w:rPr>
        <w:t>[35, 53, 146, 194]</w:t>
      </w:r>
      <w:r>
        <w:t>.</w:t>
      </w:r>
    </w:p>
    <w:p w:rsidR="00B37265" w:rsidRPr="005C38DA" w:rsidRDefault="00B37265" w:rsidP="005C38DA">
      <w:pPr>
        <w:spacing w:after="0" w:line="360" w:lineRule="auto"/>
        <w:ind w:firstLine="709"/>
        <w:contextualSpacing/>
        <w:jc w:val="both"/>
        <w:rPr>
          <w:rFonts w:ascii="Times New Roman" w:hAnsi="Times New Roman"/>
          <w:sz w:val="32"/>
          <w:szCs w:val="32"/>
          <w:lang w:val="uk-UA"/>
        </w:rPr>
      </w:pPr>
      <w:r w:rsidRPr="005C38DA">
        <w:rPr>
          <w:rFonts w:ascii="Times New Roman" w:hAnsi="Times New Roman"/>
          <w:color w:val="000000"/>
          <w:sz w:val="28"/>
          <w:szCs w:val="28"/>
          <w:lang w:val="uk-UA"/>
        </w:rPr>
        <w:t>Ц</w:t>
      </w:r>
      <w:r w:rsidRPr="005C38DA">
        <w:rPr>
          <w:rFonts w:ascii="Times New Roman" w:hAnsi="Times New Roman"/>
          <w:color w:val="000000"/>
          <w:sz w:val="28"/>
          <w:szCs w:val="28"/>
        </w:rPr>
        <w:t>ентральним системоутворюючим ядром механізму виступає процес формування вартості підприємства, який описується функціональною залежністю:</w:t>
      </w:r>
    </w:p>
    <w:p w:rsidR="00B37265" w:rsidRPr="005C38DA" w:rsidRDefault="00EB5B4E" w:rsidP="005C38DA">
      <w:pPr>
        <w:spacing w:after="0" w:line="360" w:lineRule="auto"/>
        <w:contextualSpacing/>
        <w:jc w:val="both"/>
        <w:rPr>
          <w:rFonts w:ascii="Times New Roman" w:eastAsiaTheme="minorEastAsia" w:hAnsi="Times New Roman"/>
          <w:sz w:val="28"/>
          <w:szCs w:val="28"/>
          <w:lang w:val="en-US"/>
        </w:rPr>
      </w:pPr>
      <m:oMathPara>
        <m:oMath>
          <m:eqArr>
            <m:eqArrPr>
              <m:maxDist m:val="1"/>
              <m:ctrlPr>
                <w:rPr>
                  <w:rFonts w:ascii="Cambria Math" w:hAnsi="Cambria Math"/>
                  <w:i/>
                  <w:sz w:val="28"/>
                  <w:szCs w:val="28"/>
                  <w:lang w:val="en-US"/>
                </w:rPr>
              </m:ctrlPr>
            </m:eqArrPr>
            <m:e>
              <m:r>
                <w:rPr>
                  <w:rFonts w:ascii="Cambria Math" w:hAnsi="Cambria Math"/>
                  <w:sz w:val="28"/>
                  <w:szCs w:val="28"/>
                  <w:lang w:val="uk-UA"/>
                </w:rPr>
                <m:t>V</m:t>
              </m:r>
              <m:r>
                <w:rPr>
                  <w:rFonts w:ascii="Cambria Math" w:hAnsi="Cambria Math"/>
                  <w:sz w:val="28"/>
                  <w:szCs w:val="28"/>
                  <w:lang w:val="en-US"/>
                </w:rPr>
                <m:t>= f</m:t>
              </m:r>
              <m:d>
                <m:dPr>
                  <m:ctrlPr>
                    <w:rPr>
                      <w:rFonts w:ascii="Cambria Math" w:hAnsi="Cambria Math"/>
                      <w:i/>
                      <w:sz w:val="28"/>
                      <w:szCs w:val="28"/>
                      <w:lang w:val="en-US"/>
                    </w:rPr>
                  </m:ctrlPr>
                </m:dPr>
                <m:e>
                  <m:r>
                    <w:rPr>
                      <w:rFonts w:ascii="Cambria Math" w:hAnsi="Cambria Math"/>
                      <w:sz w:val="28"/>
                      <w:szCs w:val="28"/>
                      <w:lang w:val="en-US"/>
                    </w:rPr>
                    <m:t>FCFF, WACC, g</m:t>
                  </m:r>
                </m:e>
              </m:d>
              <m:r>
                <w:rPr>
                  <w:rFonts w:ascii="Cambria Math" w:hAnsi="Cambria Math"/>
                  <w:sz w:val="28"/>
                  <w:szCs w:val="28"/>
                  <w:lang w:val="en-US"/>
                </w:rPr>
                <m:t>,</m:t>
              </m:r>
              <m:r>
                <w:rPr>
                  <w:rFonts w:ascii="Cambria Math" w:hAnsi="Cambria Math"/>
                  <w:sz w:val="28"/>
                  <w:szCs w:val="28"/>
                  <w:lang w:val="uk-UA"/>
                </w:rPr>
                <m:t>#</m:t>
              </m:r>
              <m:d>
                <m:dPr>
                  <m:ctrlPr>
                    <w:rPr>
                      <w:rFonts w:ascii="Cambria Math" w:hAnsi="Cambria Math"/>
                      <w:i/>
                      <w:sz w:val="28"/>
                      <w:szCs w:val="28"/>
                      <w:lang w:val="en-US"/>
                    </w:rPr>
                  </m:ctrlPr>
                </m:dPr>
                <m:e>
                  <m:r>
                    <w:rPr>
                      <w:rFonts w:ascii="Cambria Math" w:hAnsi="Cambria Math"/>
                      <w:sz w:val="28"/>
                      <w:szCs w:val="28"/>
                      <w:lang w:val="en-US"/>
                    </w:rPr>
                    <m:t>3.1</m:t>
                  </m:r>
                </m:e>
              </m:d>
              <m:ctrlPr>
                <w:rPr>
                  <w:rFonts w:ascii="Cambria Math" w:hAnsi="Cambria Math"/>
                  <w:i/>
                  <w:sz w:val="28"/>
                  <w:szCs w:val="28"/>
                  <w:lang w:val="uk-UA"/>
                </w:rPr>
              </m:ctrlPr>
            </m:e>
          </m:eqArr>
        </m:oMath>
      </m:oMathPara>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r w:rsidRPr="005C38DA">
        <w:rPr>
          <w:rFonts w:ascii="Times New Roman" w:eastAsiaTheme="minorEastAsia" w:hAnsi="Times New Roman"/>
          <w:sz w:val="28"/>
          <w:szCs w:val="28"/>
          <w:lang w:val="en-US"/>
        </w:rPr>
        <w:t>V</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ринкова вартість підприємства;</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FCFF</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вільний грошовий потік;</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WACC</w:t>
      </w:r>
      <w:r w:rsidRPr="005C38DA">
        <w:rPr>
          <w:rFonts w:ascii="Times New Roman" w:eastAsiaTheme="minorEastAsia" w:hAnsi="Times New Roman"/>
          <w:sz w:val="28"/>
          <w:szCs w:val="28"/>
          <w:lang w:val="uk-UA"/>
        </w:rPr>
        <w:t xml:space="preserve"> – середньозважена вартість капіталу;</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g</w:t>
      </w:r>
      <w:r w:rsidRPr="005C38DA">
        <w:rPr>
          <w:rFonts w:ascii="Times New Roman" w:eastAsiaTheme="minorEastAsia" w:hAnsi="Times New Roman"/>
          <w:sz w:val="28"/>
          <w:szCs w:val="28"/>
          <w:lang w:val="uk-UA"/>
        </w:rPr>
        <w:t xml:space="preserve"> – темп довгострокового зростання.</w:t>
      </w:r>
    </w:p>
    <w:p w:rsidR="00B37265" w:rsidRPr="005C38DA" w:rsidRDefault="00B37265" w:rsidP="005C38DA">
      <w:pPr>
        <w:spacing w:after="0" w:line="360" w:lineRule="auto"/>
        <w:ind w:firstLine="709"/>
        <w:contextualSpacing/>
        <w:jc w:val="both"/>
        <w:rPr>
          <w:rFonts w:ascii="Times New Roman" w:hAnsi="Times New Roman"/>
          <w:color w:val="000000"/>
          <w:sz w:val="28"/>
          <w:szCs w:val="28"/>
          <w:lang w:val="uk-UA"/>
        </w:rPr>
      </w:pPr>
      <w:r w:rsidRPr="005C38DA">
        <w:rPr>
          <w:rFonts w:ascii="Times New Roman" w:hAnsi="Times New Roman"/>
          <w:color w:val="000000"/>
          <w:sz w:val="28"/>
          <w:szCs w:val="28"/>
          <w:lang w:val="uk-UA"/>
        </w:rPr>
        <w:t>Економічний зміст даної залежності полягає у тому, що вартість підприємства прямо пропорційно залежить від обсягів генерованих грошових потоків та темпів їх зростання і обернено пропорційно — від вартості залучення капіталу. У результаті застосування цієї моделі можна отримати оцінку фундаментальної вартості бізнесу; інтерпретаційно зростання</w:t>
      </w:r>
      <w:r w:rsidRPr="005C38DA">
        <w:rPr>
          <w:rStyle w:val="apple-converted-space"/>
          <w:rFonts w:ascii="Times New Roman" w:hAnsi="Times New Roman"/>
          <w:color w:val="000000"/>
          <w:lang w:val="uk-UA"/>
        </w:rPr>
        <w:t xml:space="preserve"> </w:t>
      </w:r>
      <m:oMath>
        <m:r>
          <w:rPr>
            <w:rFonts w:ascii="Cambria Math" w:hAnsi="Cambria Math"/>
            <w:sz w:val="28"/>
            <w:szCs w:val="28"/>
          </w:rPr>
          <m:t>V</m:t>
        </m:r>
      </m:oMath>
      <w:r w:rsidRPr="005C38DA">
        <w:rPr>
          <w:rStyle w:val="apple-converted-space"/>
          <w:rFonts w:ascii="Times New Roman" w:hAnsi="Times New Roman"/>
          <w:color w:val="000000"/>
          <w:lang w:val="uk-UA"/>
        </w:rPr>
        <w:t xml:space="preserve"> </w:t>
      </w:r>
      <w:r w:rsidRPr="005C38DA">
        <w:rPr>
          <w:rFonts w:ascii="Times New Roman" w:hAnsi="Times New Roman"/>
          <w:color w:val="000000"/>
          <w:sz w:val="28"/>
          <w:szCs w:val="28"/>
          <w:lang w:val="uk-UA"/>
        </w:rPr>
        <w:t xml:space="preserve">свідчить про підвищення інвестиційної привабливості, тоді як зниження </w:t>
      </w:r>
      <w:r w:rsidRPr="005C38DA">
        <w:rPr>
          <w:rFonts w:ascii="Times New Roman" w:hAnsi="Times New Roman"/>
          <w:color w:val="000000"/>
          <w:sz w:val="28"/>
          <w:szCs w:val="28"/>
          <w:lang w:val="uk-UA"/>
        </w:rPr>
        <w:lastRenderedPageBreak/>
        <w:t>засвідчує погіршення ефективності використання ресурсів або зростання ризиковості.</w:t>
      </w:r>
    </w:p>
    <w:p w:rsidR="00B37265" w:rsidRPr="005C38DA" w:rsidRDefault="00B37265" w:rsidP="005C38DA">
      <w:pPr>
        <w:spacing w:after="0" w:line="360" w:lineRule="auto"/>
        <w:ind w:firstLine="709"/>
        <w:contextualSpacing/>
        <w:jc w:val="both"/>
        <w:rPr>
          <w:rFonts w:ascii="Times New Roman" w:hAnsi="Times New Roman"/>
          <w:color w:val="000000"/>
          <w:sz w:val="28"/>
          <w:szCs w:val="28"/>
          <w:lang w:val="uk-UA"/>
        </w:rPr>
      </w:pPr>
      <w:r w:rsidRPr="005C38DA">
        <w:rPr>
          <w:rFonts w:ascii="Times New Roman" w:hAnsi="Times New Roman"/>
          <w:color w:val="000000"/>
          <w:sz w:val="28"/>
          <w:szCs w:val="28"/>
          <w:lang w:val="uk-UA"/>
        </w:rPr>
        <w:t>В межах функціонування економічного механізму розвитку інвестиційної привабливості його ресурсний блок формалізується через виробничу функцію:</w:t>
      </w:r>
    </w:p>
    <w:p w:rsidR="00B37265" w:rsidRPr="005C38DA" w:rsidRDefault="00EB5B4E" w:rsidP="005C38DA">
      <w:pPr>
        <w:spacing w:after="0" w:line="360" w:lineRule="auto"/>
        <w:contextualSpacing/>
        <w:jc w:val="center"/>
        <w:rPr>
          <w:rFonts w:ascii="Times New Roman" w:eastAsiaTheme="minorEastAsia" w:hAnsi="Times New Roman"/>
          <w:color w:val="000000"/>
          <w:sz w:val="28"/>
          <w:szCs w:val="28"/>
          <w:lang w:val="en-US"/>
        </w:rPr>
      </w:pPr>
      <m:oMathPara>
        <m:oMath>
          <m:eqArr>
            <m:eqArrPr>
              <m:maxDist m:val="1"/>
              <m:ctrlPr>
                <w:rPr>
                  <w:rFonts w:ascii="Cambria Math" w:hAnsi="Cambria Math"/>
                  <w:i/>
                  <w:color w:val="000000"/>
                  <w:sz w:val="28"/>
                  <w:szCs w:val="28"/>
                  <w:lang w:val="en-US"/>
                </w:rPr>
              </m:ctrlPr>
            </m:eqArrPr>
            <m:e>
              <m:r>
                <w:rPr>
                  <w:rFonts w:ascii="Cambria Math" w:hAnsi="Cambria Math"/>
                  <w:color w:val="000000"/>
                  <w:sz w:val="28"/>
                  <w:szCs w:val="28"/>
                  <w:lang w:val="uk-UA"/>
                </w:rPr>
                <m:t>Q</m:t>
              </m:r>
              <m:r>
                <w:rPr>
                  <w:rFonts w:ascii="Cambria Math" w:hAnsi="Cambria Math"/>
                  <w:color w:val="000000"/>
                  <w:sz w:val="28"/>
                  <w:szCs w:val="28"/>
                  <w:lang w:val="en-US"/>
                </w:rPr>
                <m:t xml:space="preserve">= f </m:t>
              </m:r>
              <m:d>
                <m:dPr>
                  <m:ctrlPr>
                    <w:rPr>
                      <w:rFonts w:ascii="Cambria Math" w:hAnsi="Cambria Math"/>
                      <w:i/>
                      <w:color w:val="000000"/>
                      <w:sz w:val="28"/>
                      <w:szCs w:val="28"/>
                      <w:lang w:val="en-US"/>
                    </w:rPr>
                  </m:ctrlPr>
                </m:dPr>
                <m:e>
                  <m:r>
                    <w:rPr>
                      <w:rFonts w:ascii="Cambria Math" w:hAnsi="Cambria Math"/>
                      <w:color w:val="000000"/>
                      <w:sz w:val="28"/>
                      <w:szCs w:val="28"/>
                      <w:lang w:val="en-US"/>
                    </w:rPr>
                    <m:t xml:space="preserve">K, L, A, </m:t>
                  </m:r>
                  <m:sSub>
                    <m:sSubPr>
                      <m:ctrlPr>
                        <w:rPr>
                          <w:rFonts w:ascii="Cambria Math" w:eastAsiaTheme="minorHAnsi" w:hAnsi="Cambria Math"/>
                          <w:i/>
                          <w:color w:val="000000"/>
                          <w:kern w:val="2"/>
                          <w:sz w:val="28"/>
                          <w:szCs w:val="28"/>
                          <w:lang w:val="en-US"/>
                          <w14:ligatures w14:val="standardContextual"/>
                        </w:rPr>
                      </m:ctrlPr>
                    </m:sSubPr>
                    <m:e>
                      <m:r>
                        <w:rPr>
                          <w:rFonts w:ascii="Cambria Math" w:hAnsi="Cambria Math"/>
                          <w:color w:val="000000"/>
                          <w:sz w:val="28"/>
                          <w:szCs w:val="28"/>
                          <w:lang w:val="en-US"/>
                        </w:rPr>
                        <m:t>L</m:t>
                      </m:r>
                    </m:e>
                    <m:sub>
                      <m:r>
                        <w:rPr>
                          <w:rFonts w:ascii="Cambria Math" w:hAnsi="Cambria Math"/>
                          <w:color w:val="000000"/>
                          <w:sz w:val="28"/>
                          <w:szCs w:val="28"/>
                          <w:lang w:val="en-US"/>
                        </w:rPr>
                        <m:t>and</m:t>
                      </m:r>
                    </m:sub>
                  </m:sSub>
                </m:e>
              </m:d>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3.2</m:t>
                  </m:r>
                </m:e>
              </m:d>
              <m:ctrlPr>
                <w:rPr>
                  <w:rFonts w:ascii="Cambria Math" w:hAnsi="Cambria Math"/>
                  <w:i/>
                  <w:color w:val="000000"/>
                  <w:sz w:val="28"/>
                  <w:szCs w:val="28"/>
                  <w:lang w:val="uk-UA"/>
                </w:rPr>
              </m:ctrlPr>
            </m:e>
          </m:eqArr>
        </m:oMath>
      </m:oMathPara>
    </w:p>
    <w:p w:rsidR="00B37265" w:rsidRPr="005C38DA" w:rsidRDefault="00B37265" w:rsidP="005C38DA">
      <w:pPr>
        <w:spacing w:after="0" w:line="360" w:lineRule="auto"/>
        <w:ind w:firstLine="709"/>
        <w:contextualSpacing/>
        <w:jc w:val="both"/>
        <w:rPr>
          <w:rFonts w:ascii="Times New Roman" w:eastAsiaTheme="minorEastAsia" w:hAnsi="Times New Roman"/>
          <w:color w:val="000000"/>
          <w:sz w:val="28"/>
          <w:szCs w:val="28"/>
          <w:lang w:val="uk-UA"/>
        </w:rPr>
      </w:pPr>
      <w:r w:rsidRPr="005C38DA">
        <w:rPr>
          <w:rFonts w:ascii="Times New Roman" w:eastAsiaTheme="minorEastAsia" w:hAnsi="Times New Roman"/>
          <w:color w:val="000000"/>
          <w:sz w:val="28"/>
          <w:szCs w:val="28"/>
          <w:lang w:val="uk-UA"/>
        </w:rPr>
        <w:t xml:space="preserve">де </w:t>
      </w:r>
      <w:r w:rsidRPr="005C38DA">
        <w:rPr>
          <w:rFonts w:ascii="Times New Roman" w:eastAsiaTheme="minorEastAsia" w:hAnsi="Times New Roman"/>
          <w:color w:val="000000"/>
          <w:sz w:val="28"/>
          <w:szCs w:val="28"/>
          <w:lang w:val="en-US"/>
        </w:rPr>
        <w:t>Q</w:t>
      </w:r>
      <w:r w:rsidRPr="005C38DA">
        <w:rPr>
          <w:rFonts w:ascii="Times New Roman" w:eastAsiaTheme="minorEastAsia" w:hAnsi="Times New Roman"/>
          <w:color w:val="000000"/>
          <w:sz w:val="28"/>
          <w:szCs w:val="28"/>
        </w:rPr>
        <w:t xml:space="preserve"> – </w:t>
      </w:r>
      <w:r w:rsidRPr="005C38DA">
        <w:rPr>
          <w:rFonts w:ascii="Times New Roman" w:eastAsiaTheme="minorEastAsia" w:hAnsi="Times New Roman"/>
          <w:color w:val="000000"/>
          <w:sz w:val="28"/>
          <w:szCs w:val="28"/>
          <w:lang w:val="uk-UA"/>
        </w:rPr>
        <w:t>обсяг виробництва сільськогосподарського підприємства;</w:t>
      </w:r>
    </w:p>
    <w:p w:rsidR="00B37265" w:rsidRPr="005C38DA" w:rsidRDefault="00B37265" w:rsidP="005C38DA">
      <w:pPr>
        <w:spacing w:after="0" w:line="360" w:lineRule="auto"/>
        <w:ind w:firstLine="709"/>
        <w:contextualSpacing/>
        <w:jc w:val="both"/>
        <w:rPr>
          <w:rFonts w:ascii="Times New Roman" w:eastAsiaTheme="minorEastAsia" w:hAnsi="Times New Roman"/>
          <w:color w:val="000000"/>
          <w:sz w:val="28"/>
          <w:szCs w:val="28"/>
          <w:lang w:val="uk-UA"/>
        </w:rPr>
      </w:pPr>
      <w:r w:rsidRPr="005C38DA">
        <w:rPr>
          <w:rFonts w:ascii="Times New Roman" w:eastAsiaTheme="minorEastAsia" w:hAnsi="Times New Roman"/>
          <w:color w:val="000000"/>
          <w:sz w:val="28"/>
          <w:szCs w:val="28"/>
          <w:lang w:val="uk-UA"/>
        </w:rPr>
        <w:t xml:space="preserve">    </w:t>
      </w:r>
      <w:r w:rsidRPr="005C38DA">
        <w:rPr>
          <w:rFonts w:ascii="Times New Roman" w:eastAsiaTheme="minorEastAsia" w:hAnsi="Times New Roman"/>
          <w:color w:val="000000"/>
          <w:sz w:val="28"/>
          <w:szCs w:val="28"/>
          <w:lang w:val="en-US"/>
        </w:rPr>
        <w:t>K</w:t>
      </w:r>
      <w:r w:rsidRPr="005C38DA">
        <w:rPr>
          <w:rFonts w:ascii="Times New Roman" w:eastAsiaTheme="minorEastAsia" w:hAnsi="Times New Roman"/>
          <w:color w:val="000000"/>
          <w:sz w:val="28"/>
          <w:szCs w:val="28"/>
        </w:rPr>
        <w:t xml:space="preserve"> – </w:t>
      </w:r>
      <w:r w:rsidRPr="005C38DA">
        <w:rPr>
          <w:rFonts w:ascii="Times New Roman" w:eastAsiaTheme="minorEastAsia" w:hAnsi="Times New Roman"/>
          <w:color w:val="000000"/>
          <w:sz w:val="28"/>
          <w:szCs w:val="28"/>
          <w:lang w:val="uk-UA"/>
        </w:rPr>
        <w:t>капітал сільськогосподарського підприємства;</w:t>
      </w:r>
    </w:p>
    <w:p w:rsidR="00B37265" w:rsidRPr="005C38DA" w:rsidRDefault="00B37265" w:rsidP="005C38DA">
      <w:pPr>
        <w:spacing w:after="0" w:line="360" w:lineRule="auto"/>
        <w:ind w:firstLine="709"/>
        <w:contextualSpacing/>
        <w:jc w:val="both"/>
        <w:rPr>
          <w:rFonts w:ascii="Times New Roman" w:eastAsiaTheme="minorEastAsia" w:hAnsi="Times New Roman"/>
          <w:color w:val="000000"/>
          <w:sz w:val="28"/>
          <w:szCs w:val="28"/>
          <w:lang w:val="uk-UA"/>
        </w:rPr>
      </w:pPr>
      <w:r w:rsidRPr="005C38DA">
        <w:rPr>
          <w:rFonts w:ascii="Times New Roman" w:eastAsiaTheme="minorEastAsia" w:hAnsi="Times New Roman"/>
          <w:color w:val="000000"/>
          <w:sz w:val="28"/>
          <w:szCs w:val="28"/>
          <w:lang w:val="uk-UA"/>
        </w:rPr>
        <w:t xml:space="preserve">    </w:t>
      </w:r>
      <w:r w:rsidRPr="005C38DA">
        <w:rPr>
          <w:rFonts w:ascii="Times New Roman" w:eastAsiaTheme="minorEastAsia" w:hAnsi="Times New Roman"/>
          <w:color w:val="000000"/>
          <w:sz w:val="28"/>
          <w:szCs w:val="28"/>
          <w:lang w:val="en-US"/>
        </w:rPr>
        <w:t>L</w:t>
      </w:r>
      <w:r w:rsidRPr="005C38DA">
        <w:rPr>
          <w:rFonts w:ascii="Times New Roman" w:eastAsiaTheme="minorEastAsia" w:hAnsi="Times New Roman"/>
          <w:color w:val="000000"/>
          <w:sz w:val="28"/>
          <w:szCs w:val="28"/>
        </w:rPr>
        <w:t xml:space="preserve"> – </w:t>
      </w:r>
      <w:r w:rsidRPr="005C38DA">
        <w:rPr>
          <w:rFonts w:ascii="Times New Roman" w:eastAsiaTheme="minorEastAsia" w:hAnsi="Times New Roman"/>
          <w:color w:val="000000"/>
          <w:sz w:val="28"/>
          <w:szCs w:val="28"/>
          <w:lang w:val="uk-UA"/>
        </w:rPr>
        <w:t xml:space="preserve">праця сільськогосподарського підприємства; </w:t>
      </w:r>
    </w:p>
    <w:p w:rsidR="00B37265" w:rsidRPr="005C38DA" w:rsidRDefault="00B37265" w:rsidP="005C38DA">
      <w:pPr>
        <w:spacing w:after="0" w:line="360" w:lineRule="auto"/>
        <w:ind w:firstLine="709"/>
        <w:contextualSpacing/>
        <w:jc w:val="both"/>
        <w:rPr>
          <w:rFonts w:ascii="Times New Roman" w:eastAsiaTheme="minorEastAsia" w:hAnsi="Times New Roman"/>
          <w:color w:val="000000"/>
          <w:sz w:val="28"/>
          <w:szCs w:val="28"/>
          <w:lang w:val="uk-UA"/>
        </w:rPr>
      </w:pPr>
      <w:r w:rsidRPr="005C38DA">
        <w:rPr>
          <w:rFonts w:ascii="Times New Roman" w:eastAsiaTheme="minorEastAsia" w:hAnsi="Times New Roman"/>
          <w:color w:val="000000"/>
          <w:sz w:val="28"/>
          <w:szCs w:val="28"/>
          <w:lang w:val="uk-UA"/>
        </w:rPr>
        <w:t xml:space="preserve">    </w:t>
      </w:r>
      <w:r w:rsidRPr="005C38DA">
        <w:rPr>
          <w:rFonts w:ascii="Times New Roman" w:eastAsiaTheme="minorEastAsia" w:hAnsi="Times New Roman"/>
          <w:color w:val="000000"/>
          <w:sz w:val="28"/>
          <w:szCs w:val="28"/>
          <w:lang w:val="en-US"/>
        </w:rPr>
        <w:t>A</w:t>
      </w:r>
      <w:r w:rsidRPr="005C38DA">
        <w:rPr>
          <w:rFonts w:ascii="Times New Roman" w:eastAsiaTheme="minorEastAsia" w:hAnsi="Times New Roman"/>
          <w:color w:val="000000"/>
          <w:sz w:val="28"/>
          <w:szCs w:val="28"/>
          <w:lang w:val="uk-UA"/>
        </w:rPr>
        <w:t xml:space="preserve"> – технологічний рівень зрілості сільськогосподарського підприємства;</w:t>
      </w:r>
    </w:p>
    <w:p w:rsidR="00B37265" w:rsidRPr="005C38DA" w:rsidRDefault="00B37265" w:rsidP="005C38DA">
      <w:pPr>
        <w:spacing w:after="0" w:line="360" w:lineRule="auto"/>
        <w:ind w:firstLine="709"/>
        <w:contextualSpacing/>
        <w:jc w:val="both"/>
        <w:rPr>
          <w:rFonts w:ascii="Times New Roman" w:eastAsiaTheme="minorEastAsia" w:hAnsi="Times New Roman"/>
          <w:color w:val="000000"/>
          <w:sz w:val="28"/>
          <w:szCs w:val="28"/>
          <w:lang w:val="uk-UA"/>
        </w:rPr>
      </w:pPr>
      <w:r w:rsidRPr="005C38DA">
        <w:rPr>
          <w:rFonts w:ascii="Times New Roman" w:eastAsiaTheme="minorEastAsia" w:hAnsi="Times New Roman"/>
          <w:color w:val="000000"/>
          <w:sz w:val="28"/>
          <w:szCs w:val="28"/>
          <w:lang w:val="uk-UA"/>
        </w:rPr>
        <w:t xml:space="preserve">     </w:t>
      </w:r>
      <w:r w:rsidRPr="005C38DA">
        <w:rPr>
          <w:rFonts w:ascii="Times New Roman" w:eastAsiaTheme="minorEastAsia" w:hAnsi="Times New Roman"/>
          <w:color w:val="000000"/>
          <w:sz w:val="28"/>
          <w:szCs w:val="28"/>
          <w:lang w:val="en-US"/>
        </w:rPr>
        <w:t>L</w:t>
      </w:r>
      <w:r w:rsidRPr="005C38DA">
        <w:rPr>
          <w:rFonts w:ascii="Times New Roman" w:eastAsiaTheme="minorEastAsia" w:hAnsi="Times New Roman"/>
          <w:color w:val="000000"/>
          <w:sz w:val="28"/>
          <w:szCs w:val="28"/>
          <w:vertAlign w:val="subscript"/>
          <w:lang w:val="en-US"/>
        </w:rPr>
        <w:t>and</w:t>
      </w:r>
      <w:r w:rsidRPr="005C38DA">
        <w:rPr>
          <w:rFonts w:ascii="Times New Roman" w:eastAsiaTheme="minorEastAsia" w:hAnsi="Times New Roman"/>
          <w:color w:val="000000"/>
          <w:sz w:val="28"/>
          <w:szCs w:val="28"/>
          <w:lang w:val="uk-UA"/>
        </w:rPr>
        <w:t xml:space="preserve"> – земельні ресурси.</w:t>
      </w:r>
    </w:p>
    <w:p w:rsidR="00B37265" w:rsidRPr="005C38DA" w:rsidRDefault="00B37265" w:rsidP="005C38DA">
      <w:pPr>
        <w:spacing w:after="0" w:line="360" w:lineRule="auto"/>
        <w:ind w:firstLine="709"/>
        <w:contextualSpacing/>
        <w:jc w:val="both"/>
        <w:rPr>
          <w:rFonts w:ascii="Times New Roman" w:hAnsi="Times New Roman"/>
          <w:color w:val="000000"/>
          <w:sz w:val="28"/>
          <w:szCs w:val="28"/>
          <w:lang w:val="uk-UA"/>
        </w:rPr>
      </w:pPr>
      <w:r w:rsidRPr="005C38DA">
        <w:rPr>
          <w:rFonts w:ascii="Times New Roman" w:hAnsi="Times New Roman"/>
          <w:color w:val="000000"/>
          <w:sz w:val="28"/>
          <w:szCs w:val="28"/>
        </w:rPr>
        <w:t>Дана функція відображає мультифакторний характер формування виробничого результату. Її застосування дозволяє кількісно оцінити внесок кожного ресурсу у створення доданої вартості. Результатом є визначення еластичностей факторів, що дає змогу інтерпретувати, які ресурси є драйверами зростання, а які — обмеженнями, що, у свою чергу, формує основу для інвестиційних рішень щодо оптимізації структури ресурсного забезпечення.</w:t>
      </w:r>
    </w:p>
    <w:p w:rsidR="00B37265" w:rsidRPr="005C38DA" w:rsidRDefault="00B37265" w:rsidP="005C38DA">
      <w:pPr>
        <w:spacing w:after="0" w:line="360" w:lineRule="auto"/>
        <w:ind w:firstLine="709"/>
        <w:contextualSpacing/>
        <w:jc w:val="both"/>
        <w:rPr>
          <w:rFonts w:ascii="Times New Roman" w:hAnsi="Times New Roman"/>
          <w:color w:val="000000"/>
          <w:sz w:val="36"/>
          <w:szCs w:val="36"/>
          <w:lang w:val="uk-UA"/>
        </w:rPr>
      </w:pPr>
      <w:r w:rsidRPr="005C38DA">
        <w:rPr>
          <w:rFonts w:ascii="Times New Roman" w:hAnsi="Times New Roman"/>
          <w:color w:val="000000"/>
          <w:sz w:val="28"/>
          <w:szCs w:val="28"/>
          <w:lang w:val="uk-UA"/>
        </w:rPr>
        <w:t xml:space="preserve">Наступним елементом є інтегральна оцінка інвестиційної привабливості сільськогосподарського підприємства, яка </w:t>
      </w:r>
      <w:r w:rsidRPr="005C38DA">
        <w:rPr>
          <w:rFonts w:ascii="Times New Roman" w:hAnsi="Times New Roman"/>
          <w:color w:val="000000"/>
          <w:sz w:val="28"/>
          <w:szCs w:val="28"/>
        </w:rPr>
        <w:t>визначається за формулою:</w:t>
      </w:r>
    </w:p>
    <w:p w:rsidR="00B37265" w:rsidRPr="005C38DA" w:rsidRDefault="00EB5B4E" w:rsidP="005C38DA">
      <w:pPr>
        <w:spacing w:after="0" w:line="360" w:lineRule="auto"/>
        <w:contextualSpacing/>
        <w:jc w:val="center"/>
        <w:rPr>
          <w:rFonts w:ascii="Times New Roman" w:eastAsiaTheme="minorEastAsia" w:hAnsi="Times New Roman"/>
          <w:sz w:val="28"/>
          <w:szCs w:val="28"/>
          <w:lang w:val="en-US"/>
        </w:rPr>
      </w:pPr>
      <m:oMathPara>
        <m:oMath>
          <m:eqArr>
            <m:eqArrPr>
              <m:maxDist m:val="1"/>
              <m:ctrlPr>
                <w:rPr>
                  <w:rFonts w:ascii="Cambria Math" w:hAnsi="Cambria Math"/>
                  <w:i/>
                  <w:sz w:val="28"/>
                  <w:szCs w:val="28"/>
                  <w:lang w:val="en-US"/>
                </w:rPr>
              </m:ctrlPr>
            </m:eqArrPr>
            <m:e>
              <m:r>
                <w:rPr>
                  <w:rFonts w:ascii="Cambria Math" w:hAnsi="Cambria Math"/>
                  <w:sz w:val="28"/>
                  <w:szCs w:val="28"/>
                  <w:lang w:val="uk-UA"/>
                </w:rPr>
                <m:t>I</m:t>
              </m:r>
              <m:r>
                <w:rPr>
                  <w:rFonts w:ascii="Cambria Math" w:hAnsi="Cambria Math"/>
                  <w:sz w:val="28"/>
                  <w:szCs w:val="28"/>
                  <w:lang w:val="en-US"/>
                </w:rPr>
                <m:t xml:space="preserve">A= </m:t>
              </m:r>
              <m:nary>
                <m:naryPr>
                  <m:chr m:val="∑"/>
                  <m:limLoc m:val="undOvr"/>
                  <m:ctrlPr>
                    <w:rPr>
                      <w:rFonts w:ascii="Cambria Math" w:eastAsiaTheme="minorHAnsi" w:hAnsi="Cambria Math"/>
                      <w:i/>
                      <w:kern w:val="2"/>
                      <w:sz w:val="28"/>
                      <w:szCs w:val="28"/>
                      <w:lang w:val="en-US"/>
                      <w14:ligatures w14:val="standardContextual"/>
                    </w:rPr>
                  </m:ctrlPr>
                </m:naryPr>
                <m:sub>
                  <m:r>
                    <w:rPr>
                      <w:rFonts w:ascii="Cambria Math" w:hAnsi="Cambria Math"/>
                      <w:sz w:val="28"/>
                      <w:szCs w:val="28"/>
                      <w:lang w:val="en-US"/>
                    </w:rPr>
                    <m:t>i=1</m:t>
                  </m:r>
                </m:sub>
                <m:sup>
                  <m:r>
                    <w:rPr>
                      <w:rFonts w:ascii="Cambria Math" w:hAnsi="Cambria Math"/>
                      <w:sz w:val="28"/>
                      <w:szCs w:val="28"/>
                      <w:lang w:val="en-US"/>
                    </w:rPr>
                    <m:t>n</m:t>
                  </m:r>
                </m:sup>
                <m:e>
                  <m:sSub>
                    <m:sSubPr>
                      <m:ctrlPr>
                        <w:rPr>
                          <w:rFonts w:ascii="Cambria Math" w:eastAsiaTheme="minorHAnsi" w:hAnsi="Cambria Math"/>
                          <w:i/>
                          <w:kern w:val="2"/>
                          <w:sz w:val="28"/>
                          <w:szCs w:val="28"/>
                          <w:lang w:val="en-US"/>
                          <w14:ligatures w14:val="standardContextual"/>
                        </w:rPr>
                      </m:ctrlPr>
                    </m:sSubPr>
                    <m:e>
                      <m:r>
                        <w:rPr>
                          <w:rFonts w:ascii="Cambria Math" w:hAnsi="Cambria Math"/>
                          <w:sz w:val="28"/>
                          <w:szCs w:val="28"/>
                          <w:lang w:val="en-US"/>
                        </w:rPr>
                        <m:t>w</m:t>
                      </m:r>
                    </m:e>
                    <m:sub>
                      <m:r>
                        <w:rPr>
                          <w:rFonts w:ascii="Cambria Math" w:hAnsi="Cambria Math"/>
                          <w:sz w:val="28"/>
                          <w:szCs w:val="28"/>
                          <w:lang w:val="en-US"/>
                        </w:rPr>
                        <m:t>i</m:t>
                      </m:r>
                    </m:sub>
                  </m:sSub>
                  <m:r>
                    <w:rPr>
                      <w:rFonts w:ascii="Cambria Math" w:hAnsi="Cambria Math"/>
                      <w:sz w:val="28"/>
                      <w:szCs w:val="28"/>
                      <w:lang w:val="en-US"/>
                    </w:rPr>
                    <m:t>*</m:t>
                  </m:r>
                  <m:sSub>
                    <m:sSubPr>
                      <m:ctrlPr>
                        <w:rPr>
                          <w:rFonts w:ascii="Cambria Math" w:eastAsiaTheme="minorHAnsi" w:hAnsi="Cambria Math"/>
                          <w:i/>
                          <w:kern w:val="2"/>
                          <w:sz w:val="28"/>
                          <w:szCs w:val="28"/>
                          <w:lang w:val="en-US"/>
                          <w14:ligatures w14:val="standardContextual"/>
                        </w:rPr>
                      </m:ctrlPr>
                    </m:sSubPr>
                    <m:e>
                      <m:r>
                        <w:rPr>
                          <w:rFonts w:ascii="Cambria Math" w:hAnsi="Cambria Math"/>
                          <w:sz w:val="28"/>
                          <w:szCs w:val="28"/>
                          <w:lang w:val="en-US"/>
                        </w:rPr>
                        <m:t>I</m:t>
                      </m:r>
                    </m:e>
                    <m:sub>
                      <m:r>
                        <w:rPr>
                          <w:rFonts w:ascii="Cambria Math" w:hAnsi="Cambria Math"/>
                          <w:sz w:val="28"/>
                          <w:szCs w:val="28"/>
                          <w:lang w:val="en-US"/>
                        </w:rPr>
                        <m:t>i</m:t>
                      </m:r>
                    </m:sub>
                  </m:sSub>
                </m:e>
              </m:nary>
              <m:r>
                <w:rPr>
                  <w:rFonts w:ascii="Cambria Math" w:hAnsi="Cambria Math"/>
                  <w:sz w:val="28"/>
                  <w:szCs w:val="28"/>
                  <w:lang w:val="en-US"/>
                </w:rPr>
                <m:t>,</m:t>
              </m:r>
              <m:r>
                <w:rPr>
                  <w:rFonts w:ascii="Cambria Math" w:hAnsi="Cambria Math"/>
                  <w:sz w:val="28"/>
                  <w:szCs w:val="28"/>
                  <w:lang w:val="uk-UA"/>
                </w:rPr>
                <m:t>#</m:t>
              </m:r>
              <m:d>
                <m:dPr>
                  <m:ctrlPr>
                    <w:rPr>
                      <w:rFonts w:ascii="Cambria Math" w:hAnsi="Cambria Math"/>
                      <w:i/>
                      <w:sz w:val="28"/>
                      <w:szCs w:val="28"/>
                      <w:lang w:val="en-US"/>
                    </w:rPr>
                  </m:ctrlPr>
                </m:dPr>
                <m:e>
                  <m:r>
                    <w:rPr>
                      <w:rFonts w:ascii="Cambria Math" w:hAnsi="Cambria Math"/>
                      <w:sz w:val="28"/>
                      <w:szCs w:val="28"/>
                      <w:lang w:val="en-US"/>
                    </w:rPr>
                    <m:t>3.3</m:t>
                  </m:r>
                </m:e>
              </m:d>
              <m:ctrlPr>
                <w:rPr>
                  <w:rFonts w:ascii="Cambria Math" w:hAnsi="Cambria Math"/>
                  <w:i/>
                  <w:sz w:val="28"/>
                  <w:szCs w:val="28"/>
                  <w:lang w:val="uk-UA"/>
                </w:rPr>
              </m:ctrlPr>
            </m:e>
          </m:eqArr>
        </m:oMath>
      </m:oMathPara>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де ІА – інтегральний індекс інвестиційної привабливості сільськогосподарського підприємства;</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І</w:t>
      </w:r>
      <w:r w:rsidRPr="005C38DA">
        <w:rPr>
          <w:rFonts w:ascii="Times New Roman" w:eastAsiaTheme="minorEastAsia" w:hAnsi="Times New Roman"/>
          <w:sz w:val="28"/>
          <w:szCs w:val="28"/>
          <w:vertAlign w:val="subscript"/>
          <w:lang w:val="uk-UA"/>
        </w:rPr>
        <w:t>І</w:t>
      </w:r>
      <w:r w:rsidRPr="005C38DA">
        <w:rPr>
          <w:rFonts w:ascii="Times New Roman" w:eastAsiaTheme="minorEastAsia" w:hAnsi="Times New Roman"/>
          <w:sz w:val="28"/>
          <w:szCs w:val="28"/>
          <w:lang w:val="uk-UA"/>
        </w:rPr>
        <w:t xml:space="preserve"> – часткові індикатори (фінансові, виробничі, </w:t>
      </w:r>
      <w:r w:rsidRPr="005C38DA">
        <w:rPr>
          <w:rFonts w:ascii="Times New Roman" w:eastAsiaTheme="minorEastAsia" w:hAnsi="Times New Roman"/>
          <w:sz w:val="28"/>
          <w:szCs w:val="28"/>
          <w:lang w:val="en-US"/>
        </w:rPr>
        <w:t>ESG</w:t>
      </w:r>
      <w:r w:rsidRPr="005C38DA">
        <w:rPr>
          <w:rFonts w:ascii="Times New Roman" w:eastAsiaTheme="minorEastAsia" w:hAnsi="Times New Roman"/>
          <w:sz w:val="28"/>
          <w:szCs w:val="28"/>
          <w:lang w:val="uk-UA"/>
        </w:rPr>
        <w:t>, ризикові);</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w</w:t>
      </w:r>
      <w:r w:rsidRPr="005C38DA">
        <w:rPr>
          <w:rFonts w:ascii="Times New Roman" w:eastAsiaTheme="minorEastAsia" w:hAnsi="Times New Roman"/>
          <w:sz w:val="28"/>
          <w:szCs w:val="28"/>
          <w:vertAlign w:val="subscript"/>
          <w:lang w:val="en-US"/>
        </w:rPr>
        <w:t>i</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вага значущості кожного індикатору. При тому їх сума дорівнює 1 (</w:t>
      </w:r>
      <m:oMath>
        <m:nary>
          <m:naryPr>
            <m:chr m:val="∑"/>
            <m:limLoc m:val="undOvr"/>
            <m:subHide m:val="1"/>
            <m:supHide m:val="1"/>
            <m:ctrlPr>
              <w:rPr>
                <w:rFonts w:ascii="Cambria Math" w:eastAsiaTheme="minorEastAsia" w:hAnsi="Cambria Math"/>
                <w:i/>
                <w:kern w:val="2"/>
                <w:sz w:val="28"/>
                <w:szCs w:val="28"/>
                <w:lang w:val="uk-UA"/>
                <w14:ligatures w14:val="standardContextual"/>
              </w:rPr>
            </m:ctrlPr>
          </m:naryPr>
          <m:sub/>
          <m:sup/>
          <m:e>
            <m:sSub>
              <m:sSubPr>
                <m:ctrlPr>
                  <w:rPr>
                    <w:rFonts w:ascii="Cambria Math" w:eastAsiaTheme="minorEastAsia" w:hAnsi="Cambria Math"/>
                    <w:i/>
                    <w:kern w:val="2"/>
                    <w:sz w:val="28"/>
                    <w:szCs w:val="28"/>
                    <w:lang w:val="uk-UA"/>
                    <w14:ligatures w14:val="standardContextual"/>
                  </w:rPr>
                </m:ctrlPr>
              </m:sSubPr>
              <m:e>
                <m:r>
                  <w:rPr>
                    <w:rFonts w:ascii="Cambria Math" w:eastAsiaTheme="minorEastAsia" w:hAnsi="Cambria Math"/>
                    <w:sz w:val="28"/>
                    <w:szCs w:val="28"/>
                    <w:lang w:val="en-US"/>
                  </w:rPr>
                  <m:t>w</m:t>
                </m:r>
              </m:e>
              <m:sub>
                <m:r>
                  <w:rPr>
                    <w:rFonts w:ascii="Cambria Math" w:eastAsiaTheme="minorEastAsia" w:hAnsi="Cambria Math"/>
                    <w:sz w:val="28"/>
                    <w:szCs w:val="28"/>
                    <w:lang w:val="uk-UA"/>
                  </w:rPr>
                  <m:t>i</m:t>
                </m:r>
              </m:sub>
            </m:sSub>
            <m:r>
              <w:rPr>
                <w:rFonts w:ascii="Cambria Math" w:eastAsiaTheme="minorEastAsia" w:hAnsi="Cambria Math"/>
                <w:sz w:val="28"/>
                <w:szCs w:val="28"/>
                <w:lang w:val="uk-UA"/>
              </w:rPr>
              <m:t>=</m:t>
            </m:r>
            <m:r>
              <w:rPr>
                <w:rFonts w:ascii="Cambria Math" w:eastAsiaTheme="minorEastAsia" w:hAnsi="Cambria Math"/>
                <w:sz w:val="28"/>
                <w:szCs w:val="28"/>
              </w:rPr>
              <m:t>1</m:t>
            </m:r>
          </m:e>
        </m:nary>
        <m:r>
          <w:rPr>
            <w:rFonts w:ascii="Cambria Math" w:eastAsiaTheme="minorEastAsia" w:hAnsi="Cambria Math"/>
            <w:sz w:val="28"/>
            <w:szCs w:val="28"/>
            <w:lang w:val="uk-UA"/>
          </w:rPr>
          <m:t>)</m:t>
        </m:r>
      </m:oMath>
      <w:r w:rsidRPr="005C38DA">
        <w:rPr>
          <w:rFonts w:ascii="Times New Roman" w:eastAsiaTheme="minorEastAsia" w:hAnsi="Times New Roman"/>
          <w:sz w:val="28"/>
          <w:szCs w:val="28"/>
          <w:lang w:val="uk-UA"/>
        </w:rPr>
        <w:t>.</w:t>
      </w:r>
    </w:p>
    <w:p w:rsidR="00B37265" w:rsidRPr="005C38DA" w:rsidRDefault="00B37265" w:rsidP="005C38DA">
      <w:pPr>
        <w:spacing w:after="0" w:line="360" w:lineRule="auto"/>
        <w:ind w:firstLine="709"/>
        <w:contextualSpacing/>
        <w:jc w:val="both"/>
        <w:rPr>
          <w:rFonts w:ascii="Times New Roman" w:hAnsi="Times New Roman"/>
          <w:color w:val="000000"/>
          <w:sz w:val="28"/>
          <w:szCs w:val="28"/>
          <w:lang w:val="uk-UA"/>
        </w:rPr>
      </w:pPr>
      <w:r w:rsidRPr="005C38DA">
        <w:rPr>
          <w:rFonts w:ascii="Times New Roman" w:hAnsi="Times New Roman"/>
          <w:color w:val="000000"/>
          <w:sz w:val="28"/>
          <w:szCs w:val="28"/>
        </w:rPr>
        <w:lastRenderedPageBreak/>
        <w:t>Економічна інтерпретація полягає у агрегуванні різнорідних параметрів у єдиний узагальнюючий показник. Результатом є отримання кількісної оцінки інвестиційної привабливості, яка може бути використана для ранжування підприємств або моніторингу динаміки. Зростання</w:t>
      </w:r>
      <w:r w:rsidRPr="005C38DA">
        <w:rPr>
          <w:rStyle w:val="apple-converted-space"/>
          <w:rFonts w:ascii="Times New Roman" w:hAnsi="Times New Roman"/>
          <w:color w:val="000000"/>
        </w:rPr>
        <w:t xml:space="preserve"> </w:t>
      </w:r>
      <m:oMath>
        <m:r>
          <w:rPr>
            <w:rFonts w:ascii="Cambria Math" w:hAnsi="Cambria Math"/>
            <w:sz w:val="28"/>
            <w:szCs w:val="28"/>
          </w:rPr>
          <m:t>IA</m:t>
        </m:r>
      </m:oMath>
      <w:r w:rsidRPr="005C38DA">
        <w:rPr>
          <w:rStyle w:val="apple-converted-space"/>
          <w:rFonts w:ascii="Times New Roman" w:hAnsi="Times New Roman"/>
          <w:color w:val="000000"/>
        </w:rPr>
        <w:t xml:space="preserve"> </w:t>
      </w:r>
      <w:r w:rsidRPr="005C38DA">
        <w:rPr>
          <w:rFonts w:ascii="Times New Roman" w:hAnsi="Times New Roman"/>
          <w:color w:val="000000"/>
          <w:sz w:val="28"/>
          <w:szCs w:val="28"/>
        </w:rPr>
        <w:t>інтерпретується як підвищення довіри інвесторів та зниження інформаційної асиметрії.</w:t>
      </w:r>
    </w:p>
    <w:p w:rsidR="00B37265" w:rsidRPr="005C38DA" w:rsidRDefault="00B37265" w:rsidP="005C38DA">
      <w:pPr>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Наступним елементом економічного механізму інвестиційної привабливості є показник чистої приведеної вартості, який обраховується наступним чином:</w:t>
      </w:r>
    </w:p>
    <w:p w:rsidR="00B37265" w:rsidRPr="005C38DA" w:rsidRDefault="00EB5B4E" w:rsidP="005C38DA">
      <w:pPr>
        <w:tabs>
          <w:tab w:val="left" w:pos="709"/>
        </w:tabs>
        <w:spacing w:after="0" w:line="360" w:lineRule="auto"/>
        <w:contextualSpacing/>
        <w:jc w:val="center"/>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N</m:t>
              </m:r>
              <m:r>
                <w:rPr>
                  <w:rFonts w:ascii="Cambria Math" w:eastAsiaTheme="minorEastAsia" w:hAnsi="Cambria Math"/>
                  <w:sz w:val="28"/>
                  <w:szCs w:val="28"/>
                  <w:lang w:val="en-US"/>
                </w:rPr>
                <m:t xml:space="preserve">PV= </m:t>
              </m:r>
              <m:nary>
                <m:naryPr>
                  <m:chr m:val="∑"/>
                  <m:limLoc m:val="undOvr"/>
                  <m:ctrlPr>
                    <w:rPr>
                      <w:rFonts w:ascii="Cambria Math" w:eastAsiaTheme="minorEastAsia" w:hAnsi="Cambria Math"/>
                      <w:i/>
                      <w:kern w:val="2"/>
                      <w:sz w:val="28"/>
                      <w:szCs w:val="28"/>
                      <w:lang w:val="en-US"/>
                      <w14:ligatures w14:val="standardContextual"/>
                    </w:rPr>
                  </m:ctrlPr>
                </m:naryPr>
                <m:sub>
                  <m:r>
                    <w:rPr>
                      <w:rFonts w:ascii="Cambria Math" w:eastAsiaTheme="minorEastAsia" w:hAnsi="Cambria Math"/>
                      <w:sz w:val="28"/>
                      <w:szCs w:val="28"/>
                      <w:lang w:val="en-US"/>
                    </w:rPr>
                    <m:t>t=1</m:t>
                  </m:r>
                </m:sub>
                <m:sup>
                  <m:r>
                    <w:rPr>
                      <w:rFonts w:ascii="Cambria Math" w:eastAsiaTheme="minorEastAsia" w:hAnsi="Cambria Math"/>
                      <w:sz w:val="28"/>
                      <w:szCs w:val="28"/>
                      <w:lang w:val="en-US"/>
                    </w:rPr>
                    <m:t>n</m:t>
                  </m:r>
                </m:sup>
                <m:e>
                  <m:f>
                    <m:fPr>
                      <m:ctrlPr>
                        <w:rPr>
                          <w:rFonts w:ascii="Cambria Math" w:eastAsiaTheme="minorEastAsia" w:hAnsi="Cambria Math"/>
                          <w:i/>
                          <w:kern w:val="2"/>
                          <w:sz w:val="28"/>
                          <w:szCs w:val="28"/>
                          <w:lang w:val="en-US"/>
                          <w14:ligatures w14:val="standardContextual"/>
                        </w:rPr>
                      </m:ctrlPr>
                    </m:fPr>
                    <m:num>
                      <m:sSub>
                        <m:sSubPr>
                          <m:ctrlPr>
                            <w:rPr>
                              <w:rFonts w:ascii="Cambria Math" w:eastAsiaTheme="minorEastAsia" w:hAnsi="Cambria Math"/>
                              <w:i/>
                              <w:kern w:val="2"/>
                              <w:sz w:val="28"/>
                              <w:szCs w:val="28"/>
                              <w:lang w:val="en-US"/>
                              <w14:ligatures w14:val="standardContextual"/>
                            </w:rPr>
                          </m:ctrlPr>
                        </m:sSubPr>
                        <m:e>
                          <m:r>
                            <w:rPr>
                              <w:rFonts w:ascii="Cambria Math" w:eastAsiaTheme="minorEastAsia" w:hAnsi="Cambria Math"/>
                              <w:sz w:val="28"/>
                              <w:szCs w:val="28"/>
                              <w:lang w:val="en-US"/>
                            </w:rPr>
                            <m:t>CF</m:t>
                          </m:r>
                        </m:e>
                        <m:sub>
                          <m:r>
                            <w:rPr>
                              <w:rFonts w:ascii="Cambria Math" w:eastAsiaTheme="minorEastAsia" w:hAnsi="Cambria Math"/>
                              <w:sz w:val="28"/>
                              <w:szCs w:val="28"/>
                              <w:lang w:val="en-US"/>
                            </w:rPr>
                            <m:t>t</m:t>
                          </m:r>
                        </m:sub>
                      </m:sSub>
                    </m:num>
                    <m:den>
                      <m:sSup>
                        <m:sSupPr>
                          <m:ctrlPr>
                            <w:rPr>
                              <w:rFonts w:ascii="Cambria Math" w:eastAsiaTheme="minorEastAsia" w:hAnsi="Cambria Math"/>
                              <w:i/>
                              <w:kern w:val="2"/>
                              <w:sz w:val="28"/>
                              <w:szCs w:val="28"/>
                              <w:lang w:val="en-US"/>
                              <w14:ligatures w14:val="standardContextual"/>
                            </w:rPr>
                          </m:ctrlPr>
                        </m:sSupPr>
                        <m:e>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1+r</m:t>
                              </m:r>
                            </m:e>
                          </m:d>
                        </m:e>
                        <m:sup>
                          <m:r>
                            <w:rPr>
                              <w:rFonts w:ascii="Cambria Math" w:eastAsiaTheme="minorEastAsia" w:hAnsi="Cambria Math"/>
                              <w:sz w:val="28"/>
                              <w:szCs w:val="28"/>
                              <w:lang w:val="en-US"/>
                            </w:rPr>
                            <m:t>t</m:t>
                          </m:r>
                        </m:sup>
                      </m:sSup>
                    </m:den>
                  </m:f>
                  <m:r>
                    <w:rPr>
                      <w:rFonts w:ascii="Cambria Math" w:eastAsiaTheme="minorEastAsia" w:hAnsi="Cambria Math"/>
                      <w:sz w:val="28"/>
                      <w:szCs w:val="28"/>
                      <w:lang w:val="en-US"/>
                    </w:rPr>
                    <m:t>-</m:t>
                  </m:r>
                  <m:sSub>
                    <m:sSubPr>
                      <m:ctrlPr>
                        <w:rPr>
                          <w:rFonts w:ascii="Cambria Math" w:eastAsiaTheme="minorEastAsia" w:hAnsi="Cambria Math"/>
                          <w:i/>
                          <w:kern w:val="2"/>
                          <w:sz w:val="28"/>
                          <w:szCs w:val="28"/>
                          <w:lang w:val="en-US"/>
                          <w14:ligatures w14:val="standardContextual"/>
                        </w:rPr>
                      </m:ctrlPr>
                    </m:sSubPr>
                    <m:e>
                      <m:r>
                        <w:rPr>
                          <w:rFonts w:ascii="Cambria Math" w:eastAsiaTheme="minorEastAsia" w:hAnsi="Cambria Math"/>
                          <w:sz w:val="28"/>
                          <w:szCs w:val="28"/>
                          <w:lang w:val="en-US"/>
                        </w:rPr>
                        <m:t>I</m:t>
                      </m:r>
                    </m:e>
                    <m:sub>
                      <m:r>
                        <w:rPr>
                          <w:rFonts w:ascii="Cambria Math" w:eastAsiaTheme="minorEastAsia" w:hAnsi="Cambria Math"/>
                          <w:sz w:val="28"/>
                          <w:szCs w:val="28"/>
                          <w:lang w:val="en-US"/>
                        </w:rPr>
                        <m:t>O</m:t>
                      </m:r>
                    </m:sub>
                  </m:sSub>
                </m:e>
              </m:nary>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3.4</m:t>
                  </m:r>
                </m:e>
              </m:d>
              <m:ctrlPr>
                <w:rPr>
                  <w:rFonts w:ascii="Cambria Math" w:eastAsiaTheme="minorEastAsia" w:hAnsi="Cambria Math"/>
                  <w:i/>
                  <w:sz w:val="28"/>
                  <w:szCs w:val="28"/>
                  <w:lang w:val="uk-UA"/>
                </w:rPr>
              </m:ctrlPr>
            </m:e>
          </m:eqArr>
        </m:oMath>
      </m:oMathPara>
    </w:p>
    <w:p w:rsidR="00B37265" w:rsidRPr="005C38DA" w:rsidRDefault="00B37265" w:rsidP="005C38DA">
      <w:pPr>
        <w:tabs>
          <w:tab w:val="left" w:pos="709"/>
        </w:tabs>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r w:rsidRPr="005C38DA">
        <w:rPr>
          <w:rFonts w:ascii="Times New Roman" w:eastAsiaTheme="minorEastAsia" w:hAnsi="Times New Roman"/>
          <w:sz w:val="28"/>
          <w:szCs w:val="28"/>
          <w:lang w:val="en-US"/>
        </w:rPr>
        <w:t>CF</w:t>
      </w:r>
      <w:r w:rsidRPr="005C38DA">
        <w:rPr>
          <w:rFonts w:ascii="Times New Roman" w:eastAsiaTheme="minorEastAsia" w:hAnsi="Times New Roman"/>
          <w:sz w:val="28"/>
          <w:szCs w:val="28"/>
          <w:vertAlign w:val="subscript"/>
          <w:lang w:val="en-US"/>
        </w:rPr>
        <w:t>t</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грошовий потік;</w:t>
      </w:r>
    </w:p>
    <w:p w:rsidR="00B37265" w:rsidRPr="005C38DA" w:rsidRDefault="00B37265" w:rsidP="005C38DA">
      <w:pPr>
        <w:tabs>
          <w:tab w:val="left" w:pos="709"/>
        </w:tabs>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r</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ставка дисконтування;</w:t>
      </w:r>
    </w:p>
    <w:p w:rsidR="00B37265" w:rsidRPr="005C38DA" w:rsidRDefault="00B37265" w:rsidP="005C38DA">
      <w:pPr>
        <w:tabs>
          <w:tab w:val="left" w:pos="709"/>
        </w:tabs>
        <w:spacing w:after="0" w:line="360" w:lineRule="auto"/>
        <w:ind w:firstLine="709"/>
        <w:contextualSpacing/>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I</w:t>
      </w:r>
      <w:r w:rsidRPr="005C38DA">
        <w:rPr>
          <w:rFonts w:ascii="Times New Roman" w:eastAsiaTheme="minorEastAsia" w:hAnsi="Times New Roman"/>
          <w:sz w:val="28"/>
          <w:szCs w:val="28"/>
          <w:vertAlign w:val="subscript"/>
          <w:lang w:val="en-US"/>
        </w:rPr>
        <w:t>O</w:t>
      </w:r>
      <w:r w:rsidRPr="005C38DA">
        <w:rPr>
          <w:rFonts w:ascii="Times New Roman" w:eastAsiaTheme="minorEastAsia" w:hAnsi="Times New Roman"/>
          <w:sz w:val="28"/>
          <w:szCs w:val="28"/>
          <w:lang w:val="uk-UA"/>
        </w:rPr>
        <w:t xml:space="preserve"> – початкові інвестиції.</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rPr>
      </w:pPr>
      <w:r w:rsidRPr="005C38DA">
        <w:rPr>
          <w:color w:val="000000"/>
          <w:sz w:val="28"/>
          <w:szCs w:val="28"/>
        </w:rPr>
        <w:t>Дана формула відображає принцип часової вартості грошей. Результатом є визначення доцільності інвестиційного проєкту: якщо</w:t>
      </w:r>
      <w:r w:rsidRPr="005C38DA">
        <w:rPr>
          <w:color w:val="000000"/>
          <w:sz w:val="28"/>
          <w:szCs w:val="28"/>
          <w:lang w:val="uk-UA"/>
        </w:rPr>
        <w:t xml:space="preserve"> </w:t>
      </w:r>
      <w:r w:rsidRPr="005C38DA">
        <w:rPr>
          <w:color w:val="000000"/>
          <w:sz w:val="28"/>
          <w:szCs w:val="28"/>
        </w:rPr>
        <w:t>NPV&gt;0</w:t>
      </w:r>
      <w:r w:rsidRPr="005C38DA">
        <w:rPr>
          <w:color w:val="000000"/>
          <w:sz w:val="28"/>
          <w:szCs w:val="28"/>
          <w:lang w:val="uk-UA"/>
        </w:rPr>
        <w:t xml:space="preserve"> </w:t>
      </w:r>
      <w:r w:rsidRPr="005C38DA">
        <w:rPr>
          <w:color w:val="000000"/>
          <w:sz w:val="28"/>
          <w:szCs w:val="28"/>
        </w:rPr>
        <w:t>проєкт є економічно ефективним; якщо</w:t>
      </w:r>
      <w:r w:rsidRPr="005C38DA">
        <w:rPr>
          <w:rStyle w:val="apple-converted-space"/>
          <w:rFonts w:eastAsiaTheme="majorEastAsia"/>
          <w:color w:val="000000"/>
          <w:lang w:val="uk-UA"/>
        </w:rPr>
        <w:t xml:space="preserve"> </w:t>
      </w:r>
      <w:r w:rsidRPr="005C38DA">
        <w:rPr>
          <w:color w:val="000000"/>
          <w:sz w:val="28"/>
          <w:szCs w:val="28"/>
        </w:rPr>
        <w:t>NPV&lt;0</w:t>
      </w:r>
      <w:r w:rsidRPr="005C38DA">
        <w:rPr>
          <w:color w:val="000000"/>
          <w:sz w:val="28"/>
          <w:szCs w:val="28"/>
          <w:lang w:val="uk-UA"/>
        </w:rPr>
        <w:t xml:space="preserve"> – збитковим. </w:t>
      </w:r>
      <w:r w:rsidRPr="005C38DA">
        <w:rPr>
          <w:color w:val="000000"/>
          <w:sz w:val="28"/>
          <w:szCs w:val="28"/>
        </w:rPr>
        <w:t>Інтерпретаційно величина</w:t>
      </w:r>
      <w:r w:rsidRPr="005C38DA">
        <w:rPr>
          <w:rStyle w:val="apple-converted-space"/>
          <w:rFonts w:eastAsiaTheme="majorEastAsia"/>
          <w:color w:val="000000"/>
        </w:rPr>
        <w:t> </w:t>
      </w:r>
      <m:oMath>
        <m:r>
          <w:rPr>
            <w:rFonts w:ascii="Cambria Math" w:hAnsi="Cambria Math"/>
            <w:sz w:val="28"/>
            <w:szCs w:val="28"/>
          </w:rPr>
          <m:t>NPV</m:t>
        </m:r>
      </m:oMath>
      <w:r w:rsidRPr="005C38DA">
        <w:rPr>
          <w:rStyle w:val="apple-converted-space"/>
          <w:rFonts w:eastAsiaTheme="majorEastAsia"/>
          <w:color w:val="000000"/>
        </w:rPr>
        <w:t> </w:t>
      </w:r>
      <w:r w:rsidRPr="005C38DA">
        <w:rPr>
          <w:color w:val="000000"/>
          <w:sz w:val="28"/>
          <w:szCs w:val="28"/>
        </w:rPr>
        <w:t>характеризує приріст вартості підприємства, який генерується реалізацією інвестицій.</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rPr>
        <w:t xml:space="preserve">Вартість капіталу визначається </w:t>
      </w:r>
      <w:r w:rsidRPr="005C38DA">
        <w:rPr>
          <w:color w:val="000000"/>
          <w:sz w:val="28"/>
          <w:szCs w:val="28"/>
          <w:lang w:val="uk-UA"/>
        </w:rPr>
        <w:t>наступним чином:</w:t>
      </w:r>
    </w:p>
    <w:p w:rsidR="00B37265" w:rsidRPr="005C38DA" w:rsidRDefault="00EB5B4E" w:rsidP="005C38DA">
      <w:pPr>
        <w:pStyle w:val="a5"/>
        <w:spacing w:before="0" w:beforeAutospacing="0" w:after="0" w:afterAutospacing="0" w:line="360" w:lineRule="auto"/>
        <w:ind w:firstLine="709"/>
        <w:contextualSpacing/>
        <w:jc w:val="both"/>
        <w:rPr>
          <w:color w:val="000000"/>
          <w:sz w:val="28"/>
          <w:szCs w:val="28"/>
          <w:lang w:val="en-US"/>
        </w:rPr>
      </w:pPr>
      <m:oMathPara>
        <m:oMath>
          <m:eqArr>
            <m:eqArrPr>
              <m:maxDist m:val="1"/>
              <m:ctrlPr>
                <w:rPr>
                  <w:rFonts w:ascii="Cambria Math" w:hAnsi="Cambria Math"/>
                  <w:i/>
                  <w:color w:val="000000"/>
                  <w:sz w:val="28"/>
                  <w:szCs w:val="28"/>
                  <w:lang w:val="en-US"/>
                </w:rPr>
              </m:ctrlPr>
            </m:eqArrPr>
            <m:e>
              <m:r>
                <w:rPr>
                  <w:rFonts w:ascii="Cambria Math" w:hAnsi="Cambria Math"/>
                  <w:color w:val="000000"/>
                  <w:sz w:val="28"/>
                  <w:szCs w:val="28"/>
                  <w:lang w:val="uk-UA"/>
                </w:rPr>
                <m:t>W</m:t>
              </m:r>
              <m:r>
                <w:rPr>
                  <w:rFonts w:ascii="Cambria Math" w:hAnsi="Cambria Math"/>
                  <w:color w:val="000000"/>
                  <w:sz w:val="28"/>
                  <w:szCs w:val="28"/>
                  <w:lang w:val="en-US"/>
                </w:rPr>
                <m:t xml:space="preserve">ACC= </m:t>
              </m:r>
              <m:f>
                <m:fPr>
                  <m:ctrlPr>
                    <w:rPr>
                      <w:rFonts w:ascii="Cambria Math" w:hAnsi="Cambria Math"/>
                      <w:i/>
                      <w:color w:val="000000"/>
                      <w:sz w:val="28"/>
                      <w:szCs w:val="28"/>
                      <w:lang w:val="en-US"/>
                    </w:rPr>
                  </m:ctrlPr>
                </m:fPr>
                <m:num>
                  <m:r>
                    <w:rPr>
                      <w:rFonts w:ascii="Cambria Math" w:hAnsi="Cambria Math"/>
                      <w:color w:val="000000"/>
                      <w:sz w:val="28"/>
                      <w:szCs w:val="28"/>
                      <w:lang w:val="en-US"/>
                    </w:rPr>
                    <m:t>E</m:t>
                  </m:r>
                </m:num>
                <m:den>
                  <m:r>
                    <w:rPr>
                      <w:rFonts w:ascii="Cambria Math" w:hAnsi="Cambria Math"/>
                      <w:color w:val="000000"/>
                      <w:sz w:val="28"/>
                      <w:szCs w:val="28"/>
                      <w:lang w:val="en-US"/>
                    </w:rPr>
                    <m:t>D+E</m:t>
                  </m:r>
                </m:den>
              </m:f>
              <m:r>
                <w:rPr>
                  <w:rFonts w:ascii="Cambria Math" w:hAnsi="Cambria Math"/>
                  <w:color w:val="000000"/>
                  <w:sz w:val="28"/>
                  <w:szCs w:val="28"/>
                  <w:lang w:val="en-US"/>
                </w:rPr>
                <m:t>*</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R</m:t>
                  </m:r>
                </m:e>
                <m:sub>
                  <m:r>
                    <w:rPr>
                      <w:rFonts w:ascii="Cambria Math" w:hAnsi="Cambria Math"/>
                      <w:color w:val="000000"/>
                      <w:sz w:val="28"/>
                      <w:szCs w:val="28"/>
                      <w:lang w:val="en-US"/>
                    </w:rPr>
                    <m:t>E</m:t>
                  </m:r>
                </m:sub>
              </m:sSub>
              <m:r>
                <w:rPr>
                  <w:rFonts w:ascii="Cambria Math" w:hAnsi="Cambria Math"/>
                  <w:color w:val="000000"/>
                  <w:sz w:val="28"/>
                  <w:szCs w:val="28"/>
                  <w:lang w:val="en-US"/>
                </w:rPr>
                <m:t>+</m:t>
              </m:r>
              <m:f>
                <m:fPr>
                  <m:ctrlPr>
                    <w:rPr>
                      <w:rFonts w:ascii="Cambria Math" w:hAnsi="Cambria Math"/>
                      <w:i/>
                      <w:color w:val="000000"/>
                      <w:sz w:val="28"/>
                      <w:szCs w:val="28"/>
                      <w:lang w:val="en-US"/>
                    </w:rPr>
                  </m:ctrlPr>
                </m:fPr>
                <m:num>
                  <m:r>
                    <w:rPr>
                      <w:rFonts w:ascii="Cambria Math" w:hAnsi="Cambria Math"/>
                      <w:color w:val="000000"/>
                      <w:sz w:val="28"/>
                      <w:szCs w:val="28"/>
                      <w:lang w:val="en-US"/>
                    </w:rPr>
                    <m:t>D</m:t>
                  </m:r>
                </m:num>
                <m:den>
                  <m:r>
                    <w:rPr>
                      <w:rFonts w:ascii="Cambria Math" w:hAnsi="Cambria Math"/>
                      <w:color w:val="000000"/>
                      <w:sz w:val="28"/>
                      <w:szCs w:val="28"/>
                      <w:lang w:val="en-US"/>
                    </w:rPr>
                    <m:t>D+E</m:t>
                  </m:r>
                </m:den>
              </m:f>
              <m:r>
                <w:rPr>
                  <w:rFonts w:ascii="Cambria Math" w:hAnsi="Cambria Math"/>
                  <w:color w:val="000000"/>
                  <w:sz w:val="28"/>
                  <w:szCs w:val="28"/>
                  <w:lang w:val="en-US"/>
                </w:rPr>
                <m:t>*</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R</m:t>
                  </m:r>
                </m:e>
                <m:sub>
                  <m:r>
                    <w:rPr>
                      <w:rFonts w:ascii="Cambria Math" w:hAnsi="Cambria Math"/>
                      <w:color w:val="000000"/>
                      <w:sz w:val="28"/>
                      <w:szCs w:val="28"/>
                      <w:lang w:val="en-US"/>
                    </w:rPr>
                    <m:t>d</m:t>
                  </m:r>
                </m:sub>
              </m:sSub>
              <m:r>
                <w:rPr>
                  <w:rFonts w:ascii="Cambria Math" w:hAnsi="Cambria Math"/>
                  <w:color w:val="000000"/>
                  <w:sz w:val="28"/>
                  <w:szCs w:val="28"/>
                  <w:lang w:val="en-US"/>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1-T</m:t>
                  </m:r>
                </m:e>
              </m:d>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3.5</m:t>
                  </m:r>
                </m:e>
              </m:d>
              <m:ctrlPr>
                <w:rPr>
                  <w:rFonts w:ascii="Cambria Math" w:hAnsi="Cambria Math"/>
                  <w:i/>
                  <w:color w:val="000000"/>
                  <w:sz w:val="28"/>
                  <w:szCs w:val="28"/>
                  <w:lang w:val="uk-UA"/>
                </w:rPr>
              </m:ctrlPr>
            </m:e>
          </m:eqArr>
        </m:oMath>
      </m:oMathPara>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де Е – власний капітал;</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w:t>
      </w:r>
      <w:r w:rsidRPr="005C38DA">
        <w:rPr>
          <w:color w:val="000000"/>
          <w:sz w:val="28"/>
          <w:szCs w:val="28"/>
          <w:lang w:val="en-US"/>
        </w:rPr>
        <w:t>D</w:t>
      </w:r>
      <w:r w:rsidRPr="005C38DA">
        <w:rPr>
          <w:color w:val="000000"/>
          <w:sz w:val="28"/>
          <w:szCs w:val="28"/>
          <w:lang w:val="uk-UA"/>
        </w:rPr>
        <w:t xml:space="preserve"> – позиковий капітал;</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w:t>
      </w:r>
      <w:r w:rsidRPr="005C38DA">
        <w:rPr>
          <w:color w:val="000000"/>
          <w:sz w:val="28"/>
          <w:szCs w:val="28"/>
          <w:lang w:val="en-US"/>
        </w:rPr>
        <w:t>R</w:t>
      </w:r>
      <w:r w:rsidRPr="005C38DA">
        <w:rPr>
          <w:color w:val="000000"/>
          <w:sz w:val="28"/>
          <w:szCs w:val="28"/>
          <w:vertAlign w:val="subscript"/>
          <w:lang w:val="en-US"/>
        </w:rPr>
        <w:t>E</w:t>
      </w:r>
      <w:r w:rsidRPr="005C38DA">
        <w:rPr>
          <w:color w:val="000000"/>
          <w:sz w:val="28"/>
          <w:szCs w:val="28"/>
        </w:rPr>
        <w:t xml:space="preserve"> – </w:t>
      </w:r>
      <w:r w:rsidRPr="005C38DA">
        <w:rPr>
          <w:color w:val="000000"/>
          <w:sz w:val="28"/>
          <w:szCs w:val="28"/>
          <w:lang w:val="uk-UA"/>
        </w:rPr>
        <w:t>дохідність власного капіталу;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w:t>
      </w:r>
      <w:r w:rsidRPr="005C38DA">
        <w:rPr>
          <w:color w:val="000000"/>
          <w:sz w:val="28"/>
          <w:szCs w:val="28"/>
          <w:lang w:val="en-US"/>
        </w:rPr>
        <w:t>R</w:t>
      </w:r>
      <w:r w:rsidRPr="005C38DA">
        <w:rPr>
          <w:color w:val="000000"/>
          <w:sz w:val="28"/>
          <w:szCs w:val="28"/>
          <w:vertAlign w:val="subscript"/>
          <w:lang w:val="en-US"/>
        </w:rPr>
        <w:t>d</w:t>
      </w:r>
      <w:r w:rsidRPr="005C38DA">
        <w:rPr>
          <w:color w:val="000000"/>
          <w:sz w:val="28"/>
          <w:szCs w:val="28"/>
        </w:rPr>
        <w:t xml:space="preserve"> – </w:t>
      </w:r>
      <w:r w:rsidRPr="005C38DA">
        <w:rPr>
          <w:color w:val="000000"/>
          <w:sz w:val="28"/>
          <w:szCs w:val="28"/>
          <w:lang w:val="uk-UA"/>
        </w:rPr>
        <w:t>ставка боргу;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Т – податкова ставка.</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rPr>
      </w:pPr>
      <w:r w:rsidRPr="005C38DA">
        <w:rPr>
          <w:color w:val="000000"/>
          <w:sz w:val="28"/>
          <w:szCs w:val="28"/>
        </w:rPr>
        <w:t xml:space="preserve">Економічний зміст полягає у визначенні середньої ціни фінансових ресурсів. Результатом є встановлення мінімально допустимого рівня </w:t>
      </w:r>
      <w:r w:rsidRPr="005C38DA">
        <w:rPr>
          <w:color w:val="000000"/>
          <w:sz w:val="28"/>
          <w:szCs w:val="28"/>
        </w:rPr>
        <w:lastRenderedPageBreak/>
        <w:t>дохідності інвестицій. Інтерпретаційно зниження</w:t>
      </w:r>
      <w:r w:rsidRPr="005C38DA">
        <w:rPr>
          <w:rStyle w:val="apple-converted-space"/>
          <w:rFonts w:eastAsiaTheme="majorEastAsia"/>
          <w:color w:val="000000"/>
          <w:lang w:val="uk-UA"/>
        </w:rPr>
        <w:t xml:space="preserve"> </w:t>
      </w:r>
      <m:oMath>
        <m:r>
          <w:rPr>
            <w:rFonts w:ascii="Cambria Math" w:hAnsi="Cambria Math"/>
            <w:sz w:val="28"/>
            <w:szCs w:val="28"/>
          </w:rPr>
          <m:t>WACC</m:t>
        </m:r>
      </m:oMath>
      <w:r w:rsidRPr="005C38DA">
        <w:rPr>
          <w:rStyle w:val="apple-converted-space"/>
          <w:rFonts w:eastAsiaTheme="majorEastAsia"/>
          <w:color w:val="000000"/>
          <w:lang w:val="uk-UA"/>
        </w:rPr>
        <w:t xml:space="preserve"> </w:t>
      </w:r>
      <w:r w:rsidRPr="005C38DA">
        <w:rPr>
          <w:color w:val="000000"/>
          <w:sz w:val="28"/>
          <w:szCs w:val="28"/>
        </w:rPr>
        <w:t>свідчить про підвищення фінансової стійкості та привабливості підприємства.</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rPr>
      </w:pPr>
      <w:r w:rsidRPr="005C38DA">
        <w:rPr>
          <w:color w:val="000000"/>
          <w:sz w:val="28"/>
          <w:szCs w:val="28"/>
        </w:rPr>
        <w:t>Оцінювання ризиків здійснюється за допомогою функції:</w:t>
      </w:r>
    </w:p>
    <w:p w:rsidR="00B37265" w:rsidRPr="005C38DA" w:rsidRDefault="00EB5B4E" w:rsidP="005C38DA">
      <w:pPr>
        <w:pStyle w:val="a5"/>
        <w:spacing w:before="0" w:beforeAutospacing="0" w:after="0" w:afterAutospacing="0" w:line="360" w:lineRule="auto"/>
        <w:ind w:firstLine="709"/>
        <w:contextualSpacing/>
        <w:jc w:val="both"/>
        <w:rPr>
          <w:color w:val="000000"/>
          <w:sz w:val="28"/>
          <w:szCs w:val="28"/>
          <w:lang w:val="en-US"/>
        </w:rPr>
      </w:pPr>
      <m:oMathPara>
        <m:oMath>
          <m:eqArr>
            <m:eqArrPr>
              <m:maxDist m:val="1"/>
              <m:ctrlPr>
                <w:rPr>
                  <w:rFonts w:ascii="Cambria Math" w:hAnsi="Cambria Math"/>
                  <w:i/>
                  <w:color w:val="000000"/>
                  <w:sz w:val="28"/>
                  <w:szCs w:val="28"/>
                  <w:lang w:val="en-US"/>
                </w:rPr>
              </m:ctrlPr>
            </m:eqArrPr>
            <m:e>
              <m:sSub>
                <m:sSubPr>
                  <m:ctrlPr>
                    <w:rPr>
                      <w:rFonts w:ascii="Cambria Math" w:hAnsi="Cambria Math"/>
                      <w:i/>
                      <w:color w:val="000000"/>
                      <w:sz w:val="28"/>
                      <w:szCs w:val="28"/>
                      <w:lang w:val="uk-UA"/>
                    </w:rPr>
                  </m:ctrlPr>
                </m:sSubPr>
                <m:e>
                  <m:r>
                    <w:rPr>
                      <w:rFonts w:ascii="Cambria Math" w:hAnsi="Cambria Math"/>
                      <w:color w:val="000000"/>
                      <w:sz w:val="28"/>
                      <w:szCs w:val="28"/>
                      <w:lang w:val="en-US"/>
                    </w:rPr>
                    <m:t>R</m:t>
                  </m:r>
                </m:e>
                <m:sub>
                  <m:r>
                    <w:rPr>
                      <w:rFonts w:ascii="Cambria Math" w:hAnsi="Cambria Math"/>
                      <w:color w:val="000000"/>
                      <w:sz w:val="28"/>
                      <w:szCs w:val="28"/>
                      <w:lang w:val="uk-UA"/>
                    </w:rPr>
                    <m:t>t</m:t>
                  </m:r>
                  <m:r>
                    <w:rPr>
                      <w:rFonts w:ascii="Cambria Math" w:hAnsi="Cambria Math"/>
                      <w:color w:val="000000"/>
                      <w:sz w:val="28"/>
                      <w:szCs w:val="28"/>
                      <w:lang w:val="en-US"/>
                    </w:rPr>
                    <m:t>otal</m:t>
                  </m:r>
                </m:sub>
              </m:sSub>
              <m:r>
                <w:rPr>
                  <w:rFonts w:ascii="Cambria Math" w:hAnsi="Cambria Math"/>
                  <w:color w:val="000000"/>
                  <w:sz w:val="28"/>
                  <w:szCs w:val="28"/>
                  <w:lang w:val="uk-UA"/>
                </w:rPr>
                <m:t>=</m:t>
              </m:r>
              <m:r>
                <w:rPr>
                  <w:rFonts w:ascii="Cambria Math" w:hAnsi="Cambria Math"/>
                  <w:color w:val="000000"/>
                  <w:sz w:val="28"/>
                  <w:szCs w:val="28"/>
                  <w:lang w:val="en-US"/>
                </w:rPr>
                <m:t xml:space="preserve"> </m:t>
              </m:r>
              <m:nary>
                <m:naryPr>
                  <m:chr m:val="∑"/>
                  <m:limLoc m:val="undOvr"/>
                  <m:ctrlPr>
                    <w:rPr>
                      <w:rFonts w:ascii="Cambria Math" w:hAnsi="Cambria Math"/>
                      <w:i/>
                      <w:color w:val="000000"/>
                      <w:sz w:val="28"/>
                      <w:szCs w:val="28"/>
                      <w:lang w:val="en-US"/>
                    </w:rPr>
                  </m:ctrlPr>
                </m:naryPr>
                <m:sub>
                  <m:r>
                    <w:rPr>
                      <w:rFonts w:ascii="Cambria Math" w:hAnsi="Cambria Math"/>
                      <w:color w:val="000000"/>
                      <w:sz w:val="28"/>
                      <w:szCs w:val="28"/>
                      <w:lang w:val="en-US"/>
                    </w:rPr>
                    <m:t>i=1</m:t>
                  </m:r>
                </m:sub>
                <m:sup>
                  <m:r>
                    <w:rPr>
                      <w:rFonts w:ascii="Cambria Math" w:hAnsi="Cambria Math"/>
                      <w:color w:val="000000"/>
                      <w:sz w:val="28"/>
                      <w:szCs w:val="28"/>
                      <w:lang w:val="en-US"/>
                    </w:rPr>
                    <m:t>m</m:t>
                  </m:r>
                </m:sup>
                <m:e>
                  <m:sSub>
                    <m:sSubPr>
                      <m:ctrlPr>
                        <w:rPr>
                          <w:rFonts w:ascii="Cambria Math" w:hAnsi="Cambria Math"/>
                          <w:i/>
                          <w:color w:val="000000"/>
                          <w:sz w:val="28"/>
                          <w:szCs w:val="28"/>
                          <w:lang w:val="en-US"/>
                        </w:rPr>
                      </m:ctrlPr>
                    </m:sSubPr>
                    <m:e>
                      <m:r>
                        <w:rPr>
                          <w:rFonts w:ascii="Cambria Math" w:hAnsi="Cambria Math"/>
                          <w:color w:val="000000"/>
                          <w:sz w:val="28"/>
                          <w:szCs w:val="28"/>
                          <w:lang w:val="en-US"/>
                        </w:rPr>
                        <m:t>P</m:t>
                      </m:r>
                    </m:e>
                    <m:sub>
                      <m:r>
                        <w:rPr>
                          <w:rFonts w:ascii="Cambria Math" w:hAnsi="Cambria Math"/>
                          <w:color w:val="000000"/>
                          <w:sz w:val="28"/>
                          <w:szCs w:val="28"/>
                          <w:lang w:val="en-US"/>
                        </w:rPr>
                        <m:t>i</m:t>
                      </m:r>
                    </m:sub>
                  </m:sSub>
                  <m:r>
                    <w:rPr>
                      <w:rFonts w:ascii="Cambria Math" w:hAnsi="Cambria Math"/>
                      <w:color w:val="000000"/>
                      <w:sz w:val="28"/>
                      <w:szCs w:val="28"/>
                      <w:lang w:val="en-US"/>
                    </w:rPr>
                    <m:t>*</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I</m:t>
                      </m:r>
                    </m:e>
                    <m:sub>
                      <m:r>
                        <w:rPr>
                          <w:rFonts w:ascii="Cambria Math" w:hAnsi="Cambria Math"/>
                          <w:color w:val="000000"/>
                          <w:sz w:val="28"/>
                          <w:szCs w:val="28"/>
                          <w:lang w:val="en-US"/>
                        </w:rPr>
                        <m:t>i</m:t>
                      </m:r>
                    </m:sub>
                  </m:sSub>
                  <m:r>
                    <w:rPr>
                      <w:rFonts w:ascii="Cambria Math" w:hAnsi="Cambria Math"/>
                      <w:color w:val="000000"/>
                      <w:sz w:val="28"/>
                      <w:szCs w:val="28"/>
                      <w:lang w:val="en-US"/>
                    </w:rPr>
                    <m:t>*</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w</m:t>
                      </m:r>
                    </m:e>
                    <m:sub>
                      <m:r>
                        <w:rPr>
                          <w:rFonts w:ascii="Cambria Math" w:hAnsi="Cambria Math"/>
                          <w:color w:val="000000"/>
                          <w:sz w:val="28"/>
                          <w:szCs w:val="28"/>
                          <w:lang w:val="en-US"/>
                        </w:rPr>
                        <m:t>i</m:t>
                      </m:r>
                    </m:sub>
                  </m:sSub>
                </m:e>
              </m:nary>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3.6</m:t>
                  </m:r>
                </m:e>
              </m:d>
              <m:ctrlPr>
                <w:rPr>
                  <w:rFonts w:ascii="Cambria Math" w:hAnsi="Cambria Math"/>
                  <w:i/>
                  <w:color w:val="000000"/>
                  <w:sz w:val="28"/>
                  <w:szCs w:val="28"/>
                  <w:lang w:val="uk-UA"/>
                </w:rPr>
              </m:ctrlPr>
            </m:e>
          </m:eqArr>
        </m:oMath>
      </m:oMathPara>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де </w:t>
      </w:r>
      <w:r w:rsidRPr="005C38DA">
        <w:rPr>
          <w:color w:val="000000"/>
          <w:sz w:val="28"/>
          <w:szCs w:val="28"/>
          <w:lang w:val="en-US"/>
        </w:rPr>
        <w:t>P</w:t>
      </w:r>
      <w:r w:rsidRPr="005C38DA">
        <w:rPr>
          <w:color w:val="000000"/>
          <w:sz w:val="28"/>
          <w:szCs w:val="28"/>
          <w:vertAlign w:val="subscript"/>
          <w:lang w:val="en-US"/>
        </w:rPr>
        <w:t>i</w:t>
      </w:r>
      <w:r w:rsidRPr="005C38DA">
        <w:rPr>
          <w:color w:val="000000"/>
          <w:sz w:val="28"/>
          <w:szCs w:val="28"/>
        </w:rPr>
        <w:t xml:space="preserve"> – </w:t>
      </w:r>
      <w:r w:rsidRPr="005C38DA">
        <w:rPr>
          <w:color w:val="000000"/>
          <w:sz w:val="28"/>
          <w:szCs w:val="28"/>
          <w:lang w:val="uk-UA"/>
        </w:rPr>
        <w:t>ймовірність ризику;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І</w:t>
      </w:r>
      <w:r w:rsidRPr="005C38DA">
        <w:rPr>
          <w:color w:val="000000"/>
          <w:sz w:val="28"/>
          <w:szCs w:val="28"/>
          <w:vertAlign w:val="subscript"/>
          <w:lang w:val="uk-UA"/>
        </w:rPr>
        <w:t>і</w:t>
      </w:r>
      <w:r w:rsidRPr="005C38DA">
        <w:rPr>
          <w:color w:val="000000"/>
          <w:sz w:val="28"/>
          <w:szCs w:val="28"/>
          <w:lang w:val="uk-UA"/>
        </w:rPr>
        <w:t xml:space="preserve"> – вплив ризику при настанні;</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     </w:t>
      </w:r>
      <w:r w:rsidRPr="005C38DA">
        <w:rPr>
          <w:color w:val="000000"/>
          <w:sz w:val="28"/>
          <w:szCs w:val="28"/>
          <w:lang w:val="en-US"/>
        </w:rPr>
        <w:t>w</w:t>
      </w:r>
      <w:r w:rsidRPr="005C38DA">
        <w:rPr>
          <w:color w:val="000000"/>
          <w:sz w:val="28"/>
          <w:szCs w:val="28"/>
          <w:vertAlign w:val="subscript"/>
          <w:lang w:val="en-US"/>
        </w:rPr>
        <w:t>i</w:t>
      </w:r>
      <w:r w:rsidRPr="005C38DA">
        <w:rPr>
          <w:color w:val="000000"/>
          <w:sz w:val="28"/>
          <w:szCs w:val="28"/>
          <w:lang w:val="uk-UA"/>
        </w:rPr>
        <w:t xml:space="preserve"> – вага ризику.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Формула дозволяє агрегувати різні типи ризиків (ринкові, операційні, фінансові). Результатом є інтегральна оцінка ризикового профілю підприємства. Інтерпретація полягає у можливості ідентифікації критичних ризиків і формування стратегій їх мінімізації.</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Варто враховувати, що наразі умови ризику та невизначеності є найбільш значущими в межах негативного впливу. Тому </w:t>
      </w:r>
      <w:r w:rsidRPr="005C38DA">
        <w:rPr>
          <w:color w:val="000000"/>
          <w:sz w:val="27"/>
          <w:szCs w:val="27"/>
          <w:lang w:val="uk-UA"/>
        </w:rPr>
        <w:t xml:space="preserve">за таких обставин </w:t>
      </w:r>
      <w:r w:rsidRPr="005C38DA">
        <w:rPr>
          <w:color w:val="000000"/>
          <w:sz w:val="27"/>
          <w:szCs w:val="27"/>
        </w:rPr>
        <w:t>застосовується модель стрес-тестування:</w:t>
      </w:r>
    </w:p>
    <w:p w:rsidR="00B37265" w:rsidRPr="005C38DA" w:rsidRDefault="00EB5B4E" w:rsidP="005C38DA">
      <w:pPr>
        <w:tabs>
          <w:tab w:val="left" w:pos="709"/>
        </w:tabs>
        <w:spacing w:after="0" w:line="360" w:lineRule="auto"/>
        <w:ind w:firstLine="709"/>
        <w:contextualSpacing/>
        <w:jc w:val="both"/>
        <w:rPr>
          <w:rFonts w:ascii="Times New Roman" w:hAnsi="Times New Roman"/>
          <w:sz w:val="28"/>
          <w:szCs w:val="28"/>
          <w:lang w:val="en-US"/>
        </w:rPr>
      </w:pPr>
      <m:oMathPara>
        <m:oMath>
          <m:eqArr>
            <m:eqArrPr>
              <m:maxDist m:val="1"/>
              <m:ctrlPr>
                <w:rPr>
                  <w:rFonts w:ascii="Cambria Math" w:eastAsiaTheme="minorEastAsia" w:hAnsi="Cambria Math"/>
                  <w:i/>
                  <w:sz w:val="28"/>
                  <w:szCs w:val="28"/>
                  <w:lang w:val="en-US"/>
                </w:rPr>
              </m:ctrlPr>
            </m:eqArrPr>
            <m:e>
              <m:sSub>
                <m:sSubPr>
                  <m:ctrlPr>
                    <w:rPr>
                      <w:rFonts w:ascii="Cambria Math" w:eastAsiaTheme="minorEastAsia" w:hAnsi="Cambria Math"/>
                      <w:i/>
                      <w:kern w:val="2"/>
                      <w:sz w:val="28"/>
                      <w:szCs w:val="28"/>
                      <w:lang w:val="uk-UA"/>
                      <w14:ligatures w14:val="standardContextual"/>
                    </w:rPr>
                  </m:ctrlPr>
                </m:sSubPr>
                <m:e>
                  <m:r>
                    <w:rPr>
                      <w:rFonts w:ascii="Cambria Math" w:eastAsiaTheme="minorEastAsia" w:hAnsi="Cambria Math"/>
                      <w:sz w:val="28"/>
                      <w:szCs w:val="28"/>
                      <w:lang w:val="en-US"/>
                    </w:rPr>
                    <m:t>NPV</m:t>
                  </m:r>
                </m:e>
                <m:sub>
                  <m:r>
                    <w:rPr>
                      <w:rFonts w:ascii="Cambria Math" w:eastAsiaTheme="minorEastAsia" w:hAnsi="Cambria Math"/>
                      <w:sz w:val="28"/>
                      <w:szCs w:val="28"/>
                      <w:lang w:val="uk-UA"/>
                    </w:rPr>
                    <m:t>s</m:t>
                  </m:r>
                  <m:r>
                    <w:rPr>
                      <w:rFonts w:ascii="Cambria Math" w:eastAsiaTheme="minorEastAsia" w:hAnsi="Cambria Math"/>
                      <w:sz w:val="28"/>
                      <w:szCs w:val="28"/>
                      <w:lang w:val="en-US"/>
                    </w:rPr>
                    <m:t>tress</m:t>
                  </m:r>
                </m:sub>
              </m:sSub>
              <m:r>
                <w:rPr>
                  <w:rFonts w:ascii="Cambria Math" w:eastAsiaTheme="minorEastAsia" w:hAnsi="Cambria Math"/>
                  <w:sz w:val="28"/>
                  <w:szCs w:val="28"/>
                  <w:lang w:val="uk-UA"/>
                </w:rPr>
                <m:t>=</m:t>
              </m:r>
              <m:r>
                <w:rPr>
                  <w:rFonts w:ascii="Cambria Math" w:eastAsiaTheme="minorEastAsia" w:hAnsi="Cambria Math"/>
                  <w:sz w:val="28"/>
                  <w:szCs w:val="28"/>
                  <w:lang w:val="en-US"/>
                </w:rPr>
                <m:t xml:space="preserve"> </m:t>
              </m:r>
              <m:nary>
                <m:naryPr>
                  <m:chr m:val="∑"/>
                  <m:limLoc m:val="undOvr"/>
                  <m:ctrlPr>
                    <w:rPr>
                      <w:rFonts w:ascii="Cambria Math" w:eastAsiaTheme="minorEastAsia" w:hAnsi="Cambria Math"/>
                      <w:i/>
                      <w:kern w:val="2"/>
                      <w:sz w:val="28"/>
                      <w:szCs w:val="28"/>
                      <w:lang w:val="en-US"/>
                      <w14:ligatures w14:val="standardContextual"/>
                    </w:rPr>
                  </m:ctrlPr>
                </m:naryPr>
                <m:sub>
                  <m:r>
                    <w:rPr>
                      <w:rFonts w:ascii="Cambria Math" w:eastAsiaTheme="minorEastAsia" w:hAnsi="Cambria Math"/>
                      <w:sz w:val="28"/>
                      <w:szCs w:val="28"/>
                      <w:lang w:val="en-US"/>
                    </w:rPr>
                    <m:t>i=1</m:t>
                  </m:r>
                </m:sub>
                <m:sup>
                  <m:r>
                    <w:rPr>
                      <w:rFonts w:ascii="Cambria Math" w:eastAsiaTheme="minorEastAsia" w:hAnsi="Cambria Math"/>
                      <w:sz w:val="28"/>
                      <w:szCs w:val="28"/>
                      <w:lang w:val="en-US"/>
                    </w:rPr>
                    <m:t>k</m:t>
                  </m:r>
                </m:sup>
                <m:e>
                  <m:sSub>
                    <m:sSubPr>
                      <m:ctrlPr>
                        <w:rPr>
                          <w:rFonts w:ascii="Cambria Math" w:eastAsiaTheme="minorEastAsia" w:hAnsi="Cambria Math"/>
                          <w:i/>
                          <w:kern w:val="2"/>
                          <w:sz w:val="28"/>
                          <w:szCs w:val="28"/>
                          <w:lang w:val="en-US"/>
                          <w14:ligatures w14:val="standardContextual"/>
                        </w:rPr>
                      </m:ctrlPr>
                    </m:sSubPr>
                    <m:e>
                      <m:r>
                        <w:rPr>
                          <w:rFonts w:ascii="Cambria Math" w:eastAsiaTheme="minorEastAsia" w:hAnsi="Cambria Math"/>
                          <w:sz w:val="28"/>
                          <w:szCs w:val="28"/>
                          <w:lang w:val="en-US"/>
                        </w:rPr>
                        <m:t>E</m:t>
                      </m:r>
                    </m:e>
                    <m:sub>
                      <m:r>
                        <w:rPr>
                          <w:rFonts w:ascii="Cambria Math" w:eastAsiaTheme="minorEastAsia" w:hAnsi="Cambria Math"/>
                          <w:sz w:val="28"/>
                          <w:szCs w:val="28"/>
                          <w:lang w:val="en-US"/>
                        </w:rPr>
                        <m:t>i</m:t>
                      </m:r>
                    </m:sub>
                  </m:sSub>
                  <m:r>
                    <w:rPr>
                      <w:rFonts w:ascii="Cambria Math" w:eastAsiaTheme="minorEastAsia" w:hAnsi="Cambria Math"/>
                      <w:sz w:val="28"/>
                      <w:szCs w:val="28"/>
                      <w:lang w:val="en-US"/>
                    </w:rPr>
                    <m:t>-</m:t>
                  </m:r>
                  <m:sSub>
                    <m:sSubPr>
                      <m:ctrlPr>
                        <w:rPr>
                          <w:rFonts w:ascii="Cambria Math" w:eastAsiaTheme="minorEastAsia" w:hAnsi="Cambria Math"/>
                          <w:i/>
                          <w:kern w:val="2"/>
                          <w:sz w:val="28"/>
                          <w:szCs w:val="28"/>
                          <w:lang w:val="en-US"/>
                          <w14:ligatures w14:val="standardContextual"/>
                        </w:rPr>
                      </m:ctrlPr>
                    </m:sSubPr>
                    <m:e>
                      <m:r>
                        <w:rPr>
                          <w:rFonts w:ascii="Cambria Math" w:eastAsiaTheme="minorEastAsia" w:hAnsi="Cambria Math"/>
                          <w:sz w:val="28"/>
                          <w:szCs w:val="28"/>
                          <w:lang w:val="en-US"/>
                        </w:rPr>
                        <m:t>E</m:t>
                      </m:r>
                    </m:e>
                    <m:sub>
                      <m:r>
                        <w:rPr>
                          <w:rFonts w:ascii="Cambria Math" w:eastAsiaTheme="minorEastAsia" w:hAnsi="Cambria Math"/>
                          <w:sz w:val="28"/>
                          <w:szCs w:val="28"/>
                          <w:lang w:val="en-US"/>
                        </w:rPr>
                        <m:t>iso</m:t>
                      </m:r>
                    </m:sub>
                  </m:sSub>
                  <m:r>
                    <w:rPr>
                      <w:rFonts w:ascii="Cambria Math" w:eastAsiaTheme="minorEastAsia" w:hAnsi="Cambria Math"/>
                      <w:sz w:val="28"/>
                      <w:szCs w:val="28"/>
                      <w:lang w:val="en-US"/>
                    </w:rPr>
                    <m:t>&gt;0</m:t>
                  </m:r>
                </m:e>
              </m:nary>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3.7</m:t>
                  </m:r>
                </m:e>
              </m:d>
              <m:ctrlPr>
                <w:rPr>
                  <w:rFonts w:ascii="Cambria Math" w:eastAsiaTheme="minorEastAsia" w:hAnsi="Cambria Math"/>
                  <w:i/>
                  <w:sz w:val="28"/>
                  <w:szCs w:val="28"/>
                  <w:lang w:val="uk-UA"/>
                </w:rPr>
              </m:ctrlPr>
            </m:e>
          </m:eqArr>
        </m:oMath>
      </m:oMathPara>
    </w:p>
    <w:p w:rsidR="00B37265" w:rsidRPr="005C38DA" w:rsidRDefault="00B37265" w:rsidP="005C38DA">
      <w:pPr>
        <w:tabs>
          <w:tab w:val="left" w:pos="709"/>
        </w:tabs>
        <w:spacing w:after="0" w:line="360" w:lineRule="auto"/>
        <w:ind w:firstLine="709"/>
        <w:contextualSpacing/>
        <w:jc w:val="both"/>
        <w:rPr>
          <w:rFonts w:ascii="Times New Roman" w:hAnsi="Times New Roman"/>
          <w:sz w:val="28"/>
          <w:szCs w:val="28"/>
          <w:lang w:val="uk-UA"/>
        </w:rPr>
      </w:pPr>
      <w:r w:rsidRPr="005C38DA">
        <w:rPr>
          <w:rFonts w:ascii="Times New Roman" w:hAnsi="Times New Roman"/>
          <w:sz w:val="28"/>
          <w:szCs w:val="28"/>
          <w:lang w:val="uk-UA"/>
        </w:rPr>
        <w:t xml:space="preserve">де </w:t>
      </w:r>
      <w:r w:rsidRPr="005C38DA">
        <w:rPr>
          <w:rFonts w:ascii="Times New Roman" w:hAnsi="Times New Roman"/>
          <w:sz w:val="28"/>
          <w:szCs w:val="28"/>
          <w:lang w:val="en-US"/>
        </w:rPr>
        <w:t>E</w:t>
      </w:r>
      <w:r w:rsidRPr="005C38DA">
        <w:rPr>
          <w:rFonts w:ascii="Times New Roman" w:hAnsi="Times New Roman"/>
          <w:sz w:val="28"/>
          <w:szCs w:val="28"/>
          <w:vertAlign w:val="subscript"/>
          <w:lang w:val="uk-UA"/>
        </w:rPr>
        <w:t>і</w:t>
      </w:r>
      <w:r w:rsidRPr="005C38DA">
        <w:rPr>
          <w:rFonts w:ascii="Times New Roman" w:hAnsi="Times New Roman"/>
          <w:sz w:val="28"/>
          <w:szCs w:val="28"/>
          <w:lang w:val="en-US"/>
        </w:rPr>
        <w:t xml:space="preserve"> – </w:t>
      </w:r>
      <w:r w:rsidRPr="005C38DA">
        <w:rPr>
          <w:rFonts w:ascii="Times New Roman" w:hAnsi="Times New Roman"/>
          <w:sz w:val="28"/>
          <w:szCs w:val="28"/>
          <w:lang w:val="uk-UA"/>
        </w:rPr>
        <w:t>ефекти від взаємодії елементів;</w:t>
      </w:r>
    </w:p>
    <w:p w:rsidR="00B37265" w:rsidRPr="005C38DA" w:rsidRDefault="00B37265" w:rsidP="005C38DA">
      <w:pPr>
        <w:tabs>
          <w:tab w:val="left" w:pos="709"/>
        </w:tabs>
        <w:spacing w:after="0" w:line="360" w:lineRule="auto"/>
        <w:ind w:firstLine="709"/>
        <w:contextualSpacing/>
        <w:jc w:val="both"/>
        <w:rPr>
          <w:rFonts w:ascii="Times New Roman" w:hAnsi="Times New Roman"/>
          <w:sz w:val="28"/>
          <w:szCs w:val="28"/>
          <w:lang w:val="uk-UA"/>
        </w:rPr>
      </w:pPr>
      <w:r w:rsidRPr="005C38DA">
        <w:rPr>
          <w:rFonts w:ascii="Times New Roman" w:hAnsi="Times New Roman"/>
          <w:sz w:val="28"/>
          <w:szCs w:val="28"/>
          <w:lang w:val="uk-UA"/>
        </w:rPr>
        <w:t xml:space="preserve">     </w:t>
      </w:r>
      <w:r w:rsidRPr="005C38DA">
        <w:rPr>
          <w:rFonts w:ascii="Times New Roman" w:hAnsi="Times New Roman"/>
          <w:sz w:val="28"/>
          <w:szCs w:val="28"/>
          <w:lang w:val="en-US"/>
        </w:rPr>
        <w:t>E</w:t>
      </w:r>
      <w:r w:rsidRPr="005C38DA">
        <w:rPr>
          <w:rFonts w:ascii="Times New Roman" w:hAnsi="Times New Roman"/>
          <w:sz w:val="28"/>
          <w:szCs w:val="28"/>
          <w:vertAlign w:val="subscript"/>
          <w:lang w:val="en-US"/>
        </w:rPr>
        <w:t>iso</w:t>
      </w:r>
      <w:r w:rsidRPr="005C38DA">
        <w:rPr>
          <w:rFonts w:ascii="Times New Roman" w:hAnsi="Times New Roman"/>
          <w:sz w:val="28"/>
          <w:szCs w:val="28"/>
          <w:lang w:val="uk-UA"/>
        </w:rPr>
        <w:t xml:space="preserve"> – ефект їх ізольованого функціонування;</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Результатом є кількісна оцінка додаткової вартості від інтеграції. Позитивне значення</w:t>
      </w:r>
      <w:r w:rsidRPr="005C38DA">
        <w:rPr>
          <w:rStyle w:val="apple-converted-space"/>
          <w:rFonts w:eastAsiaTheme="majorEastAsia"/>
          <w:color w:val="000000"/>
          <w:lang w:val="uk-UA"/>
        </w:rPr>
        <w:t xml:space="preserve"> </w:t>
      </w:r>
      <m:oMath>
        <m:r>
          <w:rPr>
            <w:rFonts w:ascii="Cambria Math" w:hAnsi="Cambria Math"/>
            <w:sz w:val="28"/>
            <w:szCs w:val="28"/>
          </w:rPr>
          <m:t>S</m:t>
        </m:r>
      </m:oMath>
      <w:r w:rsidRPr="005C38DA">
        <w:rPr>
          <w:rStyle w:val="apple-converted-space"/>
          <w:rFonts w:eastAsiaTheme="majorEastAsia"/>
          <w:color w:val="000000"/>
          <w:lang w:val="uk-UA"/>
        </w:rPr>
        <w:t xml:space="preserve"> </w:t>
      </w:r>
      <w:r w:rsidRPr="005C38DA">
        <w:rPr>
          <w:color w:val="000000"/>
          <w:sz w:val="28"/>
          <w:szCs w:val="28"/>
          <w:lang w:val="uk-UA"/>
        </w:rPr>
        <w:t>інтерпретується як ефективність комплексного підходу.</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Тому відповідно, за поданою ідеєю цикл безперервного вдосконалення:</w:t>
      </w:r>
      <m:oMath>
        <m:r>
          <w:rPr>
            <w:rFonts w:ascii="Cambria Math" w:eastAsiaTheme="minorEastAsia" w:hAnsi="Cambria Math"/>
            <w:sz w:val="28"/>
            <w:szCs w:val="28"/>
          </w:rPr>
          <m:t>PDCA</m:t>
        </m:r>
        <m:r>
          <w:rPr>
            <w:rFonts w:ascii="Cambria Math" w:eastAsiaTheme="minorEastAsia" w:hAnsi="Cambria Math"/>
            <w:sz w:val="28"/>
            <w:szCs w:val="28"/>
            <w:lang w:val="uk-UA"/>
          </w:rPr>
          <m:t>:</m:t>
        </m:r>
        <m:r>
          <w:rPr>
            <w:rFonts w:ascii="Cambria Math" w:eastAsiaTheme="minorEastAsia" w:hAnsi="Cambria Math"/>
            <w:sz w:val="28"/>
            <w:szCs w:val="28"/>
          </w:rPr>
          <m:t>Plan</m:t>
        </m:r>
        <m:r>
          <w:rPr>
            <w:rFonts w:ascii="Cambria Math" w:eastAsiaTheme="minorEastAsia" w:hAnsi="Cambria Math"/>
            <w:sz w:val="28"/>
            <w:szCs w:val="28"/>
            <w:lang w:val="uk-UA"/>
          </w:rPr>
          <m:t xml:space="preserve"> →</m:t>
        </m:r>
        <m:r>
          <w:rPr>
            <w:rFonts w:ascii="Cambria Math" w:eastAsiaTheme="minorEastAsia" w:hAnsi="Cambria Math"/>
            <w:sz w:val="28"/>
            <w:szCs w:val="28"/>
          </w:rPr>
          <m:t>Do</m:t>
        </m:r>
        <m:r>
          <w:rPr>
            <w:rFonts w:ascii="Cambria Math" w:eastAsiaTheme="minorEastAsia" w:hAnsi="Cambria Math"/>
            <w:sz w:val="28"/>
            <w:szCs w:val="28"/>
            <w:lang w:val="uk-UA"/>
          </w:rPr>
          <m:t>→</m:t>
        </m:r>
        <m:r>
          <w:rPr>
            <w:rFonts w:ascii="Cambria Math" w:eastAsiaTheme="minorEastAsia" w:hAnsi="Cambria Math"/>
            <w:sz w:val="28"/>
            <w:szCs w:val="28"/>
          </w:rPr>
          <m:t>C</m:t>
        </m:r>
        <m:r>
          <w:rPr>
            <w:rFonts w:ascii="Cambria Math" w:eastAsiaTheme="minorEastAsia" w:hAnsi="Cambria Math"/>
            <w:sz w:val="28"/>
            <w:szCs w:val="28"/>
            <w:lang w:val="uk-UA"/>
          </w:rPr>
          <m:t>h</m:t>
        </m:r>
        <m:r>
          <w:rPr>
            <w:rFonts w:ascii="Cambria Math" w:eastAsiaTheme="minorEastAsia" w:hAnsi="Cambria Math"/>
            <w:sz w:val="28"/>
            <w:szCs w:val="28"/>
          </w:rPr>
          <m:t>eck</m:t>
        </m:r>
        <m:r>
          <w:rPr>
            <w:rFonts w:ascii="Cambria Math" w:eastAsiaTheme="minorEastAsia" w:hAnsi="Cambria Math"/>
            <w:sz w:val="28"/>
            <w:szCs w:val="28"/>
            <w:lang w:val="uk-UA"/>
          </w:rPr>
          <m:t>→</m:t>
        </m:r>
        <m:r>
          <w:rPr>
            <w:rFonts w:ascii="Cambria Math" w:eastAsiaTheme="minorEastAsia" w:hAnsi="Cambria Math"/>
            <w:sz w:val="28"/>
            <w:szCs w:val="28"/>
          </w:rPr>
          <m:t>Act</m:t>
        </m:r>
      </m:oMath>
      <w:r w:rsidRPr="005C38DA">
        <w:rPr>
          <w:sz w:val="28"/>
          <w:szCs w:val="28"/>
          <w:lang w:val="uk-UA"/>
        </w:rPr>
        <w:t xml:space="preserve"> та </w:t>
      </w:r>
      <w:r w:rsidRPr="005C38DA">
        <w:rPr>
          <w:color w:val="000000"/>
          <w:sz w:val="28"/>
          <w:szCs w:val="28"/>
          <w:lang w:val="uk-UA"/>
        </w:rPr>
        <w:t>забезпечує адаптивність механізму. Результатом є підвищення ефективності управлінських рішень у динаміці. Інтерпретаційно це означає здатність підприємства до саморозвитку та стійкості в умовах турбулентності.</w:t>
      </w:r>
    </w:p>
    <w:p w:rsidR="00B37265" w:rsidRPr="005C38DA"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Узагальнюючи, модель демонструє, що економічний механізм є не статичною конструкцією, а динамічною системою з багатоканальними </w:t>
      </w:r>
      <w:r w:rsidRPr="005C38DA">
        <w:rPr>
          <w:color w:val="000000"/>
          <w:sz w:val="28"/>
          <w:szCs w:val="28"/>
          <w:lang w:val="uk-UA"/>
        </w:rPr>
        <w:lastRenderedPageBreak/>
        <w:t>прямими та зворотними зв’язками, яка забезпечує оптимізацію використання ресурсів, мінімізацію ризиків та максимізацію вартості підприємства, що в сукупності формує стійку інвестиційну привабливість сільськогосподарських підприємств.</w:t>
      </w:r>
    </w:p>
    <w:p w:rsidR="00B37265" w:rsidRDefault="00B37265" w:rsidP="005C38D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Після </w:t>
      </w:r>
      <w:r w:rsidRPr="00C97763">
        <w:rPr>
          <w:color w:val="000000"/>
          <w:sz w:val="28"/>
          <w:szCs w:val="28"/>
          <w:lang w:val="uk-UA"/>
        </w:rPr>
        <w:t>обґрунтування структурно-функціональної моделі економічного механізму доцільним є конкретизація</w:t>
      </w:r>
      <w:r w:rsidRPr="00640012">
        <w:rPr>
          <w:sz w:val="28"/>
          <w:szCs w:val="28"/>
          <w:lang w:val="uk-UA"/>
        </w:rPr>
        <w:t xml:space="preserve"> </w:t>
      </w:r>
      <w:r w:rsidRPr="00640012">
        <w:rPr>
          <w:bCs/>
          <w:sz w:val="28"/>
          <w:szCs w:val="28"/>
          <w:lang w:val="uk-UA"/>
        </w:rPr>
        <w:t>прикладного алгоритму його реалізації</w:t>
      </w:r>
      <w:r w:rsidRPr="00C97763">
        <w:rPr>
          <w:color w:val="000000"/>
          <w:sz w:val="28"/>
          <w:szCs w:val="28"/>
          <w:lang w:val="uk-UA"/>
        </w:rPr>
        <w:t xml:space="preserve">, що забезпечує трансформацію теоретичних положень у практичну площину управління інвестиційною привабливістю сільськогосподарських підприємств. </w:t>
      </w:r>
      <w:r w:rsidRPr="00C97763">
        <w:rPr>
          <w:color w:val="000000"/>
          <w:sz w:val="28"/>
          <w:szCs w:val="28"/>
        </w:rPr>
        <w:t>Важливо підкреслити, що зазначені етапи не мають лінійного характеру, а формують</w:t>
      </w:r>
      <w:r w:rsidRPr="00C97763">
        <w:rPr>
          <w:rStyle w:val="apple-converted-space"/>
          <w:rFonts w:eastAsiaTheme="majorEastAsia"/>
          <w:color w:val="000000"/>
          <w:sz w:val="28"/>
          <w:szCs w:val="28"/>
          <w:lang w:val="uk-UA"/>
        </w:rPr>
        <w:t xml:space="preserve"> </w:t>
      </w:r>
      <w:r w:rsidRPr="00C97763">
        <w:rPr>
          <w:rStyle w:val="af1"/>
          <w:rFonts w:eastAsiaTheme="majorEastAsia"/>
          <w:b w:val="0"/>
          <w:color w:val="000000"/>
          <w:sz w:val="28"/>
          <w:szCs w:val="28"/>
        </w:rPr>
        <w:t>замкнений контур управління</w:t>
      </w:r>
      <w:r w:rsidRPr="00C97763">
        <w:rPr>
          <w:color w:val="000000"/>
          <w:sz w:val="28"/>
          <w:szCs w:val="28"/>
        </w:rPr>
        <w:t>, в якому результати кожного циклу стають вхідними</w:t>
      </w:r>
      <w:r w:rsidRPr="005C38DA">
        <w:rPr>
          <w:color w:val="000000"/>
          <w:sz w:val="28"/>
          <w:szCs w:val="28"/>
        </w:rPr>
        <w:t xml:space="preserve"> параметрами для наступного, що забезпечує ефект накопичення позитивних змін та підвищення інвестиційної привабливості у довгостроковій перспективі</w:t>
      </w:r>
      <w:r w:rsidRPr="005C38DA">
        <w:rPr>
          <w:color w:val="000000"/>
          <w:sz w:val="28"/>
          <w:szCs w:val="28"/>
          <w:lang w:val="uk-UA"/>
        </w:rPr>
        <w:t xml:space="preserve"> (рис. Ж.1 (додаток Ж))</w:t>
      </w:r>
      <w:r w:rsidRPr="003E104E">
        <w:rPr>
          <w:color w:val="000000"/>
          <w:sz w:val="28"/>
          <w:szCs w:val="28"/>
          <w:lang w:val="uk-UA"/>
        </w:rPr>
        <w:t>.</w:t>
      </w:r>
    </w:p>
    <w:p w:rsidR="00BE5A3A" w:rsidRPr="005C38DA" w:rsidRDefault="00BE5A3A" w:rsidP="00BE5A3A">
      <w:pPr>
        <w:pStyle w:val="a5"/>
        <w:spacing w:before="0" w:beforeAutospacing="0" w:after="0" w:afterAutospacing="0" w:line="360" w:lineRule="auto"/>
        <w:ind w:firstLine="709"/>
        <w:contextualSpacing/>
        <w:jc w:val="both"/>
        <w:rPr>
          <w:color w:val="000000"/>
          <w:sz w:val="28"/>
          <w:szCs w:val="28"/>
          <w:lang w:val="uk-UA"/>
        </w:rPr>
      </w:pPr>
      <w:r w:rsidRPr="005C38DA">
        <w:rPr>
          <w:color w:val="000000"/>
          <w:sz w:val="28"/>
          <w:szCs w:val="28"/>
          <w:lang w:val="uk-UA"/>
        </w:rPr>
        <w:t xml:space="preserve">Представлений на рис. Ж.1 (додаток Ж) алгоритм реалізації економічного механізму розвитку інвестиційної привабливості є логіко-структурною послідовністю дій, спрямованою на трансформацію внутрішнього потенціалу сільськогосподарського підприємства у ціннісний актив для зовнішніх та внутрішніх інвесторів. </w:t>
      </w:r>
      <w:r w:rsidRPr="005C38DA">
        <w:rPr>
          <w:color w:val="000000"/>
          <w:sz w:val="28"/>
          <w:szCs w:val="28"/>
        </w:rPr>
        <w:t xml:space="preserve">На відміну від лінійних моделей управління, запропонований алгоритм базується на принципах ітеративності, адаптивності та безперервного вдосконалення, </w:t>
      </w:r>
      <w:r w:rsidRPr="005C38DA">
        <w:rPr>
          <w:color w:val="000000"/>
          <w:sz w:val="28"/>
          <w:szCs w:val="28"/>
          <w:lang w:val="uk-UA"/>
        </w:rPr>
        <w:t xml:space="preserve">що забезпечується інтеграцією </w:t>
      </w:r>
      <w:r w:rsidRPr="005C38DA">
        <w:rPr>
          <w:color w:val="000000"/>
          <w:sz w:val="28"/>
          <w:szCs w:val="28"/>
        </w:rPr>
        <w:t>PDCA</w:t>
      </w:r>
      <w:r w:rsidRPr="005C38DA">
        <w:rPr>
          <w:color w:val="000000"/>
          <w:sz w:val="28"/>
          <w:szCs w:val="28"/>
          <w:lang w:val="uk-UA"/>
        </w:rPr>
        <w:t>-циклу (</w:t>
      </w:r>
      <w:r w:rsidRPr="005C38DA">
        <w:rPr>
          <w:color w:val="000000"/>
          <w:sz w:val="28"/>
          <w:szCs w:val="28"/>
        </w:rPr>
        <w:t>Plan</w:t>
      </w:r>
      <w:r w:rsidRPr="005C38DA">
        <w:rPr>
          <w:color w:val="000000"/>
          <w:sz w:val="28"/>
          <w:szCs w:val="28"/>
          <w:lang w:val="uk-UA"/>
        </w:rPr>
        <w:t>-</w:t>
      </w:r>
      <w:r w:rsidRPr="005C38DA">
        <w:rPr>
          <w:color w:val="000000"/>
          <w:sz w:val="28"/>
          <w:szCs w:val="28"/>
        </w:rPr>
        <w:t>Do</w:t>
      </w:r>
      <w:r w:rsidRPr="005C38DA">
        <w:rPr>
          <w:color w:val="000000"/>
          <w:sz w:val="28"/>
          <w:szCs w:val="28"/>
          <w:lang w:val="uk-UA"/>
        </w:rPr>
        <w:t>-</w:t>
      </w:r>
      <w:r w:rsidRPr="005C38DA">
        <w:rPr>
          <w:color w:val="000000"/>
          <w:sz w:val="28"/>
          <w:szCs w:val="28"/>
        </w:rPr>
        <w:t>Check</w:t>
      </w:r>
      <w:r w:rsidRPr="005C38DA">
        <w:rPr>
          <w:color w:val="000000"/>
          <w:sz w:val="28"/>
          <w:szCs w:val="28"/>
          <w:lang w:val="uk-UA"/>
        </w:rPr>
        <w:t>-</w:t>
      </w:r>
      <w:r w:rsidRPr="005C38DA">
        <w:rPr>
          <w:color w:val="000000"/>
          <w:sz w:val="28"/>
          <w:szCs w:val="28"/>
        </w:rPr>
        <w:t>Act</w:t>
      </w:r>
      <w:r w:rsidRPr="005C38DA">
        <w:rPr>
          <w:color w:val="000000"/>
          <w:sz w:val="28"/>
          <w:szCs w:val="28"/>
          <w:lang w:val="uk-UA"/>
        </w:rPr>
        <w:t>) у контур зворотного зв’язку.</w:t>
      </w:r>
    </w:p>
    <w:p w:rsidR="00BE5A3A" w:rsidRPr="005C38DA" w:rsidRDefault="00BE5A3A" w:rsidP="00BE5A3A">
      <w:pPr>
        <w:pStyle w:val="a5"/>
        <w:spacing w:before="0" w:beforeAutospacing="0" w:after="0" w:afterAutospacing="0" w:line="360" w:lineRule="auto"/>
        <w:ind w:firstLine="709"/>
        <w:jc w:val="both"/>
        <w:rPr>
          <w:color w:val="000000"/>
          <w:sz w:val="28"/>
          <w:szCs w:val="28"/>
        </w:rPr>
      </w:pPr>
      <w:r w:rsidRPr="005C38DA">
        <w:rPr>
          <w:color w:val="000000"/>
          <w:sz w:val="28"/>
          <w:szCs w:val="28"/>
        </w:rPr>
        <w:t>Логічна архітектура алгоритму включає чотири фундаментальні рівні: інформаційну базу, процесний контур, блок зворотного зв’язку та результативний вихід.</w:t>
      </w:r>
    </w:p>
    <w:p w:rsidR="00BE5A3A" w:rsidRPr="005C38DA" w:rsidRDefault="00BE5A3A" w:rsidP="00BE5A3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t>1. Інформаційна база</w:t>
      </w:r>
      <w:r w:rsidRPr="005C38DA">
        <w:rPr>
          <w:color w:val="000000"/>
          <w:sz w:val="28"/>
          <w:szCs w:val="28"/>
          <w:lang w:val="uk-UA"/>
        </w:rPr>
        <w:t xml:space="preserve"> виступає</w:t>
      </w:r>
      <w:r w:rsidRPr="005C38DA">
        <w:rPr>
          <w:color w:val="000000"/>
          <w:sz w:val="28"/>
          <w:szCs w:val="28"/>
        </w:rPr>
        <w:t xml:space="preserve"> фундамент</w:t>
      </w:r>
      <w:r w:rsidRPr="005C38DA">
        <w:rPr>
          <w:color w:val="000000"/>
          <w:sz w:val="28"/>
          <w:szCs w:val="28"/>
          <w:lang w:val="uk-UA"/>
        </w:rPr>
        <w:t>ом</w:t>
      </w:r>
      <w:r w:rsidRPr="005C38DA">
        <w:rPr>
          <w:color w:val="000000"/>
          <w:sz w:val="28"/>
          <w:szCs w:val="28"/>
        </w:rPr>
        <w:t xml:space="preserve"> об’єктивного прийняття рішень</w:t>
      </w:r>
      <w:r w:rsidRPr="005C38DA">
        <w:rPr>
          <w:rStyle w:val="apple-converted-space"/>
          <w:rFonts w:eastAsiaTheme="majorEastAsia"/>
          <w:color w:val="000000"/>
          <w:sz w:val="28"/>
          <w:szCs w:val="28"/>
          <w:lang w:val="uk-UA"/>
        </w:rPr>
        <w:t xml:space="preserve">. </w:t>
      </w:r>
      <w:r w:rsidRPr="005C38DA">
        <w:rPr>
          <w:color w:val="000000"/>
          <w:sz w:val="28"/>
          <w:szCs w:val="28"/>
          <w:lang w:val="uk-UA"/>
        </w:rPr>
        <w:t xml:space="preserve">Першим кроком реалізації механізму є формування репрезентативної інформаційної бази. В умовах цифрової трансформації агробізнесу цей блок виходить за межі стандартної бухгалтерської звітності. </w:t>
      </w:r>
    </w:p>
    <w:p w:rsidR="00435FDC" w:rsidRDefault="00EB5B4E" w:rsidP="00EB5B4E">
      <w:pPr>
        <w:pStyle w:val="a5"/>
        <w:spacing w:before="0" w:beforeAutospacing="0" w:after="0" w:afterAutospacing="0" w:line="360" w:lineRule="auto"/>
        <w:ind w:firstLine="709"/>
        <w:jc w:val="both"/>
      </w:pPr>
      <w:r w:rsidRPr="00EB5B4E">
        <w:rPr>
          <w:color w:val="000000"/>
          <w:sz w:val="28"/>
          <w:szCs w:val="28"/>
          <w:lang w:val="uk-UA"/>
        </w:rPr>
        <w:lastRenderedPageBreak/>
        <w:t>Алгоритм упровадження</w:t>
      </w:r>
      <w:r>
        <w:rPr>
          <w:sz w:val="28"/>
        </w:rPr>
        <w:t xml:space="preserve"> економічного механізму наведено в додатку Ж (рис. Ж.1).</w:t>
      </w:r>
    </w:p>
    <w:p w:rsidR="00BE5A3A" w:rsidRPr="005C38DA" w:rsidRDefault="00BE5A3A" w:rsidP="00BE5A3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Він інтегрує:</w:t>
      </w:r>
    </w:p>
    <w:p w:rsidR="00BE5A3A" w:rsidRPr="005C38DA" w:rsidRDefault="00BE5A3A" w:rsidP="00BE5A3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 внутрішню інформацію -</w:t>
      </w:r>
      <w:r w:rsidRPr="005C38DA">
        <w:rPr>
          <w:b/>
          <w:bCs/>
          <w:color w:val="000000"/>
          <w:sz w:val="28"/>
          <w:szCs w:val="28"/>
          <w:lang w:val="uk-UA"/>
        </w:rPr>
        <w:t xml:space="preserve"> </w:t>
      </w:r>
      <w:r w:rsidRPr="005C38DA">
        <w:rPr>
          <w:color w:val="000000"/>
          <w:sz w:val="28"/>
          <w:szCs w:val="28"/>
          <w:lang w:val="uk-UA"/>
        </w:rPr>
        <w:t>фінансову звітність за МСФЗ (що є критичним для міжнародних інвесторів), дані управлінського обліку, показники стану біологічних активів та кадрового потенціалу;</w:t>
      </w:r>
    </w:p>
    <w:p w:rsidR="00BE5A3A" w:rsidRDefault="00BE5A3A" w:rsidP="00BE5A3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 зовнішню інформацію -</w:t>
      </w:r>
      <w:r w:rsidRPr="005C38DA">
        <w:rPr>
          <w:b/>
          <w:bCs/>
          <w:color w:val="000000"/>
          <w:sz w:val="28"/>
          <w:szCs w:val="28"/>
          <w:lang w:val="uk-UA"/>
        </w:rPr>
        <w:t xml:space="preserve"> </w:t>
      </w:r>
      <w:r w:rsidRPr="005C38DA">
        <w:rPr>
          <w:color w:val="000000"/>
          <w:sz w:val="28"/>
          <w:szCs w:val="28"/>
          <w:lang w:val="uk-UA"/>
        </w:rPr>
        <w:t>кон'юнктуру аграрних ринків, макроекономічні індикатори (інфляція, валютні курси) та регуляторні вимоги галузевого законодавства. Використання аналітичних інструментів (</w:t>
      </w:r>
      <w:r w:rsidRPr="005C38DA">
        <w:rPr>
          <w:color w:val="000000"/>
          <w:sz w:val="28"/>
          <w:szCs w:val="28"/>
        </w:rPr>
        <w:t>SWOT</w:t>
      </w:r>
      <w:r w:rsidRPr="005C38DA">
        <w:rPr>
          <w:color w:val="000000"/>
          <w:sz w:val="28"/>
          <w:szCs w:val="28"/>
          <w:lang w:val="uk-UA"/>
        </w:rPr>
        <w:t xml:space="preserve">, </w:t>
      </w:r>
      <w:r w:rsidRPr="005C38DA">
        <w:rPr>
          <w:color w:val="000000"/>
          <w:sz w:val="28"/>
          <w:szCs w:val="28"/>
        </w:rPr>
        <w:t>PESTEL</w:t>
      </w:r>
      <w:r w:rsidRPr="005C38DA">
        <w:rPr>
          <w:color w:val="000000"/>
          <w:sz w:val="28"/>
          <w:szCs w:val="28"/>
          <w:lang w:val="uk-UA"/>
        </w:rPr>
        <w:t>, бенчмаркінг) дозволяє перетворити масиви даних на інформаційні продукти — інвестиційні меморандуми та рейтингові оцінки, що стають вхідним сигналом для першого етапу процесного контуру.</w:t>
      </w:r>
    </w:p>
    <w:p w:rsidR="00B37265" w:rsidRPr="005C38DA" w:rsidRDefault="00B37265" w:rsidP="00BE5A3A">
      <w:pPr>
        <w:pStyle w:val="a5"/>
        <w:spacing w:before="0" w:beforeAutospacing="0" w:after="0" w:afterAutospacing="0" w:line="360" w:lineRule="auto"/>
        <w:ind w:firstLine="709"/>
        <w:jc w:val="both"/>
        <w:rPr>
          <w:color w:val="000000"/>
          <w:sz w:val="28"/>
          <w:szCs w:val="28"/>
          <w:lang w:val="uk-UA"/>
        </w:rPr>
      </w:pPr>
      <w:r w:rsidRPr="00BE5A3A">
        <w:rPr>
          <w:color w:val="000000"/>
          <w:sz w:val="28"/>
          <w:szCs w:val="28"/>
          <w:lang w:val="uk-UA"/>
        </w:rPr>
        <w:t xml:space="preserve">2. </w:t>
      </w:r>
      <w:r w:rsidRPr="005C38DA">
        <w:rPr>
          <w:color w:val="000000"/>
          <w:sz w:val="28"/>
          <w:szCs w:val="28"/>
        </w:rPr>
        <w:t>Процесний контур</w:t>
      </w:r>
      <w:r w:rsidRPr="005C38DA">
        <w:rPr>
          <w:color w:val="000000"/>
          <w:sz w:val="28"/>
          <w:szCs w:val="28"/>
          <w:lang w:val="uk-UA"/>
        </w:rPr>
        <w:t xml:space="preserve">, тобто </w:t>
      </w:r>
      <w:r w:rsidRPr="005C38DA">
        <w:rPr>
          <w:color w:val="000000"/>
          <w:sz w:val="28"/>
          <w:szCs w:val="28"/>
        </w:rPr>
        <w:t>етапність управлінських дій</w:t>
      </w:r>
      <w:r w:rsidRPr="005C38DA">
        <w:rPr>
          <w:color w:val="000000"/>
          <w:sz w:val="28"/>
          <w:szCs w:val="28"/>
          <w:lang w:val="uk-UA"/>
        </w:rPr>
        <w:t>. Він включає в себе послідовність кроків, що призводять до кінцевого логічного результату та отримання показника інвестиційної привабливості сільськогосподарського підприємства. Варто виділити наступні етапи:</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Етап 1. Діагностика інвестиційної привабливості.</w:t>
      </w:r>
      <w:r w:rsidRPr="005C38DA">
        <w:rPr>
          <w:rStyle w:val="apple-converted-space"/>
          <w:rFonts w:eastAsiaTheme="majorEastAsia"/>
          <w:color w:val="000000"/>
          <w:sz w:val="28"/>
          <w:szCs w:val="28"/>
          <w:lang w:val="uk-UA"/>
        </w:rPr>
        <w:t xml:space="preserve"> </w:t>
      </w:r>
      <w:r w:rsidRPr="005C38DA">
        <w:rPr>
          <w:color w:val="000000"/>
          <w:sz w:val="28"/>
          <w:szCs w:val="28"/>
          <w:lang w:val="uk-UA"/>
        </w:rPr>
        <w:t>Цей етап спрямований на ідентифікацію початкового стану суб’єкта господарювання. Науковий підхід передбачає не лише аналіз фінансової стійкості, а й визначення «вузьких місць» у структурі капіталу та технологічних процесів. Ключовим завданням тут є ідентифікація ризиків та можливостей (</w:t>
      </w:r>
      <w:r w:rsidRPr="005C38DA">
        <w:rPr>
          <w:color w:val="000000"/>
          <w:sz w:val="28"/>
          <w:szCs w:val="28"/>
        </w:rPr>
        <w:t>SWOT</w:t>
      </w:r>
      <w:r w:rsidRPr="005C38DA">
        <w:rPr>
          <w:color w:val="000000"/>
          <w:sz w:val="28"/>
          <w:szCs w:val="28"/>
          <w:lang w:val="uk-UA"/>
        </w:rPr>
        <w:t>-аналіз), що дозволяє оцінити реальну ринкову позицію підприємства та його конкурентоспроможність у поточному періоді.</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t>Етап 2. Стратегічне планування.</w:t>
      </w:r>
      <w:r w:rsidRPr="005C38DA">
        <w:rPr>
          <w:rStyle w:val="apple-converted-space"/>
          <w:rFonts w:eastAsiaTheme="majorEastAsia"/>
          <w:color w:val="000000"/>
          <w:sz w:val="28"/>
          <w:szCs w:val="28"/>
          <w:lang w:val="uk-UA"/>
        </w:rPr>
        <w:t xml:space="preserve"> </w:t>
      </w:r>
      <w:r w:rsidRPr="005C38DA">
        <w:rPr>
          <w:color w:val="000000"/>
          <w:sz w:val="28"/>
          <w:szCs w:val="28"/>
        </w:rPr>
        <w:t>На основі діагностики здійснюється формування цільових орієнтирів. Важливим елементом є вибір стратегічних пріоритетів та цільових сегментів інвесторів (інституційні, приватні, державні). На цьому етапі розробляється інвестиційна стратегія, яка матеріалізується у портфелі конкретних проектів. Особлива увага приділяється політиці управління ризиками, що дозволяє заздалегідь розробити сценарії реагування на можливі екзогенні та ендогенні шоки</w:t>
      </w:r>
      <w:r w:rsidR="004009DE">
        <w:rPr>
          <w:color w:val="000000"/>
          <w:sz w:val="28"/>
          <w:szCs w:val="28"/>
        </w:rPr>
        <w:t xml:space="preserve"> [124]</w:t>
      </w:r>
      <w:r>
        <w:t>.</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lastRenderedPageBreak/>
        <w:t>Етап 3. Ресурсне забезпечення.</w:t>
      </w:r>
      <w:r w:rsidRPr="005C38DA">
        <w:rPr>
          <w:rStyle w:val="apple-converted-space"/>
          <w:rFonts w:eastAsiaTheme="majorEastAsia"/>
          <w:color w:val="000000"/>
          <w:sz w:val="28"/>
          <w:szCs w:val="28"/>
        </w:rPr>
        <w:t xml:space="preserve"> </w:t>
      </w:r>
      <w:r w:rsidRPr="005C38DA">
        <w:rPr>
          <w:color w:val="000000"/>
          <w:sz w:val="28"/>
          <w:szCs w:val="28"/>
        </w:rPr>
        <w:t>Центральною ланкою даного етапу є формування та оптимізація структури капіталу. Економічний зміст полягає у пошуку такого співвідношення власного та позичкового капіталу, яке мінімізує середньозважену вартість (WACC). Етап охоплює залучення не лише фінансових ресурсів, а й розвиток людського капіталу, інтелектуальної власності та модернізацію матеріально-технічної бази, що формує комплексний інвестиційний ресурс підприємства.</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t>Етап 4. Операційна реалізація.</w:t>
      </w:r>
      <w:r w:rsidRPr="005C38DA">
        <w:rPr>
          <w:rStyle w:val="apple-converted-space"/>
          <w:rFonts w:eastAsiaTheme="majorEastAsia"/>
          <w:color w:val="000000"/>
          <w:sz w:val="28"/>
          <w:szCs w:val="28"/>
        </w:rPr>
        <w:t xml:space="preserve"> </w:t>
      </w:r>
      <w:r w:rsidRPr="005C38DA">
        <w:rPr>
          <w:color w:val="000000"/>
          <w:sz w:val="28"/>
          <w:szCs w:val="28"/>
        </w:rPr>
        <w:t>Це стадія безпосереднього впровадження інвестиційних проектів та трансформації ресурсів у продукт. Вона включає управління процесами та витратами, розвиток ключових компетенцій персоналу та впровадження інновацій. У контексті сільськогосподарського виробництва це часто означає перехід до точного землеробства, впровадження енергоефективних технологій та підвищення якості продукції до міжнародних стандартів, що підвищує довіру стейкхолдерів.</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t>Етап 5. Моніторінг та оцінка.</w:t>
      </w:r>
      <w:r w:rsidRPr="005C38DA">
        <w:rPr>
          <w:rStyle w:val="apple-converted-space"/>
          <w:rFonts w:eastAsiaTheme="majorEastAsia"/>
          <w:color w:val="000000"/>
          <w:sz w:val="28"/>
          <w:szCs w:val="28"/>
          <w:lang w:val="uk-UA"/>
        </w:rPr>
        <w:t xml:space="preserve"> </w:t>
      </w:r>
      <w:r w:rsidRPr="005C38DA">
        <w:rPr>
          <w:color w:val="000000"/>
          <w:sz w:val="28"/>
          <w:szCs w:val="28"/>
        </w:rPr>
        <w:t>Завершальна фаза основного циклу передбачає порівняння фактичних результатів із плановими KPI. Оцінюється ефективність інвестицій через показники NPV, IRR та EVA. Важливим є аналіз відхилень, який дозволяє зрозуміти, чи відбулися якісні зміни в інвестиційному профілі підприємства та його ризиковому статусі.</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t>3. Блок зворотного зв’язку</w:t>
      </w:r>
      <w:r w:rsidRPr="005C38DA">
        <w:rPr>
          <w:color w:val="000000"/>
          <w:sz w:val="28"/>
          <w:szCs w:val="28"/>
          <w:lang w:val="uk-UA"/>
        </w:rPr>
        <w:t xml:space="preserve"> – прояв </w:t>
      </w:r>
      <w:r w:rsidRPr="005C38DA">
        <w:rPr>
          <w:color w:val="000000"/>
          <w:sz w:val="28"/>
          <w:szCs w:val="28"/>
        </w:rPr>
        <w:t>адаптивн</w:t>
      </w:r>
      <w:r w:rsidRPr="005C38DA">
        <w:rPr>
          <w:color w:val="000000"/>
          <w:sz w:val="28"/>
          <w:szCs w:val="28"/>
          <w:lang w:val="uk-UA"/>
        </w:rPr>
        <w:t>ості</w:t>
      </w:r>
      <w:r w:rsidRPr="005C38DA">
        <w:rPr>
          <w:color w:val="000000"/>
          <w:sz w:val="28"/>
          <w:szCs w:val="28"/>
        </w:rPr>
        <w:t xml:space="preserve"> на основі PDCA-циклу</w:t>
      </w:r>
      <w:r w:rsidRPr="005C38DA">
        <w:rPr>
          <w:rStyle w:val="apple-converted-space"/>
          <w:rFonts w:eastAsiaTheme="majorEastAsia"/>
          <w:color w:val="000000"/>
          <w:sz w:val="28"/>
          <w:szCs w:val="28"/>
          <w:lang w:val="uk-UA"/>
        </w:rPr>
        <w:t xml:space="preserve">. </w:t>
      </w:r>
      <w:r w:rsidRPr="005C38DA">
        <w:rPr>
          <w:color w:val="000000"/>
          <w:sz w:val="28"/>
          <w:szCs w:val="28"/>
          <w:lang w:val="uk-UA"/>
        </w:rPr>
        <w:t xml:space="preserve">Наукова новизна алгоритму підсилюється наявністю постійного контуру зворотного зв’язку. </w:t>
      </w:r>
      <w:r w:rsidRPr="005C38DA">
        <w:rPr>
          <w:color w:val="000000"/>
          <w:sz w:val="28"/>
          <w:szCs w:val="28"/>
        </w:rPr>
        <w:t>PDCA</w:t>
      </w:r>
      <w:r w:rsidRPr="005C38DA">
        <w:rPr>
          <w:color w:val="000000"/>
          <w:sz w:val="28"/>
          <w:szCs w:val="28"/>
          <w:lang w:val="uk-UA"/>
        </w:rPr>
        <w:t xml:space="preserve">-цикл (Планування – Впровадження – Перевірка – Коригування) забезпечує динамічність механізму. </w:t>
      </w:r>
      <w:r w:rsidRPr="005C38DA">
        <w:rPr>
          <w:color w:val="000000"/>
          <w:sz w:val="28"/>
          <w:szCs w:val="28"/>
        </w:rPr>
        <w:t>Якщо результати Етапу 5 свідчать про недосягнення цілей, система повертається до Етапу 1 (оновлення діагностики) або Етапу 2 (корекція стратегії). Це дозволяє стандартизувати успішні управлінські рішення та забезпечити організаційне навчання.</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lastRenderedPageBreak/>
        <w:t>4. Результативний вихід</w:t>
      </w:r>
      <w:r w:rsidRPr="005C38DA">
        <w:rPr>
          <w:color w:val="000000"/>
          <w:sz w:val="28"/>
          <w:szCs w:val="28"/>
          <w:lang w:val="uk-UA"/>
        </w:rPr>
        <w:t xml:space="preserve"> –</w:t>
      </w:r>
      <w:r w:rsidRPr="005C38DA">
        <w:rPr>
          <w:color w:val="000000"/>
          <w:sz w:val="28"/>
          <w:szCs w:val="28"/>
        </w:rPr>
        <w:t xml:space="preserve"> капіталізація</w:t>
      </w:r>
      <w:r w:rsidRPr="005C38DA">
        <w:rPr>
          <w:color w:val="000000"/>
          <w:sz w:val="28"/>
          <w:szCs w:val="28"/>
          <w:lang w:val="uk-UA"/>
        </w:rPr>
        <w:t xml:space="preserve"> </w:t>
      </w:r>
      <w:r w:rsidRPr="005C38DA">
        <w:rPr>
          <w:color w:val="000000"/>
          <w:sz w:val="28"/>
          <w:szCs w:val="28"/>
        </w:rPr>
        <w:t>та вартісно-орієнтований розвиток</w:t>
      </w:r>
      <w:r w:rsidRPr="005C38DA">
        <w:rPr>
          <w:rStyle w:val="apple-converted-space"/>
          <w:rFonts w:eastAsiaTheme="majorEastAsia"/>
          <w:color w:val="000000"/>
          <w:sz w:val="28"/>
          <w:szCs w:val="28"/>
          <w:lang w:val="uk-UA"/>
        </w:rPr>
        <w:t xml:space="preserve">. </w:t>
      </w:r>
      <w:r w:rsidRPr="005C38DA">
        <w:rPr>
          <w:color w:val="000000"/>
          <w:sz w:val="28"/>
          <w:szCs w:val="28"/>
        </w:rPr>
        <w:t>Кінцевою метою реалізації алгоритму є досягнення синергетичного ефекту, що виражається у двох площинах:</w:t>
      </w:r>
    </w:p>
    <w:p w:rsidR="00B37265" w:rsidRPr="005C38DA" w:rsidRDefault="00B37265" w:rsidP="005C38DA">
      <w:pPr>
        <w:pStyle w:val="a5"/>
        <w:numPr>
          <w:ilvl w:val="0"/>
          <w:numId w:val="28"/>
        </w:numPr>
        <w:spacing w:before="0" w:beforeAutospacing="0" w:after="0" w:afterAutospacing="0" w:line="360" w:lineRule="auto"/>
        <w:ind w:left="0" w:firstLine="709"/>
        <w:jc w:val="both"/>
        <w:rPr>
          <w:color w:val="000000"/>
          <w:sz w:val="28"/>
          <w:szCs w:val="28"/>
        </w:rPr>
      </w:pPr>
      <w:r w:rsidRPr="005C38DA">
        <w:rPr>
          <w:color w:val="000000"/>
          <w:sz w:val="28"/>
          <w:szCs w:val="28"/>
        </w:rPr>
        <w:t>Зростання ринкової вартості (V)</w:t>
      </w:r>
      <w:r w:rsidRPr="005C38DA">
        <w:rPr>
          <w:color w:val="000000"/>
          <w:sz w:val="28"/>
          <w:szCs w:val="28"/>
          <w:lang w:val="uk-UA"/>
        </w:rPr>
        <w:t xml:space="preserve"> –</w:t>
      </w:r>
      <w:r w:rsidRPr="005C38DA">
        <w:rPr>
          <w:b/>
          <w:bCs/>
          <w:color w:val="000000"/>
          <w:sz w:val="28"/>
          <w:szCs w:val="28"/>
          <w:lang w:val="uk-UA"/>
        </w:rPr>
        <w:t xml:space="preserve"> </w:t>
      </w:r>
      <w:r w:rsidRPr="005C38DA">
        <w:rPr>
          <w:color w:val="000000"/>
          <w:sz w:val="28"/>
          <w:szCs w:val="28"/>
        </w:rPr>
        <w:t>підвищення</w:t>
      </w:r>
      <w:r w:rsidRPr="005C38DA">
        <w:rPr>
          <w:color w:val="000000"/>
          <w:sz w:val="28"/>
          <w:szCs w:val="28"/>
          <w:lang w:val="uk-UA"/>
        </w:rPr>
        <w:t xml:space="preserve"> </w:t>
      </w:r>
      <w:r w:rsidRPr="005C38DA">
        <w:rPr>
          <w:color w:val="000000"/>
          <w:sz w:val="28"/>
          <w:szCs w:val="28"/>
        </w:rPr>
        <w:t>інвестиційної привабливості, розширення кола інвесторів та отримання стійких конкурентних переваг</w:t>
      </w:r>
      <w:r w:rsidR="004009DE">
        <w:rPr>
          <w:color w:val="000000"/>
          <w:sz w:val="28"/>
          <w:szCs w:val="28"/>
        </w:rPr>
        <w:t xml:space="preserve"> [</w:t>
      </w:r>
      <w:r>
        <w:rPr>
          <w:sz w:val="28"/>
          <w:szCs w:val="28"/>
        </w:rPr>
        <w:t>31]</w:t>
      </w:r>
      <w:r>
        <w:t>.</w:t>
      </w:r>
    </w:p>
    <w:p w:rsidR="00B37265" w:rsidRPr="005C38DA" w:rsidRDefault="00B37265" w:rsidP="005C38DA">
      <w:pPr>
        <w:pStyle w:val="a5"/>
        <w:numPr>
          <w:ilvl w:val="0"/>
          <w:numId w:val="28"/>
        </w:numPr>
        <w:spacing w:before="0" w:beforeAutospacing="0" w:after="0" w:afterAutospacing="0" w:line="360" w:lineRule="auto"/>
        <w:ind w:left="0" w:firstLine="709"/>
        <w:jc w:val="both"/>
        <w:rPr>
          <w:color w:val="000000"/>
          <w:sz w:val="28"/>
          <w:szCs w:val="28"/>
        </w:rPr>
      </w:pPr>
      <w:r w:rsidRPr="005C38DA">
        <w:rPr>
          <w:color w:val="000000"/>
          <w:sz w:val="28"/>
          <w:szCs w:val="28"/>
        </w:rPr>
        <w:t>Капіталізація</w:t>
      </w:r>
      <w:r w:rsidRPr="005C38DA">
        <w:rPr>
          <w:color w:val="000000"/>
          <w:sz w:val="28"/>
          <w:szCs w:val="28"/>
          <w:lang w:val="uk-UA"/>
        </w:rPr>
        <w:t xml:space="preserve"> –</w:t>
      </w:r>
      <w:r w:rsidRPr="005C38DA">
        <w:rPr>
          <w:b/>
          <w:bCs/>
          <w:color w:val="000000"/>
          <w:sz w:val="28"/>
          <w:szCs w:val="28"/>
          <w:lang w:val="uk-UA"/>
        </w:rPr>
        <w:t xml:space="preserve"> </w:t>
      </w:r>
      <w:r w:rsidRPr="005C38DA">
        <w:rPr>
          <w:color w:val="000000"/>
          <w:sz w:val="28"/>
          <w:szCs w:val="28"/>
        </w:rPr>
        <w:t>збільшення</w:t>
      </w:r>
      <w:r w:rsidRPr="005C38DA">
        <w:rPr>
          <w:color w:val="000000"/>
          <w:sz w:val="28"/>
          <w:szCs w:val="28"/>
          <w:lang w:val="uk-UA"/>
        </w:rPr>
        <w:t xml:space="preserve"> </w:t>
      </w:r>
      <w:r w:rsidRPr="005C38DA">
        <w:rPr>
          <w:color w:val="000000"/>
          <w:sz w:val="28"/>
          <w:szCs w:val="28"/>
        </w:rPr>
        <w:t>ринкової капіталізації бізнесу, зміцнення довіри партнерів та підвищення кредитних рейтингів підприємства.</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rPr>
        <w:t>Таким чином, запропонований алгоритм (рис. Ж.1 (додаток Ж)) дозволяє інтегрувати розрізнені управлінські дії у єдину систему, яка здатна не лише реагувати на поточні виклики аграрного ринку, а й проактивно формувати інвестиційну привабливість підприємства як основу його довгострокового сталого розвитку. Це забезпечує перехід від ситуативного залучення капіталу до стратегічного управління цінністю компанії в інтересах усіх стейкхолдерів.</w:t>
      </w:r>
    </w:p>
    <w:p w:rsidR="00B37265" w:rsidRPr="005C38DA" w:rsidRDefault="00B37265" w:rsidP="005C38DA">
      <w:pPr>
        <w:spacing w:after="0" w:line="360" w:lineRule="auto"/>
        <w:ind w:firstLine="709"/>
        <w:jc w:val="both"/>
        <w:rPr>
          <w:rFonts w:ascii="Times New Roman" w:hAnsi="Times New Roman"/>
          <w:color w:val="000000"/>
          <w:sz w:val="28"/>
          <w:szCs w:val="28"/>
          <w:lang w:val="uk-UA"/>
        </w:rPr>
      </w:pPr>
      <w:r w:rsidRPr="005C38DA">
        <w:rPr>
          <w:rFonts w:ascii="Times New Roman" w:hAnsi="Times New Roman"/>
          <w:color w:val="000000"/>
          <w:sz w:val="28"/>
          <w:szCs w:val="28"/>
        </w:rPr>
        <w:t>Економічний механізм розвитку інвестиційної привабливості не є простою сумою його елементів; його ефективність визначається виникненням позитивного синергетичного ефекту (S), що відображено у результативному блоці структурно-функціональної моделі (</w:t>
      </w:r>
      <w:r w:rsidRPr="005C38DA">
        <w:rPr>
          <w:rFonts w:ascii="Times New Roman" w:hAnsi="Times New Roman"/>
          <w:color w:val="000000"/>
          <w:sz w:val="28"/>
          <w:szCs w:val="28"/>
          <w:lang w:val="uk-UA"/>
        </w:rPr>
        <w:t>рис. Е.1 (додаток Е)</w:t>
      </w:r>
      <w:r w:rsidRPr="005C38DA">
        <w:rPr>
          <w:rFonts w:ascii="Times New Roman" w:hAnsi="Times New Roman"/>
          <w:color w:val="000000"/>
          <w:sz w:val="28"/>
          <w:szCs w:val="28"/>
        </w:rPr>
        <w:t>). Методологічно цей ефект формується на перетині ресурсного та інструментально-методичного блоків.</w:t>
      </w:r>
      <w:r w:rsidRPr="005C38DA">
        <w:rPr>
          <w:rFonts w:ascii="Times New Roman" w:hAnsi="Times New Roman"/>
          <w:color w:val="000000"/>
          <w:sz w:val="28"/>
          <w:szCs w:val="28"/>
          <w:lang w:val="uk-UA"/>
        </w:rPr>
        <w:t xml:space="preserve"> </w:t>
      </w:r>
      <w:r w:rsidRPr="005C38DA">
        <w:rPr>
          <w:rFonts w:ascii="Times New Roman" w:hAnsi="Times New Roman"/>
          <w:color w:val="000000"/>
          <w:sz w:val="28"/>
          <w:szCs w:val="28"/>
        </w:rPr>
        <w:t>В умовах аграрного виробництва синергія проявляється через конвергенцію технологічних інновацій та фінансового інжинірингу. Зокрема, впровадження систем точного землеробства (Етап 4 алгоритму</w:t>
      </w:r>
      <w:r w:rsidRPr="005C38DA">
        <w:rPr>
          <w:rFonts w:ascii="Times New Roman" w:hAnsi="Times New Roman"/>
          <w:color w:val="000000"/>
          <w:sz w:val="28"/>
          <w:szCs w:val="28"/>
          <w:lang w:val="uk-UA"/>
        </w:rPr>
        <w:t xml:space="preserve"> рис. Ж.1 (додаток Ж)</w:t>
      </w:r>
      <w:r w:rsidRPr="005C38DA">
        <w:rPr>
          <w:rFonts w:ascii="Times New Roman" w:hAnsi="Times New Roman"/>
          <w:color w:val="000000"/>
          <w:sz w:val="28"/>
          <w:szCs w:val="28"/>
        </w:rPr>
        <w:t xml:space="preserve">) не лише підвищує врожайність, а й створює масив верифікованих даних (Big Data). Це, у свою чергу, знижує рівень інформаційної асиметрії між менеджментом підприємства та потенційним інвестором. З погляду фінансової теорії, мінімізація інформаційних ризиків дозволяє обґрунтовано знижувати премію за ризик у структурі ставки дисконтування, що безпосередньо веде до </w:t>
      </w:r>
      <w:r w:rsidRPr="005C38DA">
        <w:rPr>
          <w:rFonts w:ascii="Times New Roman" w:hAnsi="Times New Roman"/>
          <w:color w:val="000000"/>
          <w:sz w:val="28"/>
          <w:szCs w:val="28"/>
        </w:rPr>
        <w:lastRenderedPageBreak/>
        <w:t>зростання чистої приведеної вартості (NPV) стратегічних проектів та фундаментальної вартості бізнесу (V). Таким чином, механізм забезпечує трансформацію якісних покращень управління у кількісне зростання інвестиційної вартості.</w:t>
      </w:r>
    </w:p>
    <w:p w:rsidR="00B37265" w:rsidRPr="005C38DA" w:rsidRDefault="00B37265" w:rsidP="005C38DA">
      <w:pPr>
        <w:spacing w:after="0" w:line="360" w:lineRule="auto"/>
        <w:ind w:firstLine="709"/>
        <w:jc w:val="both"/>
        <w:rPr>
          <w:rFonts w:ascii="Times New Roman" w:hAnsi="Times New Roman"/>
          <w:color w:val="000000"/>
          <w:sz w:val="28"/>
          <w:szCs w:val="28"/>
          <w:lang w:val="uk-UA"/>
        </w:rPr>
      </w:pPr>
      <w:r w:rsidRPr="005C38DA">
        <w:rPr>
          <w:rFonts w:ascii="Times New Roman" w:hAnsi="Times New Roman"/>
          <w:color w:val="000000"/>
          <w:sz w:val="28"/>
          <w:szCs w:val="28"/>
          <w:lang w:val="uk-UA"/>
        </w:rPr>
        <w:t>Методологічний апарат механізму базується на системі взаємопов’язаних моделей, де центральне місце посідає інтегральна оцінка інвестиційної привабливості (ІА). На відміну від традиційних підходів, запропонована методика передбачає динамічну корекцію вагових коефіцієнтів (</w:t>
      </w:r>
      <w:r w:rsidRPr="005C38DA">
        <w:rPr>
          <w:rFonts w:ascii="Times New Roman" w:hAnsi="Times New Roman"/>
          <w:color w:val="000000"/>
          <w:sz w:val="28"/>
          <w:szCs w:val="28"/>
        </w:rPr>
        <w:t>w</w:t>
      </w:r>
      <w:r w:rsidRPr="005C38DA">
        <w:rPr>
          <w:rFonts w:ascii="Times New Roman" w:hAnsi="Times New Roman"/>
          <w:color w:val="000000"/>
          <w:sz w:val="28"/>
          <w:szCs w:val="28"/>
          <w:vertAlign w:val="subscript"/>
        </w:rPr>
        <w:t>i</w:t>
      </w:r>
      <w:r w:rsidRPr="005C38DA">
        <w:rPr>
          <w:rFonts w:ascii="Times New Roman" w:hAnsi="Times New Roman"/>
          <w:color w:val="000000"/>
          <w:sz w:val="28"/>
          <w:szCs w:val="28"/>
          <w:lang w:val="uk-UA"/>
        </w:rPr>
        <w:t xml:space="preserve">) залежно від стадії життєвого циклу підприємства та макроекономічного контексту. Для сільськогосподарських підприємств у період посткризового відновлення методологічно доцільним є збільшення ваги індикаторів природно-кліматичної стійкості та </w:t>
      </w:r>
      <w:r w:rsidRPr="005C38DA">
        <w:rPr>
          <w:rFonts w:ascii="Times New Roman" w:hAnsi="Times New Roman"/>
          <w:color w:val="000000"/>
          <w:sz w:val="28"/>
          <w:szCs w:val="28"/>
        </w:rPr>
        <w:t>ESG</w:t>
      </w:r>
      <w:r w:rsidRPr="005C38DA">
        <w:rPr>
          <w:rFonts w:ascii="Times New Roman" w:hAnsi="Times New Roman"/>
          <w:color w:val="000000"/>
          <w:sz w:val="28"/>
          <w:szCs w:val="28"/>
          <w:lang w:val="uk-UA"/>
        </w:rPr>
        <w:t>-факторів. Це зумовлено тим, що для стратегічного інвестора в агросекторі якість земельного капіталу (</w:t>
      </w:r>
      <w:r w:rsidRPr="005C38DA">
        <w:rPr>
          <w:rFonts w:ascii="Times New Roman" w:hAnsi="Times New Roman"/>
          <w:color w:val="000000"/>
          <w:sz w:val="28"/>
          <w:szCs w:val="28"/>
        </w:rPr>
        <w:t>L</w:t>
      </w:r>
      <w:r w:rsidRPr="005C38DA">
        <w:rPr>
          <w:rFonts w:ascii="Times New Roman" w:hAnsi="Times New Roman"/>
          <w:color w:val="000000"/>
          <w:sz w:val="28"/>
          <w:szCs w:val="28"/>
          <w:vertAlign w:val="subscript"/>
        </w:rPr>
        <w:t>and</w:t>
      </w:r>
      <w:r w:rsidRPr="005C38DA">
        <w:rPr>
          <w:rFonts w:ascii="Times New Roman" w:hAnsi="Times New Roman"/>
          <w:color w:val="000000"/>
          <w:sz w:val="28"/>
          <w:szCs w:val="28"/>
          <w:lang w:val="uk-UA"/>
        </w:rPr>
        <w:t xml:space="preserve">) та екологічна комплаєнтність діяльності стають визначальними чинниками довгострокової життєздатності активу. Використання методів багатокритеріальної оптимізації (зокрема, згаданих у моделі метод </w:t>
      </w:r>
      <w:r w:rsidRPr="005C38DA">
        <w:rPr>
          <w:rFonts w:ascii="Times New Roman" w:hAnsi="Times New Roman"/>
          <w:color w:val="000000"/>
          <w:sz w:val="28"/>
          <w:szCs w:val="28"/>
        </w:rPr>
        <w:t>AHP</w:t>
      </w:r>
      <w:r w:rsidRPr="005C38DA">
        <w:rPr>
          <w:rFonts w:ascii="Times New Roman" w:hAnsi="Times New Roman"/>
          <w:color w:val="000000"/>
          <w:sz w:val="28"/>
          <w:szCs w:val="28"/>
          <w:lang w:val="uk-UA"/>
        </w:rPr>
        <w:t>) дозволяє агрегувати різнорідні показники — від рентабельності (</w:t>
      </w:r>
      <w:r w:rsidRPr="005C38DA">
        <w:rPr>
          <w:rFonts w:ascii="Times New Roman" w:hAnsi="Times New Roman"/>
          <w:color w:val="000000"/>
          <w:sz w:val="28"/>
          <w:szCs w:val="28"/>
        </w:rPr>
        <w:t>ROE</w:t>
      </w:r>
      <w:r w:rsidRPr="005C38DA">
        <w:rPr>
          <w:rFonts w:ascii="Times New Roman" w:hAnsi="Times New Roman"/>
          <w:color w:val="000000"/>
          <w:sz w:val="28"/>
          <w:szCs w:val="28"/>
          <w:lang w:val="uk-UA"/>
        </w:rPr>
        <w:t>,</w:t>
      </w:r>
      <w:r w:rsidRPr="005C38DA">
        <w:rPr>
          <w:rStyle w:val="apple-converted-space"/>
          <w:rFonts w:ascii="Times New Roman" w:hAnsi="Times New Roman"/>
          <w:color w:val="000000"/>
          <w:sz w:val="28"/>
          <w:szCs w:val="28"/>
          <w:lang w:val="uk-UA"/>
        </w:rPr>
        <w:t xml:space="preserve"> </w:t>
      </w:r>
      <w:r w:rsidRPr="005C38DA">
        <w:rPr>
          <w:rStyle w:val="apple-converted-space"/>
          <w:rFonts w:ascii="Times New Roman" w:hAnsi="Times New Roman"/>
          <w:color w:val="000000"/>
          <w:sz w:val="28"/>
          <w:szCs w:val="28"/>
        </w:rPr>
        <w:t>ROA</w:t>
      </w:r>
      <w:r w:rsidRPr="005C38DA">
        <w:rPr>
          <w:rFonts w:ascii="Times New Roman" w:hAnsi="Times New Roman"/>
          <w:color w:val="000000"/>
          <w:sz w:val="28"/>
          <w:szCs w:val="28"/>
          <w:lang w:val="uk-UA"/>
        </w:rPr>
        <w:t>) до рівня цифрової зрілості — у єдиний інтегральний індикатор, що слугує маркером для прийняття інвестиційних рішень на Етапі 5 алгоритму (рис. Ж.1 (додаток Ж)).</w:t>
      </w:r>
    </w:p>
    <w:p w:rsidR="00B37265" w:rsidRPr="005C38DA" w:rsidRDefault="00B37265" w:rsidP="005C38DA">
      <w:pPr>
        <w:spacing w:after="0" w:line="360" w:lineRule="auto"/>
        <w:ind w:firstLine="709"/>
        <w:jc w:val="both"/>
        <w:rPr>
          <w:rFonts w:ascii="Times New Roman" w:hAnsi="Times New Roman"/>
          <w:color w:val="000000"/>
          <w:sz w:val="28"/>
          <w:szCs w:val="28"/>
          <w:lang w:val="uk-UA"/>
        </w:rPr>
      </w:pPr>
      <w:r w:rsidRPr="005C38DA">
        <w:rPr>
          <w:rFonts w:ascii="Times New Roman" w:hAnsi="Times New Roman"/>
          <w:color w:val="000000"/>
          <w:sz w:val="28"/>
          <w:szCs w:val="28"/>
          <w:lang w:val="uk-UA"/>
        </w:rPr>
        <w:t xml:space="preserve">Важливою теоретичною складовою механізму є забезпечення інституційної безпеки інвестора, що реалізується через суб’єктно-об’єктний блок. </w:t>
      </w:r>
      <w:r w:rsidRPr="005C38DA">
        <w:rPr>
          <w:rFonts w:ascii="Times New Roman" w:hAnsi="Times New Roman"/>
          <w:color w:val="000000"/>
          <w:sz w:val="28"/>
          <w:szCs w:val="28"/>
        </w:rPr>
        <w:t>В аграрній сфері, де право власності на землю та захист активів є критичними, механізм виконує захисну функцію через інструменти прозорого корпоративного управління та внутрішнього контролю</w:t>
      </w:r>
      <w:r>
        <w:rPr>
          <w:rFonts w:ascii="Times New Roman" w:eastAsia="Times New Roman" w:hAnsi="Times New Roman"/>
          <w:sz w:val="28"/>
          <w:szCs w:val="28"/>
        </w:rPr>
        <w:t>.</w:t>
      </w:r>
    </w:p>
    <w:p w:rsidR="00B37265" w:rsidRPr="005C38DA" w:rsidRDefault="00B37265" w:rsidP="005C38DA">
      <w:pPr>
        <w:spacing w:after="0" w:line="360" w:lineRule="auto"/>
        <w:ind w:firstLine="709"/>
        <w:jc w:val="both"/>
        <w:rPr>
          <w:rFonts w:ascii="Times New Roman" w:hAnsi="Times New Roman"/>
          <w:color w:val="000000"/>
          <w:sz w:val="28"/>
          <w:szCs w:val="28"/>
          <w:lang w:val="uk-UA"/>
        </w:rPr>
      </w:pPr>
      <w:r w:rsidRPr="005C38DA">
        <w:rPr>
          <w:rFonts w:ascii="Times New Roman" w:hAnsi="Times New Roman"/>
          <w:color w:val="000000"/>
          <w:sz w:val="28"/>
          <w:szCs w:val="28"/>
          <w:lang w:val="uk-UA"/>
        </w:rPr>
        <w:t xml:space="preserve">Методологічно це реалізується через формування «інвестиційного фільтра» — системи комплаєнс-процедур, що інтегровані в операційну реалізацію механізму. Завдяки залученню інституційної підтримки (міжнародні фонди, державні програми) підприємство отримує не лише капітал, а й інституційний «знак якості», що автоматично підвищує його </w:t>
      </w:r>
      <w:r w:rsidRPr="005C38DA">
        <w:rPr>
          <w:rFonts w:ascii="Times New Roman" w:hAnsi="Times New Roman"/>
          <w:color w:val="000000"/>
          <w:sz w:val="28"/>
          <w:szCs w:val="28"/>
          <w:lang w:val="uk-UA"/>
        </w:rPr>
        <w:lastRenderedPageBreak/>
        <w:t>кредитний рейтинг та знижує середньозважену вартість капіталу (</w:t>
      </w:r>
      <w:r w:rsidRPr="005C38DA">
        <w:rPr>
          <w:rFonts w:ascii="Times New Roman" w:hAnsi="Times New Roman"/>
          <w:color w:val="000000"/>
          <w:sz w:val="28"/>
          <w:szCs w:val="28"/>
        </w:rPr>
        <w:t>WACC</w:t>
      </w:r>
      <w:r w:rsidRPr="005C38DA">
        <w:rPr>
          <w:rFonts w:ascii="Times New Roman" w:hAnsi="Times New Roman"/>
          <w:color w:val="000000"/>
          <w:sz w:val="28"/>
          <w:szCs w:val="28"/>
          <w:lang w:val="uk-UA"/>
        </w:rPr>
        <w:t>). Таким чином, економічний механізм виступає інструментом інституціалізації відносин між агробізнесом та ринком капіталу.</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lang w:val="uk-UA"/>
        </w:rPr>
        <w:t>Теоретичне обґрунтування безперервності розвитку інвестиційної привабливості базується на циклічній моделі Демінга (</w:t>
      </w:r>
      <w:r w:rsidRPr="005C38DA">
        <w:rPr>
          <w:color w:val="000000"/>
          <w:sz w:val="28"/>
          <w:szCs w:val="28"/>
        </w:rPr>
        <w:t>PDCA</w:t>
      </w:r>
      <w:r w:rsidRPr="005C38DA">
        <w:rPr>
          <w:color w:val="000000"/>
          <w:sz w:val="28"/>
          <w:szCs w:val="28"/>
          <w:lang w:val="uk-UA"/>
        </w:rPr>
        <w:t xml:space="preserve">), яка інтегрована в алгоритм як блок зворотного зв’язку. </w:t>
      </w:r>
      <w:r w:rsidRPr="005C38DA">
        <w:rPr>
          <w:color w:val="000000"/>
          <w:sz w:val="28"/>
          <w:szCs w:val="28"/>
        </w:rPr>
        <w:t>В умовах перманентної турбулентності агропродовольчих ринків статичні моделі управління втрачають актуальність.</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t xml:space="preserve">Методологічна значущість PDCA-циклу полягає у забезпеченні властивості самоорганізації механізму. На етапі «Check» (Перевірка) здійснюється не просто констатація відхилень від плану, а глибокий факторний аналіз причин зміни ризикового профілю підприємства. Це дозволяє на етапі «Act» (Коригування) проводити превентивну адаптацію інвестиційної стратегії, що мінімізує потенційні втрати від </w:t>
      </w:r>
      <w:r w:rsidRPr="005C38DA">
        <w:rPr>
          <w:color w:val="000000"/>
          <w:sz w:val="28"/>
          <w:szCs w:val="28"/>
          <w:lang w:val="uk-UA"/>
        </w:rPr>
        <w:t xml:space="preserve">змінності </w:t>
      </w:r>
      <w:r w:rsidRPr="005C38DA">
        <w:rPr>
          <w:color w:val="000000"/>
          <w:sz w:val="28"/>
          <w:szCs w:val="28"/>
        </w:rPr>
        <w:t>цін або кліматичних аномалій. Отже, адаптивність механізму стає його ключовою конкурентною перевагою, забезпечуючи стійкість капіталізації у довгостроковій перспективі.</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Для підтвердження практичної спроможності розробленого економічного механізму розвитку інвестиційної привабливості (рис. Е.1 (додаток Е)) та алгоритму його реалізації (рис. Ж.1 (додаток Ж)), проведено апробацію на прикладі лідерів вітчизняного агробізнесу</w:t>
      </w:r>
      <w:r w:rsidRPr="005C38DA">
        <w:rPr>
          <w:b/>
          <w:bCs/>
          <w:color w:val="000000"/>
          <w:sz w:val="28"/>
          <w:szCs w:val="28"/>
          <w:lang w:val="uk-UA"/>
        </w:rPr>
        <w:t xml:space="preserve"> </w:t>
      </w:r>
      <w:r w:rsidRPr="005C38DA">
        <w:rPr>
          <w:color w:val="000000"/>
          <w:sz w:val="28"/>
          <w:szCs w:val="28"/>
        </w:rPr>
        <w:t>Kernel</w:t>
      </w:r>
      <w:r w:rsidRPr="005C38DA">
        <w:rPr>
          <w:color w:val="000000"/>
          <w:sz w:val="28"/>
          <w:szCs w:val="28"/>
          <w:lang w:val="uk-UA"/>
        </w:rPr>
        <w:t xml:space="preserve">, МХП та </w:t>
      </w:r>
      <w:r w:rsidRPr="005C38DA">
        <w:rPr>
          <w:color w:val="000000"/>
          <w:sz w:val="28"/>
          <w:szCs w:val="28"/>
        </w:rPr>
        <w:t>Astarta</w:t>
      </w:r>
      <w:r w:rsidRPr="005C38DA">
        <w:rPr>
          <w:color w:val="000000"/>
          <w:sz w:val="28"/>
          <w:szCs w:val="28"/>
          <w:lang w:val="uk-UA"/>
        </w:rPr>
        <w:t>-</w:t>
      </w:r>
      <w:r w:rsidRPr="005C38DA">
        <w:rPr>
          <w:color w:val="000000"/>
          <w:sz w:val="28"/>
          <w:szCs w:val="28"/>
        </w:rPr>
        <w:t>Kyiv</w:t>
      </w:r>
      <w:r w:rsidRPr="005C38DA">
        <w:rPr>
          <w:color w:val="000000"/>
          <w:sz w:val="28"/>
          <w:szCs w:val="28"/>
          <w:lang w:val="uk-UA"/>
        </w:rPr>
        <w:t>. Розрахунковий період 2021–2025 рр. охоплює різні фази макроекономічного циклу, включаючи період воєнної турбулентності, що дозволяє оцінити адаптивність механізму на основі результатів дослідження, отриманих в 2-му розділі даної роботи.</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t>Первинна діагностика в межах алгоритму (Етап 1) зосереджена на оцінці здатності підприємства трансформувати наявні ресурси (фінансові, природні, технологічні) у прибуток. Показник рентабельності активів (ROA) виступає індикатором якості функціонування ресурсного блоку</w:t>
      </w:r>
      <w:r w:rsidRPr="005C38DA">
        <w:rPr>
          <w:color w:val="000000"/>
          <w:sz w:val="28"/>
          <w:szCs w:val="28"/>
          <w:lang w:val="uk-UA"/>
        </w:rPr>
        <w:t xml:space="preserve"> (табл. 3.1).</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lastRenderedPageBreak/>
        <w:t>Розрахунки свідчать про глибоку депресію показників у 2022 році, що було зумовлено зростанням операційних витрат та логістичними обмеженнями. Однак, адаптивність</w:t>
      </w:r>
      <w:r w:rsidRPr="00AC0E1E">
        <w:rPr>
          <w:color w:val="000000"/>
          <w:sz w:val="28"/>
          <w:szCs w:val="28"/>
        </w:rPr>
        <w:t xml:space="preserve"> механізму дозволила МХП майже вийти на докризовий рівень (відхилення лише -0,3), що пояснюється високим ступенем вертикальної інтеграції та розвитком операційної ефективності (Етап 4 алгоритму). Найвищу стійкість продемонструвала Astarta-Kyiv, що підтверджує ефективність інтеграції природних ресурсів (L</w:t>
      </w:r>
      <w:r w:rsidRPr="00AC0E1E">
        <w:rPr>
          <w:color w:val="000000"/>
          <w:sz w:val="28"/>
          <w:szCs w:val="28"/>
          <w:vertAlign w:val="subscript"/>
        </w:rPr>
        <w:t>and</w:t>
      </w:r>
      <w:r w:rsidRPr="00AC0E1E">
        <w:rPr>
          <w:color w:val="000000"/>
          <w:sz w:val="28"/>
          <w:szCs w:val="28"/>
        </w:rPr>
        <w:t>) та енергоефективних технологій у структуру механізму.</w:t>
      </w:r>
    </w:p>
    <w:p w:rsidR="00BE5A3A" w:rsidRPr="00212E70" w:rsidRDefault="00BE5A3A" w:rsidP="00BE5A3A">
      <w:pPr>
        <w:pStyle w:val="a5"/>
        <w:keepNext/>
        <w:spacing w:before="0" w:beforeAutospacing="0" w:after="0" w:afterAutospacing="0" w:line="360" w:lineRule="auto"/>
        <w:ind w:firstLine="709"/>
        <w:jc w:val="right"/>
        <w:rPr>
          <w:color w:val="000000"/>
          <w:sz w:val="28"/>
          <w:szCs w:val="28"/>
          <w:lang w:val="uk-UA"/>
        </w:rPr>
      </w:pPr>
      <w:r w:rsidRPr="00212E70">
        <w:rPr>
          <w:color w:val="000000"/>
          <w:sz w:val="28"/>
          <w:szCs w:val="28"/>
          <w:lang w:val="uk-UA"/>
        </w:rPr>
        <w:t>Таблиця 3.1</w:t>
      </w:r>
    </w:p>
    <w:p w:rsidR="00BE5A3A" w:rsidRPr="005C38DA" w:rsidRDefault="00BE5A3A" w:rsidP="00BE5A3A">
      <w:pPr>
        <w:pStyle w:val="a5"/>
        <w:spacing w:before="0" w:beforeAutospacing="0" w:after="0" w:afterAutospacing="0" w:line="360" w:lineRule="auto"/>
        <w:jc w:val="center"/>
        <w:rPr>
          <w:b/>
          <w:bCs/>
          <w:color w:val="000000"/>
          <w:sz w:val="32"/>
          <w:szCs w:val="32"/>
          <w:lang w:val="uk-UA"/>
        </w:rPr>
      </w:pPr>
      <w:r w:rsidRPr="00B37265">
        <w:rPr>
          <w:b/>
          <w:bCs/>
          <w:color w:val="000000"/>
          <w:sz w:val="27"/>
          <w:szCs w:val="27"/>
          <w:lang w:val="uk-UA"/>
        </w:rPr>
        <w:t xml:space="preserve">Динаміка рентабельності </w:t>
      </w:r>
      <w:r w:rsidRPr="005C38DA">
        <w:rPr>
          <w:b/>
          <w:bCs/>
          <w:color w:val="000000"/>
          <w:sz w:val="27"/>
          <w:szCs w:val="27"/>
          <w:lang w:val="uk-UA"/>
        </w:rPr>
        <w:t>активів (</w:t>
      </w:r>
      <w:r w:rsidRPr="005C38DA">
        <w:rPr>
          <w:b/>
          <w:bCs/>
          <w:color w:val="000000"/>
          <w:sz w:val="27"/>
          <w:szCs w:val="27"/>
        </w:rPr>
        <w:t>ROA</w:t>
      </w:r>
      <w:r w:rsidRPr="005C38DA">
        <w:rPr>
          <w:b/>
          <w:bCs/>
          <w:color w:val="000000"/>
          <w:sz w:val="27"/>
          <w:szCs w:val="27"/>
          <w:lang w:val="uk-UA"/>
        </w:rPr>
        <w:t xml:space="preserve">) в межах функціонування механізму </w:t>
      </w:r>
      <w:r w:rsidRPr="005C38DA">
        <w:rPr>
          <w:b/>
          <w:bCs/>
          <w:color w:val="000000"/>
          <w:sz w:val="28"/>
          <w:szCs w:val="28"/>
        </w:rPr>
        <w:t>Kernel</w:t>
      </w:r>
      <w:r w:rsidRPr="005C38DA">
        <w:rPr>
          <w:b/>
          <w:bCs/>
          <w:color w:val="000000"/>
          <w:sz w:val="28"/>
          <w:szCs w:val="28"/>
          <w:lang w:val="uk-UA"/>
        </w:rPr>
        <w:t xml:space="preserve">, МХП та </w:t>
      </w:r>
      <w:r w:rsidRPr="005C38DA">
        <w:rPr>
          <w:b/>
          <w:bCs/>
          <w:color w:val="000000"/>
          <w:sz w:val="28"/>
          <w:szCs w:val="28"/>
        </w:rPr>
        <w:t>Astarta</w:t>
      </w:r>
      <w:r w:rsidRPr="005C38DA">
        <w:rPr>
          <w:b/>
          <w:bCs/>
          <w:color w:val="000000"/>
          <w:sz w:val="28"/>
          <w:szCs w:val="28"/>
          <w:lang w:val="uk-UA"/>
        </w:rPr>
        <w:t>-</w:t>
      </w:r>
      <w:r w:rsidRPr="005C38DA">
        <w:rPr>
          <w:b/>
          <w:bCs/>
          <w:color w:val="000000"/>
          <w:sz w:val="28"/>
          <w:szCs w:val="28"/>
        </w:rPr>
        <w:t>Kyiv</w:t>
      </w:r>
      <w:r w:rsidRPr="005C38DA">
        <w:rPr>
          <w:b/>
          <w:bCs/>
          <w:color w:val="000000"/>
          <w:sz w:val="28"/>
          <w:szCs w:val="28"/>
          <w:lang w:val="uk-UA"/>
        </w:rPr>
        <w:t xml:space="preserve"> за 2021 – 2025 рр.</w:t>
      </w:r>
      <w:r w:rsidRPr="005C38DA">
        <w:rPr>
          <w:b/>
          <w:bCs/>
          <w:color w:val="000000"/>
          <w:sz w:val="32"/>
          <w:szCs w:val="32"/>
          <w:lang w:val="uk-UA"/>
        </w:rPr>
        <w:t>, %</w:t>
      </w:r>
    </w:p>
    <w:tbl>
      <w:tblPr>
        <w:tblW w:w="906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686"/>
        <w:gridCol w:w="1003"/>
        <w:gridCol w:w="850"/>
        <w:gridCol w:w="851"/>
        <w:gridCol w:w="924"/>
        <w:gridCol w:w="1110"/>
        <w:gridCol w:w="1277"/>
        <w:gridCol w:w="1363"/>
      </w:tblGrid>
      <w:tr w:rsidR="00BE5A3A" w:rsidRPr="005C38DA" w:rsidTr="00BE5A3A">
        <w:trPr>
          <w:cantSplit/>
          <w:trHeight w:val="315"/>
          <w:tblHeader/>
        </w:trPr>
        <w:tc>
          <w:tcPr>
            <w:tcW w:w="1686"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Підприємство</w:t>
            </w:r>
          </w:p>
        </w:tc>
        <w:tc>
          <w:tcPr>
            <w:tcW w:w="100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2021</w:t>
            </w:r>
          </w:p>
        </w:tc>
        <w:tc>
          <w:tcPr>
            <w:tcW w:w="85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2022</w:t>
            </w:r>
          </w:p>
        </w:tc>
        <w:tc>
          <w:tcPr>
            <w:tcW w:w="851"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2023</w:t>
            </w:r>
          </w:p>
        </w:tc>
        <w:tc>
          <w:tcPr>
            <w:tcW w:w="924"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2024</w:t>
            </w:r>
          </w:p>
        </w:tc>
        <w:tc>
          <w:tcPr>
            <w:tcW w:w="111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2025</w:t>
            </w:r>
          </w:p>
        </w:tc>
        <w:tc>
          <w:tcPr>
            <w:tcW w:w="1277"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Абс. зміна (2025/2021)</w:t>
            </w:r>
          </w:p>
        </w:tc>
        <w:tc>
          <w:tcPr>
            <w:tcW w:w="1363" w:type="dxa"/>
            <w:tcMar>
              <w:top w:w="30" w:type="dxa"/>
              <w:left w:w="0" w:type="dxa"/>
              <w:bottom w:w="30" w:type="dxa"/>
              <w:right w:w="0"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Відносні зміна, %</w:t>
            </w:r>
          </w:p>
        </w:tc>
      </w:tr>
      <w:tr w:rsidR="00BE5A3A" w:rsidRPr="005C38DA" w:rsidTr="00BE5A3A">
        <w:trPr>
          <w:cantSplit/>
          <w:trHeight w:val="315"/>
        </w:trPr>
        <w:tc>
          <w:tcPr>
            <w:tcW w:w="1686"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Kernel</w:t>
            </w:r>
          </w:p>
        </w:tc>
        <w:tc>
          <w:tcPr>
            <w:tcW w:w="100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14,2</w:t>
            </w:r>
          </w:p>
        </w:tc>
        <w:tc>
          <w:tcPr>
            <w:tcW w:w="85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2,1</w:t>
            </w:r>
          </w:p>
        </w:tc>
        <w:tc>
          <w:tcPr>
            <w:tcW w:w="851"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7,8</w:t>
            </w:r>
          </w:p>
        </w:tc>
        <w:tc>
          <w:tcPr>
            <w:tcW w:w="924"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9,5</w:t>
            </w:r>
          </w:p>
        </w:tc>
        <w:tc>
          <w:tcPr>
            <w:tcW w:w="111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11,2</w:t>
            </w:r>
          </w:p>
        </w:tc>
        <w:tc>
          <w:tcPr>
            <w:tcW w:w="1277"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-3</w:t>
            </w:r>
          </w:p>
        </w:tc>
        <w:tc>
          <w:tcPr>
            <w:tcW w:w="136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-21,1</w:t>
            </w:r>
          </w:p>
        </w:tc>
      </w:tr>
      <w:tr w:rsidR="00BE5A3A" w:rsidRPr="005C38DA" w:rsidTr="00BE5A3A">
        <w:trPr>
          <w:cantSplit/>
          <w:trHeight w:val="315"/>
        </w:trPr>
        <w:tc>
          <w:tcPr>
            <w:tcW w:w="1686"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МХП</w:t>
            </w:r>
          </w:p>
        </w:tc>
        <w:tc>
          <w:tcPr>
            <w:tcW w:w="100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12,8</w:t>
            </w:r>
          </w:p>
        </w:tc>
        <w:tc>
          <w:tcPr>
            <w:tcW w:w="85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1,5</w:t>
            </w:r>
          </w:p>
        </w:tc>
        <w:tc>
          <w:tcPr>
            <w:tcW w:w="851"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8,2</w:t>
            </w:r>
          </w:p>
        </w:tc>
        <w:tc>
          <w:tcPr>
            <w:tcW w:w="924"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10,1</w:t>
            </w:r>
          </w:p>
        </w:tc>
        <w:tc>
          <w:tcPr>
            <w:tcW w:w="111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12,5</w:t>
            </w:r>
          </w:p>
        </w:tc>
        <w:tc>
          <w:tcPr>
            <w:tcW w:w="1277"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-0,3</w:t>
            </w:r>
          </w:p>
        </w:tc>
        <w:tc>
          <w:tcPr>
            <w:tcW w:w="136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-2,3</w:t>
            </w:r>
          </w:p>
        </w:tc>
      </w:tr>
      <w:tr w:rsidR="00BE5A3A" w:rsidRPr="005C38DA" w:rsidTr="00BE5A3A">
        <w:trPr>
          <w:cantSplit/>
          <w:trHeight w:val="315"/>
        </w:trPr>
        <w:tc>
          <w:tcPr>
            <w:tcW w:w="1686"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Astarta-Kyiv</w:t>
            </w:r>
          </w:p>
        </w:tc>
        <w:tc>
          <w:tcPr>
            <w:tcW w:w="100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15,4</w:t>
            </w:r>
          </w:p>
        </w:tc>
        <w:tc>
          <w:tcPr>
            <w:tcW w:w="85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3,2</w:t>
            </w:r>
          </w:p>
        </w:tc>
        <w:tc>
          <w:tcPr>
            <w:tcW w:w="851"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9,1</w:t>
            </w:r>
          </w:p>
        </w:tc>
        <w:tc>
          <w:tcPr>
            <w:tcW w:w="924"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11,4</w:t>
            </w:r>
          </w:p>
        </w:tc>
        <w:tc>
          <w:tcPr>
            <w:tcW w:w="1110"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13,8</w:t>
            </w:r>
          </w:p>
        </w:tc>
        <w:tc>
          <w:tcPr>
            <w:tcW w:w="1277"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-1,6</w:t>
            </w:r>
          </w:p>
        </w:tc>
        <w:tc>
          <w:tcPr>
            <w:tcW w:w="1363" w:type="dxa"/>
            <w:tcMar>
              <w:top w:w="30" w:type="dxa"/>
              <w:left w:w="45" w:type="dxa"/>
              <w:bottom w:w="30" w:type="dxa"/>
              <w:right w:w="45" w:type="dxa"/>
            </w:tcMar>
            <w:vAlign w:val="center"/>
            <w:hideMark/>
          </w:tcPr>
          <w:p w:rsidR="00BE5A3A" w:rsidRPr="005C38DA" w:rsidRDefault="00BE5A3A" w:rsidP="00BE5A3A">
            <w:pPr>
              <w:jc w:val="center"/>
              <w:rPr>
                <w:rFonts w:ascii="Times New Roman" w:hAnsi="Times New Roman"/>
              </w:rPr>
            </w:pPr>
            <w:r w:rsidRPr="005C38DA">
              <w:rPr>
                <w:rFonts w:ascii="Times New Roman" w:hAnsi="Times New Roman"/>
              </w:rPr>
              <w:t>-10,4</w:t>
            </w:r>
          </w:p>
        </w:tc>
      </w:tr>
    </w:tbl>
    <w:p w:rsidR="00BE5A3A" w:rsidRPr="005C38DA" w:rsidRDefault="00BE5A3A" w:rsidP="00BE5A3A">
      <w:pPr>
        <w:pStyle w:val="a5"/>
        <w:spacing w:before="0" w:beforeAutospacing="0" w:after="0" w:afterAutospacing="0"/>
        <w:ind w:firstLine="709"/>
        <w:jc w:val="both"/>
        <w:rPr>
          <w:i/>
          <w:iCs/>
          <w:color w:val="000000"/>
          <w:lang w:val="uk-UA"/>
        </w:rPr>
      </w:pPr>
      <w:r w:rsidRPr="005C38DA">
        <w:rPr>
          <w:i/>
          <w:iCs/>
          <w:color w:val="000000"/>
          <w:lang w:val="uk-UA"/>
        </w:rPr>
        <w:t>Джерело: обраховано автором за даними підприємств</w:t>
      </w:r>
    </w:p>
    <w:p w:rsidR="00BE5A3A" w:rsidRPr="005C38DA" w:rsidRDefault="00BE5A3A" w:rsidP="00BE5A3A">
      <w:pPr>
        <w:pStyle w:val="a5"/>
        <w:spacing w:before="0" w:beforeAutospacing="0" w:after="0" w:afterAutospacing="0" w:line="360" w:lineRule="auto"/>
        <w:ind w:firstLine="709"/>
        <w:jc w:val="both"/>
        <w:rPr>
          <w:color w:val="000000"/>
          <w:sz w:val="28"/>
          <w:szCs w:val="28"/>
          <w:lang w:val="uk-UA"/>
        </w:rPr>
      </w:pPr>
    </w:p>
    <w:p w:rsidR="00B37265" w:rsidRPr="005C38DA" w:rsidRDefault="00B37265" w:rsidP="00B37265">
      <w:pPr>
        <w:pStyle w:val="a5"/>
        <w:spacing w:before="0" w:beforeAutospacing="0" w:after="0" w:afterAutospacing="0" w:line="360" w:lineRule="auto"/>
        <w:ind w:firstLine="709"/>
        <w:jc w:val="both"/>
        <w:rPr>
          <w:color w:val="000000"/>
          <w:sz w:val="28"/>
          <w:szCs w:val="28"/>
          <w:lang w:val="uk-UA"/>
        </w:rPr>
      </w:pPr>
      <w:r w:rsidRPr="00CA4AFB">
        <w:rPr>
          <w:color w:val="000000"/>
          <w:sz w:val="28"/>
          <w:szCs w:val="28"/>
        </w:rPr>
        <w:t xml:space="preserve">У межах </w:t>
      </w:r>
      <w:r w:rsidRPr="005C38DA">
        <w:rPr>
          <w:color w:val="000000"/>
          <w:sz w:val="28"/>
          <w:szCs w:val="28"/>
        </w:rPr>
        <w:t>інструментально-методичного блоку особливе значення має мінімізація вартості залучення капіталу</w:t>
      </w:r>
      <w:r w:rsidRPr="005C38DA">
        <w:rPr>
          <w:color w:val="000000"/>
          <w:sz w:val="28"/>
          <w:szCs w:val="28"/>
          <w:lang w:val="uk-UA"/>
        </w:rPr>
        <w:t xml:space="preserve"> (</w:t>
      </w:r>
      <w:r w:rsidRPr="005C38DA">
        <w:rPr>
          <w:color w:val="000000"/>
          <w:sz w:val="28"/>
          <w:szCs w:val="28"/>
          <w:lang w:val="en-US"/>
        </w:rPr>
        <w:t>WACC</w:t>
      </w:r>
      <w:r w:rsidRPr="005C38DA">
        <w:rPr>
          <w:color w:val="000000"/>
          <w:sz w:val="28"/>
          <w:szCs w:val="28"/>
          <w:lang w:val="uk-UA"/>
        </w:rPr>
        <w:t xml:space="preserve">) (табл. Х.1 (додаток Х)). </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Наступним елементом є</w:t>
      </w:r>
      <w:r>
        <w:rPr>
          <w:color w:val="000000"/>
          <w:sz w:val="28"/>
          <w:szCs w:val="28"/>
          <w:lang w:val="uk-UA"/>
        </w:rPr>
        <w:t xml:space="preserve"> </w:t>
      </w:r>
      <w:r w:rsidRPr="00CA4AFB">
        <w:rPr>
          <w:color w:val="000000"/>
          <w:sz w:val="28"/>
          <w:szCs w:val="28"/>
        </w:rPr>
        <w:t>управління ризиками (</w:t>
      </w:r>
      <w:r>
        <w:rPr>
          <w:color w:val="000000"/>
          <w:sz w:val="28"/>
          <w:szCs w:val="28"/>
          <w:lang w:val="en-US"/>
        </w:rPr>
        <w:t>R</w:t>
      </w:r>
      <w:r>
        <w:rPr>
          <w:color w:val="000000"/>
          <w:sz w:val="28"/>
          <w:szCs w:val="28"/>
          <w:vertAlign w:val="subscript"/>
          <w:lang w:val="en-US"/>
        </w:rPr>
        <w:t>total</w:t>
      </w:r>
      <w:r w:rsidRPr="00CA4AFB">
        <w:rPr>
          <w:color w:val="000000"/>
          <w:sz w:val="28"/>
          <w:szCs w:val="28"/>
        </w:rPr>
        <w:t>), що є центральним елементом блоку 5 структурної моделі</w:t>
      </w:r>
      <w:r>
        <w:rPr>
          <w:color w:val="000000"/>
          <w:sz w:val="28"/>
          <w:szCs w:val="28"/>
          <w:lang w:val="uk-UA"/>
        </w:rPr>
        <w:t xml:space="preserve"> (рис. 3.1)</w:t>
      </w:r>
      <w:r w:rsidRPr="00CA4AFB">
        <w:rPr>
          <w:color w:val="000000"/>
          <w:sz w:val="28"/>
          <w:szCs w:val="28"/>
        </w:rPr>
        <w:t>.</w:t>
      </w:r>
      <w:r>
        <w:rPr>
          <w:color w:val="000000"/>
          <w:sz w:val="28"/>
          <w:szCs w:val="28"/>
          <w:lang w:val="uk-UA"/>
        </w:rPr>
        <w:t xml:space="preserve"> Досягнення високих показників залучення капіталу формується саме на підставі ефективного управління ризиками.</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За отриманими </w:t>
      </w:r>
      <w:r w:rsidRPr="00DA2DBB">
        <w:rPr>
          <w:color w:val="000000"/>
          <w:sz w:val="28"/>
          <w:szCs w:val="28"/>
          <w:lang w:val="uk-UA"/>
        </w:rPr>
        <w:t>результатами з</w:t>
      </w:r>
      <w:r w:rsidRPr="00DA2DBB">
        <w:rPr>
          <w:color w:val="000000"/>
          <w:sz w:val="28"/>
          <w:szCs w:val="28"/>
        </w:rPr>
        <w:t>ростання WACC у 2022 році було наслідком стрімкого підвищення ризикового профілю (</w:t>
      </w:r>
      <w:r w:rsidRPr="00DA2DBB">
        <w:rPr>
          <w:color w:val="000000"/>
          <w:sz w:val="28"/>
          <w:szCs w:val="28"/>
          <w:lang w:val="en-US"/>
        </w:rPr>
        <w:t>R</w:t>
      </w:r>
      <w:r w:rsidRPr="00DA2DBB">
        <w:rPr>
          <w:color w:val="000000"/>
          <w:sz w:val="28"/>
          <w:szCs w:val="28"/>
          <w:vertAlign w:val="subscript"/>
          <w:lang w:val="en-US"/>
        </w:rPr>
        <w:t>total</w:t>
      </w:r>
      <w:r w:rsidRPr="00DA2DBB">
        <w:rPr>
          <w:color w:val="000000"/>
          <w:sz w:val="28"/>
          <w:szCs w:val="28"/>
        </w:rPr>
        <w:t xml:space="preserve">) до критичних значень (0,62–0,81). Проте, імплементація стратегій реагування (хеджування, страхування) на Етапі 4 алгоритму дозволила стабілізувати вартість капіталу в 2023–2025 рр.. Найменша абсолютна зміна WACC (+1,9 в.п.) та ризику </w:t>
      </w:r>
      <w:r w:rsidRPr="00DA2DBB">
        <w:rPr>
          <w:color w:val="000000"/>
          <w:sz w:val="28"/>
          <w:szCs w:val="28"/>
        </w:rPr>
        <w:lastRenderedPageBreak/>
        <w:t>(+0,08) у Astarta-Kyiv свідчить про високу інституційну довіру інвесторів до ESG-орієнтованих моделей управління.</w:t>
      </w:r>
    </w:p>
    <w:p w:rsidR="00EB5B4E" w:rsidRDefault="00EB5B4E" w:rsidP="00EB5B4E">
      <w:pPr>
        <w:pStyle w:val="a5"/>
        <w:spacing w:before="0" w:beforeAutospacing="0" w:after="0" w:afterAutospacing="0" w:line="360" w:lineRule="auto"/>
        <w:jc w:val="center"/>
        <w:rPr>
          <w:color w:val="000000"/>
          <w:sz w:val="28"/>
          <w:szCs w:val="28"/>
          <w:lang w:val="uk-UA"/>
        </w:rPr>
      </w:pPr>
      <w:r w:rsidRPr="00EA4396">
        <w:rPr>
          <w:noProof/>
          <w:color w:val="000000" w:themeColor="text1"/>
          <w:sz w:val="28"/>
          <w:szCs w:val="28"/>
          <w:lang w:val="uk-UA" w:eastAsia="uk-UA"/>
          <w14:ligatures w14:val="standardContextual"/>
        </w:rPr>
        <w:drawing>
          <wp:inline distT="0" distB="0" distL="0" distR="0" wp14:anchorId="3FDA8716" wp14:editId="3D7D3434">
            <wp:extent cx="5486400" cy="3200400"/>
            <wp:effectExtent l="0" t="0" r="12700" b="12700"/>
            <wp:docPr id="116187722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B5B4E" w:rsidRPr="00142E9A" w:rsidRDefault="00EB5B4E" w:rsidP="00EB5B4E">
      <w:pPr>
        <w:pStyle w:val="a5"/>
        <w:keepNext/>
        <w:spacing w:before="0" w:beforeAutospacing="0" w:after="0" w:afterAutospacing="0" w:line="360" w:lineRule="auto"/>
        <w:jc w:val="center"/>
        <w:rPr>
          <w:b/>
          <w:bCs/>
          <w:color w:val="000000"/>
          <w:sz w:val="32"/>
          <w:szCs w:val="32"/>
          <w:lang w:val="uk-UA"/>
        </w:rPr>
      </w:pPr>
      <w:r>
        <w:rPr>
          <w:b/>
          <w:bCs/>
          <w:color w:val="000000"/>
          <w:sz w:val="28"/>
          <w:szCs w:val="28"/>
          <w:lang w:val="uk-UA"/>
        </w:rPr>
        <w:t>Рис. 3.1 Динаміка інтегрального ризикового профілю (</w:t>
      </w:r>
      <w:r>
        <w:rPr>
          <w:b/>
          <w:bCs/>
          <w:color w:val="000000"/>
          <w:sz w:val="28"/>
          <w:szCs w:val="28"/>
          <w:lang w:val="en-US"/>
        </w:rPr>
        <w:t>R</w:t>
      </w:r>
      <w:r>
        <w:rPr>
          <w:b/>
          <w:bCs/>
          <w:color w:val="000000"/>
          <w:sz w:val="28"/>
          <w:szCs w:val="28"/>
          <w:vertAlign w:val="subscript"/>
          <w:lang w:val="en-US"/>
        </w:rPr>
        <w:t>total</w:t>
      </w:r>
      <w:r>
        <w:rPr>
          <w:b/>
          <w:bCs/>
          <w:color w:val="000000"/>
          <w:sz w:val="28"/>
          <w:szCs w:val="28"/>
          <w:lang w:val="uk-UA"/>
        </w:rPr>
        <w:t>)</w:t>
      </w:r>
      <w:r w:rsidRPr="00B37265">
        <w:rPr>
          <w:b/>
          <w:bCs/>
          <w:color w:val="000000"/>
          <w:sz w:val="28"/>
          <w:szCs w:val="28"/>
          <w:lang w:val="uk-UA"/>
        </w:rPr>
        <w:t xml:space="preserve"> </w:t>
      </w:r>
      <w:r w:rsidRPr="00142E9A">
        <w:rPr>
          <w:b/>
          <w:bCs/>
          <w:color w:val="000000"/>
          <w:sz w:val="28"/>
          <w:szCs w:val="28"/>
        </w:rPr>
        <w:t>Kernel</w:t>
      </w:r>
      <w:r w:rsidRPr="00B37265">
        <w:rPr>
          <w:b/>
          <w:bCs/>
          <w:color w:val="000000"/>
          <w:sz w:val="28"/>
          <w:szCs w:val="28"/>
          <w:lang w:val="uk-UA"/>
        </w:rPr>
        <w:t xml:space="preserve">, МХП та </w:t>
      </w:r>
      <w:r w:rsidRPr="00142E9A">
        <w:rPr>
          <w:b/>
          <w:bCs/>
          <w:color w:val="000000"/>
          <w:sz w:val="28"/>
          <w:szCs w:val="28"/>
        </w:rPr>
        <w:t>Astarta</w:t>
      </w:r>
      <w:r w:rsidRPr="00B37265">
        <w:rPr>
          <w:b/>
          <w:bCs/>
          <w:color w:val="000000"/>
          <w:sz w:val="28"/>
          <w:szCs w:val="28"/>
          <w:lang w:val="uk-UA"/>
        </w:rPr>
        <w:t>-</w:t>
      </w:r>
      <w:r w:rsidRPr="00142E9A">
        <w:rPr>
          <w:b/>
          <w:bCs/>
          <w:color w:val="000000"/>
          <w:sz w:val="28"/>
          <w:szCs w:val="28"/>
        </w:rPr>
        <w:t>Kyiv</w:t>
      </w:r>
      <w:r w:rsidRPr="00142E9A">
        <w:rPr>
          <w:b/>
          <w:bCs/>
          <w:color w:val="000000"/>
          <w:sz w:val="28"/>
          <w:szCs w:val="28"/>
          <w:lang w:val="uk-UA"/>
        </w:rPr>
        <w:t xml:space="preserve"> за 2021 – 2025 рр.</w:t>
      </w:r>
    </w:p>
    <w:p w:rsidR="00EB5B4E" w:rsidRDefault="00EB5B4E" w:rsidP="005714C9">
      <w:pPr>
        <w:pStyle w:val="a5"/>
        <w:spacing w:before="0" w:beforeAutospacing="0" w:after="0" w:afterAutospacing="0" w:line="360" w:lineRule="auto"/>
        <w:ind w:firstLine="709"/>
        <w:jc w:val="both"/>
        <w:rPr>
          <w:color w:val="000000"/>
          <w:sz w:val="28"/>
          <w:szCs w:val="28"/>
          <w:lang w:val="uk-UA"/>
        </w:rPr>
      </w:pPr>
    </w:p>
    <w:p w:rsidR="00BE5A3A" w:rsidRDefault="00B37265" w:rsidP="00BE5A3A">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Кінцевою метою функціонування механізму є максимізація ринкової вартості </w:t>
      </w:r>
      <w:r w:rsidRPr="005C38DA">
        <w:rPr>
          <w:color w:val="000000"/>
          <w:sz w:val="28"/>
          <w:szCs w:val="28"/>
          <w:lang w:val="uk-UA"/>
        </w:rPr>
        <w:t xml:space="preserve">сільськогосподарських підприємств (табл. 3.2) та досягнення оптимального </w:t>
      </w:r>
      <w:r w:rsidRPr="005714C9">
        <w:rPr>
          <w:color w:val="000000"/>
          <w:sz w:val="28"/>
          <w:szCs w:val="28"/>
          <w:lang w:val="uk-UA"/>
        </w:rPr>
        <w:t>рівня</w:t>
      </w:r>
      <w:r w:rsidRPr="005714C9">
        <w:rPr>
          <w:rStyle w:val="apple-converted-space"/>
          <w:rFonts w:eastAsiaTheme="majorEastAsia"/>
          <w:color w:val="000000"/>
          <w:sz w:val="28"/>
          <w:szCs w:val="28"/>
          <w:lang w:val="uk-UA"/>
        </w:rPr>
        <w:t xml:space="preserve"> ІА (рис 3.2)</w:t>
      </w:r>
      <w:r w:rsidRPr="005714C9">
        <w:rPr>
          <w:color w:val="000000"/>
          <w:sz w:val="28"/>
          <w:szCs w:val="28"/>
          <w:lang w:val="uk-UA"/>
        </w:rPr>
        <w:t>.</w:t>
      </w:r>
      <w:r w:rsidR="005714C9">
        <w:rPr>
          <w:color w:val="000000"/>
          <w:sz w:val="28"/>
          <w:szCs w:val="28"/>
          <w:lang w:val="uk-UA"/>
        </w:rPr>
        <w:t xml:space="preserve"> </w:t>
      </w:r>
    </w:p>
    <w:p w:rsidR="00B37265" w:rsidRPr="00212E70" w:rsidRDefault="00B37265" w:rsidP="00B37265">
      <w:pPr>
        <w:pStyle w:val="a5"/>
        <w:keepNext/>
        <w:spacing w:before="0" w:beforeAutospacing="0" w:after="0" w:afterAutospacing="0" w:line="360" w:lineRule="auto"/>
        <w:ind w:firstLine="709"/>
        <w:jc w:val="right"/>
        <w:rPr>
          <w:color w:val="000000"/>
          <w:sz w:val="28"/>
          <w:szCs w:val="28"/>
          <w:lang w:val="uk-UA"/>
        </w:rPr>
      </w:pPr>
      <w:r w:rsidRPr="00212E70">
        <w:rPr>
          <w:color w:val="000000"/>
          <w:sz w:val="28"/>
          <w:szCs w:val="28"/>
          <w:lang w:val="uk-UA"/>
        </w:rPr>
        <w:t>Таблиця 3.2</w:t>
      </w:r>
    </w:p>
    <w:p w:rsidR="00B37265" w:rsidRPr="005C38DA" w:rsidRDefault="00B37265" w:rsidP="00B37265">
      <w:pPr>
        <w:pStyle w:val="a5"/>
        <w:spacing w:before="0" w:beforeAutospacing="0" w:after="0" w:afterAutospacing="0" w:line="360" w:lineRule="auto"/>
        <w:jc w:val="center"/>
        <w:rPr>
          <w:b/>
          <w:bCs/>
          <w:color w:val="000000"/>
          <w:sz w:val="28"/>
          <w:szCs w:val="28"/>
          <w:lang w:val="uk-UA"/>
        </w:rPr>
      </w:pPr>
      <w:r w:rsidRPr="005C38DA">
        <w:rPr>
          <w:b/>
          <w:bCs/>
          <w:color w:val="000000"/>
          <w:sz w:val="28"/>
          <w:szCs w:val="28"/>
          <w:lang w:val="uk-UA"/>
        </w:rPr>
        <w:t>Оцінка фундаментальної ринкової вартості бізнесу</w:t>
      </w:r>
      <w:r w:rsidRPr="005C38DA">
        <w:rPr>
          <w:rStyle w:val="apple-converted-space"/>
          <w:rFonts w:eastAsiaTheme="majorEastAsia"/>
          <w:b/>
          <w:bCs/>
          <w:color w:val="000000"/>
          <w:lang w:val="uk-UA"/>
        </w:rPr>
        <w:t xml:space="preserve"> (</w:t>
      </w:r>
      <w:r w:rsidRPr="005C38DA">
        <w:rPr>
          <w:rStyle w:val="apple-converted-space"/>
          <w:rFonts w:eastAsiaTheme="majorEastAsia"/>
          <w:b/>
          <w:bCs/>
          <w:color w:val="000000"/>
          <w:lang w:val="en-US"/>
        </w:rPr>
        <w:t>V</w:t>
      </w:r>
      <w:r w:rsidRPr="005C38DA">
        <w:rPr>
          <w:rStyle w:val="apple-converted-space"/>
          <w:rFonts w:eastAsiaTheme="majorEastAsia"/>
          <w:b/>
          <w:bCs/>
          <w:color w:val="000000"/>
          <w:lang w:val="uk-UA"/>
        </w:rPr>
        <w:t xml:space="preserve">) </w:t>
      </w:r>
      <w:r w:rsidRPr="005C38DA">
        <w:rPr>
          <w:b/>
          <w:bCs/>
          <w:color w:val="000000"/>
          <w:sz w:val="28"/>
          <w:szCs w:val="28"/>
        </w:rPr>
        <w:t>Kernel</w:t>
      </w:r>
      <w:r w:rsidRPr="005C38DA">
        <w:rPr>
          <w:b/>
          <w:bCs/>
          <w:color w:val="000000"/>
          <w:sz w:val="28"/>
          <w:szCs w:val="28"/>
          <w:lang w:val="uk-UA"/>
        </w:rPr>
        <w:t xml:space="preserve">, МХП та </w:t>
      </w:r>
      <w:r w:rsidRPr="005C38DA">
        <w:rPr>
          <w:b/>
          <w:bCs/>
          <w:color w:val="000000"/>
          <w:sz w:val="28"/>
          <w:szCs w:val="28"/>
        </w:rPr>
        <w:t>Astarta</w:t>
      </w:r>
      <w:r w:rsidRPr="005C38DA">
        <w:rPr>
          <w:b/>
          <w:bCs/>
          <w:color w:val="000000"/>
          <w:sz w:val="28"/>
          <w:szCs w:val="28"/>
          <w:lang w:val="uk-UA"/>
        </w:rPr>
        <w:t>-</w:t>
      </w:r>
      <w:r w:rsidRPr="005C38DA">
        <w:rPr>
          <w:b/>
          <w:bCs/>
          <w:color w:val="000000"/>
          <w:sz w:val="28"/>
          <w:szCs w:val="28"/>
        </w:rPr>
        <w:t>Kyiv</w:t>
      </w:r>
      <w:r w:rsidRPr="005C38DA">
        <w:rPr>
          <w:b/>
          <w:bCs/>
          <w:color w:val="000000"/>
          <w:sz w:val="28"/>
          <w:szCs w:val="28"/>
          <w:lang w:val="uk-UA"/>
        </w:rPr>
        <w:t xml:space="preserve"> за 2021 – 2025 рр., млн.$</w:t>
      </w:r>
    </w:p>
    <w:tbl>
      <w:tblPr>
        <w:tblW w:w="906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552"/>
        <w:gridCol w:w="850"/>
        <w:gridCol w:w="851"/>
        <w:gridCol w:w="850"/>
        <w:gridCol w:w="992"/>
        <w:gridCol w:w="851"/>
        <w:gridCol w:w="1559"/>
        <w:gridCol w:w="1559"/>
      </w:tblGrid>
      <w:tr w:rsidR="00B37265" w:rsidRPr="005C38DA" w:rsidTr="00B37265">
        <w:trPr>
          <w:cantSplit/>
          <w:trHeight w:val="315"/>
          <w:tblHeader/>
        </w:trPr>
        <w:tc>
          <w:tcPr>
            <w:tcW w:w="155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Підприємство</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2021</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2022</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2023</w:t>
            </w:r>
          </w:p>
        </w:tc>
        <w:tc>
          <w:tcPr>
            <w:tcW w:w="99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2024</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2025</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Абс. зміна (2025/2021)</w:t>
            </w:r>
          </w:p>
        </w:tc>
        <w:tc>
          <w:tcPr>
            <w:tcW w:w="1559" w:type="dxa"/>
            <w:tcMar>
              <w:top w:w="30" w:type="dxa"/>
              <w:left w:w="0" w:type="dxa"/>
              <w:bottom w:w="30" w:type="dxa"/>
              <w:right w:w="0"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Відносна зміна, %</w:t>
            </w:r>
          </w:p>
        </w:tc>
      </w:tr>
      <w:tr w:rsidR="00B37265" w:rsidRPr="005C38DA" w:rsidTr="00B37265">
        <w:trPr>
          <w:cantSplit/>
          <w:trHeight w:val="315"/>
        </w:trPr>
        <w:tc>
          <w:tcPr>
            <w:tcW w:w="155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Kernel</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1420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920</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1050</w:t>
            </w:r>
          </w:p>
        </w:tc>
        <w:tc>
          <w:tcPr>
            <w:tcW w:w="99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1260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1480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+60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+4,2</w:t>
            </w:r>
          </w:p>
        </w:tc>
      </w:tr>
      <w:tr w:rsidR="00B37265" w:rsidRPr="005C38DA" w:rsidTr="00B37265">
        <w:trPr>
          <w:cantSplit/>
          <w:trHeight w:val="315"/>
        </w:trPr>
        <w:tc>
          <w:tcPr>
            <w:tcW w:w="155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МХП</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910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640</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720</w:t>
            </w:r>
          </w:p>
        </w:tc>
        <w:tc>
          <w:tcPr>
            <w:tcW w:w="99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890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1050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+140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+15,4</w:t>
            </w:r>
          </w:p>
        </w:tc>
      </w:tr>
      <w:tr w:rsidR="00B37265" w:rsidRPr="005C38DA" w:rsidTr="00B37265">
        <w:trPr>
          <w:cantSplit/>
          <w:trHeight w:val="315"/>
        </w:trPr>
        <w:tc>
          <w:tcPr>
            <w:tcW w:w="155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Astarta-Kyiv</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340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210</w:t>
            </w:r>
          </w:p>
        </w:tc>
        <w:tc>
          <w:tcPr>
            <w:tcW w:w="850"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260</w:t>
            </w:r>
          </w:p>
        </w:tc>
        <w:tc>
          <w:tcPr>
            <w:tcW w:w="992"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350</w:t>
            </w:r>
          </w:p>
        </w:tc>
        <w:tc>
          <w:tcPr>
            <w:tcW w:w="851"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420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+80</w:t>
            </w:r>
          </w:p>
        </w:tc>
        <w:tc>
          <w:tcPr>
            <w:tcW w:w="1559" w:type="dxa"/>
            <w:tcMar>
              <w:top w:w="30" w:type="dxa"/>
              <w:left w:w="45" w:type="dxa"/>
              <w:bottom w:w="30" w:type="dxa"/>
              <w:right w:w="45" w:type="dxa"/>
            </w:tcMar>
            <w:vAlign w:val="center"/>
            <w:hideMark/>
          </w:tcPr>
          <w:p w:rsidR="00B37265" w:rsidRPr="005C38DA" w:rsidRDefault="00B37265" w:rsidP="00B37265">
            <w:pPr>
              <w:jc w:val="center"/>
              <w:rPr>
                <w:rFonts w:ascii="Times New Roman" w:hAnsi="Times New Roman"/>
              </w:rPr>
            </w:pPr>
            <w:r w:rsidRPr="005C38DA">
              <w:rPr>
                <w:rFonts w:ascii="Times New Roman" w:hAnsi="Times New Roman"/>
              </w:rPr>
              <w:t>+23,5</w:t>
            </w:r>
          </w:p>
        </w:tc>
      </w:tr>
    </w:tbl>
    <w:p w:rsidR="00B37265" w:rsidRDefault="00B37265" w:rsidP="00B37265">
      <w:pPr>
        <w:pStyle w:val="a5"/>
        <w:spacing w:before="0" w:beforeAutospacing="0" w:after="0" w:afterAutospacing="0"/>
        <w:ind w:firstLine="709"/>
        <w:jc w:val="both"/>
        <w:rPr>
          <w:i/>
          <w:iCs/>
          <w:color w:val="000000"/>
          <w:lang w:val="uk-UA"/>
        </w:rPr>
      </w:pPr>
      <w:r w:rsidRPr="005C38DA">
        <w:rPr>
          <w:i/>
          <w:iCs/>
          <w:color w:val="000000"/>
          <w:lang w:val="uk-UA"/>
        </w:rPr>
        <w:t>Джерело: обраховано автором за даними підприємств</w:t>
      </w:r>
    </w:p>
    <w:p w:rsidR="00BE5A3A" w:rsidRDefault="00BE5A3A" w:rsidP="00B37265">
      <w:pPr>
        <w:pStyle w:val="a5"/>
        <w:spacing w:before="0" w:beforeAutospacing="0" w:after="0" w:afterAutospacing="0"/>
        <w:ind w:firstLine="709"/>
        <w:jc w:val="both"/>
        <w:rPr>
          <w:i/>
          <w:iCs/>
          <w:color w:val="000000"/>
          <w:lang w:val="uk-UA"/>
        </w:rPr>
      </w:pPr>
    </w:p>
    <w:p w:rsidR="00EB5B4E" w:rsidRPr="005714C9" w:rsidRDefault="00EB5B4E" w:rsidP="00EB5B4E">
      <w:pPr>
        <w:pStyle w:val="a5"/>
        <w:spacing w:before="0" w:beforeAutospacing="0" w:after="0" w:afterAutospacing="0" w:line="360" w:lineRule="auto"/>
        <w:ind w:firstLine="709"/>
        <w:jc w:val="both"/>
        <w:rPr>
          <w:color w:val="000000"/>
          <w:sz w:val="28"/>
          <w:szCs w:val="28"/>
          <w:lang w:val="uk-UA"/>
        </w:rPr>
      </w:pPr>
      <w:r w:rsidRPr="005714C9">
        <w:rPr>
          <w:color w:val="000000"/>
          <w:sz w:val="28"/>
          <w:szCs w:val="28"/>
          <w:lang w:val="uk-UA"/>
        </w:rPr>
        <w:t xml:space="preserve">Емпірична перевірка доводить, що розроблений економічний механізм володіє високим відновлювальним потенціалом. </w:t>
      </w:r>
      <w:r w:rsidRPr="0038218A">
        <w:rPr>
          <w:color w:val="000000"/>
          <w:sz w:val="28"/>
          <w:szCs w:val="28"/>
        </w:rPr>
        <w:t xml:space="preserve">Позитивна динаміка </w:t>
      </w:r>
      <w:r w:rsidRPr="0038218A">
        <w:rPr>
          <w:color w:val="000000"/>
          <w:sz w:val="28"/>
          <w:szCs w:val="28"/>
        </w:rPr>
        <w:lastRenderedPageBreak/>
        <w:t>вартості</w:t>
      </w:r>
      <w:r>
        <w:rPr>
          <w:rStyle w:val="apple-converted-space"/>
          <w:rFonts w:eastAsiaTheme="majorEastAsia"/>
          <w:color w:val="000000"/>
          <w:lang w:val="uk-UA"/>
        </w:rPr>
        <w:t xml:space="preserve"> </w:t>
      </w:r>
      <w:r w:rsidRPr="0038218A">
        <w:rPr>
          <w:rStyle w:val="apple-converted-space"/>
          <w:rFonts w:eastAsiaTheme="majorEastAsia"/>
          <w:color w:val="000000"/>
        </w:rPr>
        <w:t xml:space="preserve">V </w:t>
      </w:r>
      <w:r w:rsidRPr="0038218A">
        <w:rPr>
          <w:color w:val="000000"/>
          <w:sz w:val="28"/>
          <w:szCs w:val="28"/>
        </w:rPr>
        <w:t>(+4,2...23,5%) на фоні поступового повернення індексу</w:t>
      </w:r>
      <w:r>
        <w:rPr>
          <w:rStyle w:val="apple-converted-space"/>
          <w:rFonts w:eastAsiaTheme="majorEastAsia"/>
          <w:color w:val="000000"/>
        </w:rPr>
        <w:t xml:space="preserve"> IA </w:t>
      </w:r>
      <w:r w:rsidRPr="0038218A">
        <w:rPr>
          <w:color w:val="000000"/>
          <w:sz w:val="28"/>
          <w:szCs w:val="28"/>
        </w:rPr>
        <w:t>до цільових значень (0,73–0,81) підтверджує ефективність блоку зворотного зв’язку та PDCA-циклу.</w:t>
      </w:r>
    </w:p>
    <w:p w:rsidR="00B37265" w:rsidRDefault="00B37265" w:rsidP="00B37265">
      <w:pPr>
        <w:pStyle w:val="a5"/>
        <w:spacing w:before="0" w:beforeAutospacing="0" w:after="0" w:afterAutospacing="0" w:line="360" w:lineRule="auto"/>
        <w:jc w:val="center"/>
        <w:rPr>
          <w:color w:val="000000"/>
          <w:sz w:val="28"/>
          <w:szCs w:val="28"/>
          <w:lang w:val="uk-UA"/>
        </w:rPr>
      </w:pPr>
      <w:r w:rsidRPr="00EA4396">
        <w:rPr>
          <w:noProof/>
          <w:color w:val="000000" w:themeColor="text1"/>
          <w:sz w:val="28"/>
          <w:szCs w:val="28"/>
          <w:lang w:val="uk-UA" w:eastAsia="uk-UA"/>
          <w14:ligatures w14:val="standardContextual"/>
        </w:rPr>
        <w:drawing>
          <wp:inline distT="0" distB="0" distL="0" distR="0" wp14:anchorId="0187C5D6" wp14:editId="50BD5E3C">
            <wp:extent cx="5486400" cy="2892056"/>
            <wp:effectExtent l="0" t="0" r="12700" b="16510"/>
            <wp:docPr id="184277878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37265" w:rsidRDefault="00B37265" w:rsidP="00B37265">
      <w:pPr>
        <w:pStyle w:val="a5"/>
        <w:keepNext/>
        <w:spacing w:before="0" w:beforeAutospacing="0" w:after="0" w:afterAutospacing="0" w:line="360" w:lineRule="auto"/>
        <w:jc w:val="center"/>
        <w:rPr>
          <w:b/>
          <w:bCs/>
          <w:color w:val="000000"/>
          <w:sz w:val="28"/>
          <w:szCs w:val="28"/>
          <w:lang w:val="uk-UA"/>
        </w:rPr>
      </w:pPr>
      <w:r>
        <w:rPr>
          <w:b/>
          <w:bCs/>
          <w:color w:val="000000"/>
          <w:sz w:val="28"/>
          <w:szCs w:val="28"/>
          <w:lang w:val="uk-UA"/>
        </w:rPr>
        <w:t>Рис. 3.2 Інтегрований рівень інвестиційної привабливості (ІА)</w:t>
      </w:r>
      <w:r w:rsidRPr="00B37265">
        <w:rPr>
          <w:b/>
          <w:bCs/>
          <w:color w:val="000000"/>
          <w:sz w:val="28"/>
          <w:szCs w:val="28"/>
          <w:lang w:val="uk-UA"/>
        </w:rPr>
        <w:t xml:space="preserve"> </w:t>
      </w:r>
      <w:r w:rsidRPr="00142E9A">
        <w:rPr>
          <w:b/>
          <w:bCs/>
          <w:color w:val="000000"/>
          <w:sz w:val="28"/>
          <w:szCs w:val="28"/>
        </w:rPr>
        <w:t>Kernel</w:t>
      </w:r>
      <w:r w:rsidRPr="00B37265">
        <w:rPr>
          <w:b/>
          <w:bCs/>
          <w:color w:val="000000"/>
          <w:sz w:val="28"/>
          <w:szCs w:val="28"/>
          <w:lang w:val="uk-UA"/>
        </w:rPr>
        <w:t xml:space="preserve">, МХП та </w:t>
      </w:r>
      <w:r w:rsidRPr="00142E9A">
        <w:rPr>
          <w:b/>
          <w:bCs/>
          <w:color w:val="000000"/>
          <w:sz w:val="28"/>
          <w:szCs w:val="28"/>
        </w:rPr>
        <w:t>Astarta</w:t>
      </w:r>
      <w:r w:rsidRPr="00B37265">
        <w:rPr>
          <w:b/>
          <w:bCs/>
          <w:color w:val="000000"/>
          <w:sz w:val="28"/>
          <w:szCs w:val="28"/>
          <w:lang w:val="uk-UA"/>
        </w:rPr>
        <w:t>-</w:t>
      </w:r>
      <w:r w:rsidRPr="00142E9A">
        <w:rPr>
          <w:b/>
          <w:bCs/>
          <w:color w:val="000000"/>
          <w:sz w:val="28"/>
          <w:szCs w:val="28"/>
        </w:rPr>
        <w:t>Kyiv</w:t>
      </w:r>
      <w:r w:rsidRPr="00142E9A">
        <w:rPr>
          <w:b/>
          <w:bCs/>
          <w:color w:val="000000"/>
          <w:sz w:val="28"/>
          <w:szCs w:val="28"/>
          <w:lang w:val="uk-UA"/>
        </w:rPr>
        <w:t xml:space="preserve"> за 2021 – 2025 рр.</w:t>
      </w:r>
    </w:p>
    <w:p w:rsidR="00B37265" w:rsidRDefault="00B37265" w:rsidP="005C38DA">
      <w:pPr>
        <w:pStyle w:val="a5"/>
        <w:spacing w:before="0" w:beforeAutospacing="0" w:after="0" w:afterAutospacing="0" w:line="360" w:lineRule="auto"/>
        <w:ind w:firstLine="709"/>
        <w:jc w:val="both"/>
        <w:rPr>
          <w:i/>
          <w:iCs/>
          <w:color w:val="000000"/>
          <w:lang w:val="uk-UA"/>
        </w:rPr>
      </w:pPr>
      <w:r>
        <w:rPr>
          <w:i/>
          <w:iCs/>
          <w:color w:val="000000"/>
          <w:lang w:val="uk-UA"/>
        </w:rPr>
        <w:t>Джерело: обраховано автором за даними підприємств</w:t>
      </w:r>
    </w:p>
    <w:p w:rsidR="00B37265" w:rsidRDefault="00B37265" w:rsidP="005C38DA">
      <w:pPr>
        <w:pStyle w:val="a5"/>
        <w:spacing w:before="0" w:beforeAutospacing="0" w:after="0" w:afterAutospacing="0" w:line="360" w:lineRule="auto"/>
        <w:ind w:firstLine="709"/>
        <w:jc w:val="both"/>
        <w:rPr>
          <w:color w:val="000000"/>
          <w:sz w:val="28"/>
          <w:szCs w:val="28"/>
          <w:lang w:val="uk-UA"/>
        </w:rPr>
      </w:pPr>
    </w:p>
    <w:p w:rsidR="00B37265" w:rsidRDefault="00B37265" w:rsidP="005C38DA">
      <w:pPr>
        <w:pStyle w:val="a5"/>
        <w:spacing w:before="0" w:beforeAutospacing="0" w:after="0" w:afterAutospacing="0" w:line="360" w:lineRule="auto"/>
        <w:ind w:firstLine="709"/>
        <w:jc w:val="both"/>
        <w:rPr>
          <w:color w:val="000000"/>
          <w:sz w:val="28"/>
          <w:szCs w:val="28"/>
        </w:rPr>
      </w:pPr>
      <w:r w:rsidRPr="005714C9">
        <w:rPr>
          <w:color w:val="000000"/>
          <w:sz w:val="28"/>
          <w:szCs w:val="28"/>
          <w:lang w:val="uk-UA"/>
        </w:rPr>
        <w:t xml:space="preserve">Результати апробації демонструють, що механізм успішно виконує функцію трансформації ресурсного потенціалу у цінність, забезпечуючи сільськогосподарським підприємствам конкурентні переваги навіть за умов високої макроекономічної турбулентності. </w:t>
      </w:r>
      <w:r w:rsidRPr="0038218A">
        <w:rPr>
          <w:color w:val="000000"/>
          <w:sz w:val="28"/>
          <w:szCs w:val="28"/>
        </w:rPr>
        <w:t>Це дає підстави рекомендувати запропоновану модель для стратегічного управління інвестиційними процесами в аграрному секторі.</w:t>
      </w:r>
    </w:p>
    <w:p w:rsidR="00EB5B4E" w:rsidRDefault="00EB5B4E">
      <w:pPr>
        <w:spacing w:after="0" w:line="240" w:lineRule="auto"/>
        <w:rPr>
          <w:rFonts w:ascii="Times New Roman" w:eastAsia="Times New Roman" w:hAnsi="Times New Roman"/>
          <w:b/>
          <w:bCs/>
          <w:color w:val="000000"/>
          <w:sz w:val="28"/>
          <w:szCs w:val="28"/>
          <w:lang w:val="uk-UA" w:eastAsia="ru-RU"/>
        </w:rPr>
      </w:pPr>
    </w:p>
    <w:p w:rsidR="00B37265" w:rsidRPr="00307299" w:rsidRDefault="00B37265" w:rsidP="005C38DA">
      <w:pPr>
        <w:pStyle w:val="a5"/>
        <w:spacing w:before="0" w:beforeAutospacing="0" w:after="0" w:afterAutospacing="0" w:line="360" w:lineRule="auto"/>
        <w:ind w:firstLine="709"/>
        <w:jc w:val="both"/>
        <w:rPr>
          <w:b/>
          <w:bCs/>
          <w:color w:val="000000"/>
          <w:sz w:val="28"/>
          <w:szCs w:val="28"/>
          <w:lang w:val="uk-UA"/>
        </w:rPr>
      </w:pPr>
      <w:r w:rsidRPr="00212E70">
        <w:rPr>
          <w:b/>
          <w:bCs/>
          <w:color w:val="000000"/>
          <w:sz w:val="28"/>
          <w:szCs w:val="28"/>
          <w:lang w:val="uk-UA"/>
        </w:rPr>
        <w:t>3.2</w:t>
      </w:r>
      <w:r>
        <w:rPr>
          <w:b/>
          <w:bCs/>
          <w:color w:val="000000"/>
          <w:sz w:val="32"/>
          <w:szCs w:val="32"/>
          <w:lang w:val="uk-UA"/>
        </w:rPr>
        <w:t xml:space="preserve"> </w:t>
      </w:r>
      <w:r w:rsidR="000F51EE" w:rsidRPr="000F51EE">
        <w:rPr>
          <w:b/>
          <w:sz w:val="28"/>
          <w:szCs w:val="28"/>
          <w:lang w:val="uk-UA"/>
        </w:rPr>
        <w:t>Матричний підхід до стратегі</w:t>
      </w:r>
      <w:r w:rsidR="000F51EE">
        <w:rPr>
          <w:b/>
          <w:sz w:val="28"/>
          <w:szCs w:val="28"/>
          <w:lang w:val="uk-UA"/>
        </w:rPr>
        <w:t>ї</w:t>
      </w:r>
      <w:r w:rsidR="000F51EE" w:rsidRPr="000F51EE">
        <w:rPr>
          <w:b/>
          <w:sz w:val="28"/>
          <w:szCs w:val="28"/>
          <w:lang w:val="uk-UA"/>
        </w:rPr>
        <w:t xml:space="preserve"> </w:t>
      </w:r>
      <w:r w:rsidR="000F51EE" w:rsidRPr="000F51EE">
        <w:rPr>
          <w:b/>
          <w:color w:val="000000"/>
          <w:sz w:val="28"/>
          <w:szCs w:val="28"/>
          <w:lang w:val="uk-UA"/>
        </w:rPr>
        <w:t>формування економічного механізму розвитку інвестиційної привабливості сільськогосподарських підприємств</w:t>
      </w:r>
      <w:r w:rsidRPr="00EB5B4E">
        <w:rPr>
          <w:lang w:val="uk-UA"/>
        </w:rPr>
        <w:t xml:space="preserve"> </w:t>
      </w:r>
      <w:r w:rsidRPr="00EB5B4E">
        <w:rPr>
          <w:sz w:val="28"/>
          <w:szCs w:val="28"/>
          <w:lang w:val="uk-UA"/>
        </w:rPr>
        <w:t>[2]</w:t>
      </w:r>
      <w:r w:rsidRPr="00EB5B4E">
        <w:rPr>
          <w:lang w:val="uk-UA"/>
        </w:rPr>
        <w:t>.</w:t>
      </w:r>
    </w:p>
    <w:p w:rsidR="00B37265" w:rsidRDefault="00B37265" w:rsidP="005C38DA">
      <w:pPr>
        <w:pStyle w:val="a5"/>
        <w:spacing w:before="0" w:beforeAutospacing="0" w:after="0" w:afterAutospacing="0" w:line="360" w:lineRule="auto"/>
        <w:ind w:firstLine="709"/>
        <w:jc w:val="both"/>
        <w:rPr>
          <w:color w:val="000000"/>
          <w:sz w:val="28"/>
          <w:szCs w:val="28"/>
          <w:lang w:val="uk-UA"/>
        </w:rPr>
      </w:pPr>
    </w:p>
    <w:p w:rsidR="00B37265" w:rsidRPr="00F05F5E" w:rsidRDefault="00B37265" w:rsidP="005C38DA">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 xml:space="preserve">Сучасна парадигма розвитку агропродовольчого сектору України в умовах глобальної нестабільності вимагає відмови від фрагментарних </w:t>
      </w:r>
      <w:r w:rsidRPr="00B37265">
        <w:rPr>
          <w:color w:val="000000"/>
          <w:sz w:val="28"/>
          <w:szCs w:val="28"/>
          <w:lang w:val="uk-UA"/>
        </w:rPr>
        <w:lastRenderedPageBreak/>
        <w:t xml:space="preserve">управлінських впливів на користь системного вдосконалення інструментарію реалізації економічного механізму розвитку інвестиційної привабливості. </w:t>
      </w:r>
      <w:r w:rsidRPr="001F2DCF">
        <w:rPr>
          <w:color w:val="000000"/>
          <w:sz w:val="28"/>
          <w:szCs w:val="28"/>
        </w:rPr>
        <w:t xml:space="preserve">Потреба в модернізації методичного забезпечення, описаного на рис. Е.1 (додаток Е), зумовлена необхідністю подолання розриву між теоретичними моделями оцінки та практичними потребами стейкхолдерів у реальному часі. </w:t>
      </w:r>
      <w:r>
        <w:rPr>
          <w:color w:val="000000"/>
          <w:sz w:val="28"/>
          <w:szCs w:val="28"/>
          <w:lang w:val="uk-UA"/>
        </w:rPr>
        <w:t>Відповідно, запропонований в попередньому розділі</w:t>
      </w:r>
      <w:r w:rsidRPr="001F2DCF">
        <w:rPr>
          <w:color w:val="000000"/>
          <w:sz w:val="28"/>
          <w:szCs w:val="28"/>
        </w:rPr>
        <w:t xml:space="preserve"> інструментарій не може бути статичним</w:t>
      </w:r>
      <w:r>
        <w:rPr>
          <w:color w:val="000000"/>
          <w:sz w:val="28"/>
          <w:szCs w:val="28"/>
          <w:lang w:val="uk-UA"/>
        </w:rPr>
        <w:t>,</w:t>
      </w:r>
      <w:r w:rsidRPr="001F2DCF">
        <w:rPr>
          <w:color w:val="000000"/>
          <w:sz w:val="28"/>
          <w:szCs w:val="28"/>
        </w:rPr>
        <w:t xml:space="preserve"> він має функціонувати як динамічна оболонка, що адаптує внутрішні ресурси підприємства (фінансові, виробничі, інтелектуальні) до зовнішнього середовища, мінімізуючи при цьому вартість капіталу та максимізуючи ринкову </w:t>
      </w:r>
      <w:r w:rsidRPr="00F05F5E">
        <w:rPr>
          <w:color w:val="000000"/>
          <w:sz w:val="28"/>
          <w:szCs w:val="28"/>
        </w:rPr>
        <w:t>вартість</w:t>
      </w:r>
      <w:r w:rsidR="004009DE">
        <w:rPr>
          <w:color w:val="000000"/>
          <w:sz w:val="28"/>
          <w:szCs w:val="28"/>
        </w:rPr>
        <w:t xml:space="preserve"> [37, 44]</w:t>
      </w:r>
      <w:r>
        <w:t>.</w:t>
      </w:r>
    </w:p>
    <w:p w:rsidR="00B37265" w:rsidRPr="00B37265" w:rsidRDefault="00B37265" w:rsidP="005C38DA">
      <w:pPr>
        <w:pStyle w:val="a5"/>
        <w:spacing w:before="0" w:beforeAutospacing="0" w:after="0" w:afterAutospacing="0" w:line="360" w:lineRule="auto"/>
        <w:ind w:firstLine="709"/>
        <w:jc w:val="both"/>
        <w:rPr>
          <w:color w:val="000000"/>
          <w:sz w:val="28"/>
          <w:szCs w:val="28"/>
          <w:lang w:val="uk-UA"/>
        </w:rPr>
      </w:pPr>
      <w:r w:rsidRPr="00F05F5E">
        <w:rPr>
          <w:color w:val="000000"/>
          <w:sz w:val="28"/>
          <w:szCs w:val="28"/>
        </w:rPr>
        <w:t xml:space="preserve">Удосконалення інструментарію в межах запропонованого алгоритму (рис. Ж.1 (додаток Ж)) передбачає перехід до </w:t>
      </w:r>
      <w:r w:rsidRPr="00F05F5E">
        <w:rPr>
          <w:color w:val="000000"/>
          <w:sz w:val="28"/>
          <w:szCs w:val="28"/>
          <w:lang w:val="uk-UA"/>
        </w:rPr>
        <w:t>проактивної</w:t>
      </w:r>
      <w:r w:rsidRPr="00F05F5E">
        <w:rPr>
          <w:color w:val="000000"/>
          <w:sz w:val="28"/>
          <w:szCs w:val="28"/>
        </w:rPr>
        <w:t xml:space="preserve"> моделі управління, де кожен етап — від діагностики до моніторингу — підкріплюється специфічними методами аналізу та корекції. Це дозволяє перетворити економічний механізм із пасивного реєстратора фінансового стану на активний драйвер зростання капіталізації.</w:t>
      </w:r>
      <w:r w:rsidRPr="00F05F5E">
        <w:rPr>
          <w:color w:val="000000"/>
          <w:sz w:val="28"/>
          <w:szCs w:val="28"/>
          <w:lang w:val="uk-UA"/>
        </w:rPr>
        <w:t xml:space="preserve"> </w:t>
      </w:r>
      <w:r>
        <w:rPr>
          <w:color w:val="000000"/>
          <w:sz w:val="28"/>
          <w:szCs w:val="28"/>
          <w:lang w:val="uk-UA"/>
        </w:rPr>
        <w:t>Відповідно, запропоновано</w:t>
      </w:r>
      <w:r w:rsidRPr="00B37265">
        <w:rPr>
          <w:color w:val="000000"/>
          <w:sz w:val="28"/>
          <w:szCs w:val="28"/>
          <w:lang w:val="uk-UA"/>
        </w:rPr>
        <w:t xml:space="preserve"> вдосконален</w:t>
      </w:r>
      <w:r>
        <w:rPr>
          <w:color w:val="000000"/>
          <w:sz w:val="28"/>
          <w:szCs w:val="28"/>
          <w:lang w:val="uk-UA"/>
        </w:rPr>
        <w:t>ити</w:t>
      </w:r>
      <w:r w:rsidRPr="00B37265">
        <w:rPr>
          <w:color w:val="000000"/>
          <w:sz w:val="28"/>
          <w:szCs w:val="28"/>
          <w:lang w:val="uk-UA"/>
        </w:rPr>
        <w:t xml:space="preserve"> методичн</w:t>
      </w:r>
      <w:r>
        <w:rPr>
          <w:color w:val="000000"/>
          <w:sz w:val="28"/>
          <w:szCs w:val="28"/>
          <w:lang w:val="uk-UA"/>
        </w:rPr>
        <w:t>ий</w:t>
      </w:r>
      <w:r w:rsidRPr="00B37265">
        <w:rPr>
          <w:color w:val="000000"/>
          <w:sz w:val="28"/>
          <w:szCs w:val="28"/>
          <w:lang w:val="uk-UA"/>
        </w:rPr>
        <w:t xml:space="preserve"> підх</w:t>
      </w:r>
      <w:r>
        <w:rPr>
          <w:color w:val="000000"/>
          <w:sz w:val="28"/>
          <w:szCs w:val="28"/>
          <w:lang w:val="uk-UA"/>
        </w:rPr>
        <w:t>ід</w:t>
      </w:r>
      <w:r w:rsidRPr="00B37265">
        <w:rPr>
          <w:color w:val="000000"/>
          <w:sz w:val="28"/>
          <w:szCs w:val="28"/>
          <w:lang w:val="uk-UA"/>
        </w:rPr>
        <w:t xml:space="preserve"> </w:t>
      </w:r>
      <w:r>
        <w:rPr>
          <w:color w:val="000000"/>
          <w:sz w:val="28"/>
          <w:szCs w:val="28"/>
          <w:lang w:val="uk-UA"/>
        </w:rPr>
        <w:t>за рахунок</w:t>
      </w:r>
      <w:r w:rsidRPr="00B37265">
        <w:rPr>
          <w:color w:val="000000"/>
          <w:sz w:val="28"/>
          <w:szCs w:val="28"/>
          <w:lang w:val="uk-UA"/>
        </w:rPr>
        <w:t xml:space="preserve"> інтеграції концепції вартісно-орієнтованого управління (</w:t>
      </w:r>
      <w:r w:rsidRPr="00F05F5E">
        <w:rPr>
          <w:color w:val="000000"/>
          <w:sz w:val="28"/>
          <w:szCs w:val="28"/>
        </w:rPr>
        <w:t>VBM</w:t>
      </w:r>
      <w:r w:rsidRPr="00B37265">
        <w:rPr>
          <w:color w:val="000000"/>
          <w:sz w:val="28"/>
          <w:szCs w:val="28"/>
          <w:lang w:val="uk-UA"/>
        </w:rPr>
        <w:t>) безпосередньо в контур прийняття інвестиційних рішень. Це досягається через розробку та впровадження багатокритеріальної моделі оптимізації інвестиційного профілю, яка базується на синхронізації темпів приросту фундаментальної вартості (</w:t>
      </w:r>
      <w:r w:rsidRPr="00F05F5E">
        <w:rPr>
          <w:color w:val="000000"/>
          <w:sz w:val="28"/>
          <w:szCs w:val="28"/>
        </w:rPr>
        <w:t>V</w:t>
      </w:r>
      <w:r w:rsidRPr="00B37265">
        <w:rPr>
          <w:color w:val="000000"/>
          <w:sz w:val="28"/>
          <w:szCs w:val="28"/>
          <w:lang w:val="uk-UA"/>
        </w:rPr>
        <w:t>) із темпами зниження середньозваженої вартості капіталу (</w:t>
      </w:r>
      <w:r w:rsidRPr="00F05F5E">
        <w:rPr>
          <w:color w:val="000000"/>
          <w:sz w:val="28"/>
          <w:szCs w:val="28"/>
        </w:rPr>
        <w:t>WACC</w:t>
      </w:r>
      <w:r w:rsidRPr="00B37265">
        <w:rPr>
          <w:color w:val="000000"/>
          <w:sz w:val="28"/>
          <w:szCs w:val="28"/>
          <w:lang w:val="uk-UA"/>
        </w:rPr>
        <w:t>)</w:t>
      </w:r>
      <w:r>
        <w:rPr>
          <w:color w:val="000000"/>
          <w:sz w:val="28"/>
          <w:szCs w:val="28"/>
          <w:lang w:val="uk-UA"/>
        </w:rPr>
        <w:t xml:space="preserve"> (табл. 3. 4)</w:t>
      </w:r>
      <w:r w:rsidRPr="00B37265">
        <w:rPr>
          <w:color w:val="000000"/>
          <w:sz w:val="28"/>
          <w:szCs w:val="28"/>
          <w:lang w:val="uk-UA"/>
        </w:rPr>
        <w:t>.</w:t>
      </w:r>
    </w:p>
    <w:p w:rsidR="00B37265" w:rsidRDefault="00B37265" w:rsidP="005C38DA">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В основі пропонованого підходу лежить матрична декомпозиція стратегічного вибору, яка дозволяє менеджменту </w:t>
      </w:r>
      <w:r>
        <w:rPr>
          <w:color w:val="000000"/>
          <w:sz w:val="28"/>
          <w:szCs w:val="28"/>
          <w:lang w:val="uk-UA"/>
        </w:rPr>
        <w:t xml:space="preserve">підприємства </w:t>
      </w:r>
      <w:r w:rsidRPr="00B37265">
        <w:rPr>
          <w:color w:val="000000"/>
          <w:sz w:val="28"/>
          <w:szCs w:val="28"/>
          <w:lang w:val="uk-UA"/>
        </w:rPr>
        <w:t>чітко ідентифікувати зону ефективності функціонування механізму</w:t>
      </w:r>
      <w:r w:rsidR="004009DE">
        <w:rPr>
          <w:color w:val="000000"/>
          <w:sz w:val="28"/>
          <w:szCs w:val="28"/>
          <w:lang w:val="uk-UA"/>
        </w:rPr>
        <w:t xml:space="preserve"> [159]</w:t>
      </w:r>
      <w:r w:rsidRPr="004009DE">
        <w:rPr>
          <w:lang w:val="uk-UA"/>
        </w:rPr>
        <w:t>.</w:t>
      </w:r>
    </w:p>
    <w:p w:rsidR="00B37265" w:rsidRPr="008129CE" w:rsidRDefault="00B37265" w:rsidP="005C38DA">
      <w:pPr>
        <w:pStyle w:val="a5"/>
        <w:spacing w:before="0" w:beforeAutospacing="0" w:after="0" w:afterAutospacing="0" w:line="360" w:lineRule="auto"/>
        <w:ind w:firstLine="709"/>
        <w:jc w:val="both"/>
        <w:rPr>
          <w:color w:val="000000"/>
          <w:sz w:val="28"/>
          <w:szCs w:val="28"/>
        </w:rPr>
      </w:pPr>
      <w:r w:rsidRPr="008129CE">
        <w:rPr>
          <w:color w:val="000000"/>
          <w:sz w:val="28"/>
          <w:szCs w:val="28"/>
        </w:rPr>
        <w:t>У межах даного підходу, управління інвестиційною привабливістю розглядається як циклічний процес самовдосконалення системи за принципом PDCA (рис. Ж.1 (додаток Ж)). Науково обґрунтовано, що для забезпечення високого рівня</w:t>
      </w:r>
      <w:r>
        <w:rPr>
          <w:rStyle w:val="apple-converted-space"/>
          <w:rFonts w:eastAsiaTheme="majorEastAsia"/>
          <w:color w:val="000000"/>
          <w:lang w:val="uk-UA"/>
        </w:rPr>
        <w:t xml:space="preserve"> ІА </w:t>
      </w:r>
      <w:r w:rsidRPr="008129CE">
        <w:rPr>
          <w:color w:val="000000"/>
          <w:sz w:val="28"/>
          <w:szCs w:val="28"/>
        </w:rPr>
        <w:t xml:space="preserve">необхідно змістити акцент із блоку «Реалізація» на блоки «Планування та проектування» (Етап 3.2 на рис. Е.1 </w:t>
      </w:r>
      <w:r w:rsidRPr="008129CE">
        <w:rPr>
          <w:color w:val="000000"/>
          <w:sz w:val="28"/>
          <w:szCs w:val="28"/>
        </w:rPr>
        <w:lastRenderedPageBreak/>
        <w:t>(додаток Е)) та «Моніторинг та контроль» (Етап 3.5 на рис. Е.1 (додаток Е)). Це дозволяє мінімізувати ентропію системи та підвищити точність прогнозних моделей.</w:t>
      </w:r>
    </w:p>
    <w:p w:rsidR="00B37265" w:rsidRDefault="00B37265" w:rsidP="00B37265">
      <w:pPr>
        <w:pStyle w:val="a5"/>
        <w:keepNext/>
        <w:spacing w:before="0" w:beforeAutospacing="0" w:after="0" w:afterAutospacing="0" w:line="360" w:lineRule="auto"/>
        <w:ind w:firstLine="709"/>
        <w:jc w:val="right"/>
        <w:rPr>
          <w:color w:val="000000"/>
          <w:sz w:val="28"/>
          <w:szCs w:val="28"/>
          <w:lang w:val="uk-UA"/>
        </w:rPr>
      </w:pPr>
      <w:r>
        <w:rPr>
          <w:color w:val="000000"/>
          <w:sz w:val="28"/>
          <w:szCs w:val="28"/>
          <w:lang w:val="uk-UA"/>
        </w:rPr>
        <w:t>Таблиця 3.3</w:t>
      </w:r>
    </w:p>
    <w:p w:rsidR="00B37265" w:rsidRPr="00D961A5" w:rsidRDefault="00B37265" w:rsidP="00B37265">
      <w:pPr>
        <w:pStyle w:val="a5"/>
        <w:spacing w:before="0" w:beforeAutospacing="0" w:after="0" w:afterAutospacing="0" w:line="360" w:lineRule="auto"/>
        <w:jc w:val="center"/>
        <w:rPr>
          <w:b/>
          <w:bCs/>
          <w:color w:val="000000"/>
          <w:sz w:val="28"/>
          <w:szCs w:val="28"/>
          <w:lang w:val="uk-UA"/>
        </w:rPr>
      </w:pPr>
      <w:r>
        <w:rPr>
          <w:b/>
          <w:bCs/>
          <w:color w:val="000000"/>
          <w:sz w:val="28"/>
          <w:szCs w:val="28"/>
          <w:lang w:val="uk-UA"/>
        </w:rPr>
        <w:t>Стратегічне реагування економічного механізму на</w:t>
      </w:r>
      <w:r w:rsidRPr="00B37265">
        <w:rPr>
          <w:b/>
          <w:bCs/>
          <w:color w:val="000000"/>
          <w:sz w:val="28"/>
          <w:szCs w:val="28"/>
          <w:lang w:val="uk-UA"/>
        </w:rPr>
        <w:t xml:space="preserve"> </w:t>
      </w:r>
      <w:r>
        <w:rPr>
          <w:b/>
          <w:bCs/>
          <w:color w:val="000000"/>
          <w:sz w:val="28"/>
          <w:szCs w:val="28"/>
          <w:lang w:val="uk-UA"/>
        </w:rPr>
        <w:t>зміну інвестиційної привабливості агропідприємства</w:t>
      </w:r>
    </w:p>
    <w:tbl>
      <w:tblPr>
        <w:tblStyle w:val="a4"/>
        <w:tblW w:w="0" w:type="auto"/>
        <w:tblLook w:val="04A0" w:firstRow="1" w:lastRow="0" w:firstColumn="1" w:lastColumn="0" w:noHBand="0" w:noVBand="1"/>
      </w:tblPr>
      <w:tblGrid>
        <w:gridCol w:w="2015"/>
        <w:gridCol w:w="1950"/>
        <w:gridCol w:w="1833"/>
        <w:gridCol w:w="2003"/>
        <w:gridCol w:w="1769"/>
      </w:tblGrid>
      <w:tr w:rsidR="00B37265" w:rsidRPr="00214591" w:rsidTr="00212E70">
        <w:trPr>
          <w:cantSplit/>
          <w:tblHeader/>
        </w:trPr>
        <w:tc>
          <w:tcPr>
            <w:tcW w:w="2789"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Тип стратегії</w:t>
            </w:r>
          </w:p>
        </w:tc>
        <w:tc>
          <w:tcPr>
            <w:tcW w:w="2789"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Стан інструментально – методичного блоку</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Прогностичний рівень індексу ІА</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Пріоритетний інструментарій реалізації</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Управлінський фокус</w:t>
            </w:r>
          </w:p>
        </w:tc>
      </w:tr>
      <w:tr w:rsidR="00B37265" w:rsidRPr="003E104E" w:rsidTr="00212E70">
        <w:trPr>
          <w:cantSplit/>
        </w:trPr>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rPr>
              <w:t>I. Агресивне зростання (</w:t>
            </w:r>
            <w:r>
              <w:rPr>
                <w:color w:val="000000"/>
                <w:sz w:val="28"/>
                <w:szCs w:val="28"/>
                <w:lang w:val="uk-UA"/>
              </w:rPr>
              <w:t>л</w:t>
            </w:r>
            <w:r w:rsidRPr="00214591">
              <w:rPr>
                <w:color w:val="000000"/>
                <w:sz w:val="28"/>
                <w:szCs w:val="28"/>
              </w:rPr>
              <w:t>ідер)</w:t>
            </w:r>
          </w:p>
        </w:tc>
        <w:tc>
          <w:tcPr>
            <w:tcW w:w="2789" w:type="dxa"/>
          </w:tcPr>
          <w:p w:rsidR="00B37265" w:rsidRPr="00214591" w:rsidRDefault="00B37265" w:rsidP="00B37265">
            <w:pPr>
              <w:pStyle w:val="a5"/>
              <w:spacing w:before="0" w:beforeAutospacing="0" w:after="0" w:afterAutospacing="0"/>
              <w:jc w:val="both"/>
              <w:rPr>
                <w:color w:val="000000"/>
                <w:sz w:val="28"/>
                <w:szCs w:val="28"/>
                <w:vertAlign w:val="subscript"/>
                <w:lang w:val="uk-UA"/>
              </w:rPr>
            </w:pPr>
            <w:r w:rsidRPr="00214591">
              <w:rPr>
                <w:color w:val="000000"/>
                <w:sz w:val="28"/>
                <w:szCs w:val="28"/>
                <w:lang w:val="uk-UA"/>
              </w:rPr>
              <w:t xml:space="preserve">Висока цифровізація, мінімальний ризик </w:t>
            </w:r>
            <w:r w:rsidRPr="00214591">
              <w:rPr>
                <w:color w:val="000000"/>
                <w:sz w:val="28"/>
                <w:szCs w:val="28"/>
                <w:lang w:val="en-US"/>
              </w:rPr>
              <w:t>R</w:t>
            </w:r>
            <w:r w:rsidRPr="00214591">
              <w:rPr>
                <w:color w:val="000000"/>
                <w:sz w:val="28"/>
                <w:szCs w:val="28"/>
                <w:vertAlign w:val="subscript"/>
                <w:lang w:val="en-US"/>
              </w:rPr>
              <w:t>total</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0,8 – 1,0</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Опціони на реальні інвестиції, ІРО, міжнародні кредитні лінії</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Максиміз</w:t>
            </w:r>
            <w:r>
              <w:rPr>
                <w:color w:val="000000"/>
                <w:sz w:val="28"/>
                <w:szCs w:val="28"/>
                <w:lang w:val="uk-UA"/>
              </w:rPr>
              <w:t>а</w:t>
            </w:r>
            <w:r w:rsidRPr="00214591">
              <w:rPr>
                <w:color w:val="000000"/>
                <w:sz w:val="28"/>
                <w:szCs w:val="28"/>
                <w:lang w:val="uk-UA"/>
              </w:rPr>
              <w:t xml:space="preserve">ція ринкової капіталізації та  </w:t>
            </w:r>
            <w:r w:rsidRPr="00214591">
              <w:rPr>
                <w:color w:val="000000"/>
                <w:sz w:val="28"/>
                <w:szCs w:val="28"/>
                <w:lang w:val="en-US"/>
              </w:rPr>
              <w:t>ESG</w:t>
            </w:r>
            <w:r w:rsidRPr="00214591">
              <w:rPr>
                <w:color w:val="000000"/>
                <w:sz w:val="28"/>
                <w:szCs w:val="28"/>
                <w:lang w:val="uk-UA"/>
              </w:rPr>
              <w:t xml:space="preserve"> - лідерства</w:t>
            </w:r>
          </w:p>
        </w:tc>
      </w:tr>
      <w:tr w:rsidR="00B37265" w:rsidRPr="003E104E" w:rsidTr="00212E70">
        <w:trPr>
          <w:cantSplit/>
        </w:trPr>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ІІ. Консолідація (адаптивний)</w:t>
            </w:r>
          </w:p>
        </w:tc>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 xml:space="preserve">Сформована база знань, але високий </w:t>
            </w:r>
            <w:r w:rsidRPr="00214591">
              <w:rPr>
                <w:color w:val="000000"/>
                <w:sz w:val="28"/>
                <w:szCs w:val="28"/>
                <w:lang w:val="en-US"/>
              </w:rPr>
              <w:t>WACC</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0,65 – 0,79</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 xml:space="preserve">Хеджування ризиків, оптимізація структури </w:t>
            </w:r>
            <w:r w:rsidRPr="00214591">
              <w:rPr>
                <w:color w:val="000000"/>
                <w:sz w:val="28"/>
                <w:szCs w:val="28"/>
                <w:lang w:val="en-US"/>
              </w:rPr>
              <w:t>D</w:t>
            </w:r>
            <w:r w:rsidRPr="00214591">
              <w:rPr>
                <w:color w:val="000000"/>
                <w:sz w:val="28"/>
                <w:szCs w:val="28"/>
                <w:lang w:val="uk-UA"/>
              </w:rPr>
              <w:t>/</w:t>
            </w:r>
            <w:r w:rsidRPr="00214591">
              <w:rPr>
                <w:color w:val="000000"/>
                <w:sz w:val="28"/>
                <w:szCs w:val="28"/>
                <w:lang w:val="en-US"/>
              </w:rPr>
              <w:t>E</w:t>
            </w:r>
            <w:r w:rsidRPr="00214591">
              <w:rPr>
                <w:color w:val="000000"/>
                <w:sz w:val="28"/>
                <w:szCs w:val="28"/>
                <w:lang w:val="uk-UA"/>
              </w:rPr>
              <w:t>, цифрові платформи</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Стабілізація вартості капіталу та зміцнення довіри інвесторів</w:t>
            </w:r>
          </w:p>
        </w:tc>
      </w:tr>
      <w:tr w:rsidR="00B37265" w:rsidRPr="00214591" w:rsidTr="00212E70">
        <w:trPr>
          <w:cantSplit/>
        </w:trPr>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ІІІ. Реструктуризація (трансформація)</w:t>
            </w:r>
          </w:p>
        </w:tc>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Дефіцит ресурсів, низька ефективність процесів</w:t>
            </w:r>
          </w:p>
        </w:tc>
        <w:tc>
          <w:tcPr>
            <w:tcW w:w="2790" w:type="dxa"/>
          </w:tcPr>
          <w:p w:rsidR="00B37265" w:rsidRPr="00214591" w:rsidRDefault="00B37265" w:rsidP="00B37265">
            <w:pPr>
              <w:pStyle w:val="a5"/>
              <w:spacing w:before="0" w:beforeAutospacing="0" w:after="0" w:afterAutospacing="0"/>
              <w:jc w:val="center"/>
              <w:rPr>
                <w:color w:val="000000"/>
                <w:sz w:val="28"/>
                <w:szCs w:val="28"/>
                <w:lang w:val="uk-UA"/>
              </w:rPr>
            </w:pPr>
            <w:r w:rsidRPr="00214591">
              <w:rPr>
                <w:color w:val="000000"/>
                <w:sz w:val="28"/>
                <w:szCs w:val="28"/>
                <w:lang w:val="uk-UA"/>
              </w:rPr>
              <w:t>0,4 – 0,64</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Реінжиніринг залучення стратегічних партнерів, лізинг</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 xml:space="preserve">Оновлення виробничо – технологічних ресурсів, підвищення </w:t>
            </w:r>
            <w:r w:rsidRPr="00214591">
              <w:rPr>
                <w:color w:val="000000"/>
                <w:sz w:val="28"/>
                <w:szCs w:val="28"/>
                <w:lang w:val="en-US"/>
              </w:rPr>
              <w:t>ROA</w:t>
            </w:r>
          </w:p>
        </w:tc>
      </w:tr>
      <w:tr w:rsidR="00B37265" w:rsidRPr="00214591" w:rsidTr="00212E70">
        <w:trPr>
          <w:cantSplit/>
        </w:trPr>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en-US"/>
              </w:rPr>
              <w:t>IV</w:t>
            </w:r>
            <w:r w:rsidRPr="00214591">
              <w:rPr>
                <w:color w:val="000000"/>
                <w:sz w:val="28"/>
                <w:szCs w:val="28"/>
                <w:lang w:val="uk-UA"/>
              </w:rPr>
              <w:t>. Антикризовий (захисний)</w:t>
            </w:r>
          </w:p>
        </w:tc>
        <w:tc>
          <w:tcPr>
            <w:tcW w:w="2789"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Критичний рівень ризиків, відсутність інструментів моніторингу</w:t>
            </w:r>
          </w:p>
        </w:tc>
        <w:tc>
          <w:tcPr>
            <w:tcW w:w="2790" w:type="dxa"/>
          </w:tcPr>
          <w:p w:rsidR="00B37265" w:rsidRPr="00214591" w:rsidRDefault="00B37265" w:rsidP="00B37265">
            <w:pPr>
              <w:pStyle w:val="a5"/>
              <w:spacing w:before="0" w:beforeAutospacing="0" w:after="0" w:afterAutospacing="0"/>
              <w:jc w:val="center"/>
              <w:rPr>
                <w:color w:val="000000"/>
                <w:sz w:val="28"/>
                <w:szCs w:val="28"/>
                <w:lang w:val="en-US"/>
              </w:rPr>
            </w:pPr>
            <w:r w:rsidRPr="00214591">
              <w:rPr>
                <w:color w:val="000000"/>
                <w:sz w:val="28"/>
                <w:szCs w:val="28"/>
                <w:lang w:val="en-US"/>
              </w:rPr>
              <w:t>&lt;0</w:t>
            </w:r>
            <w:r w:rsidRPr="00214591">
              <w:rPr>
                <w:color w:val="000000"/>
                <w:sz w:val="28"/>
                <w:szCs w:val="28"/>
                <w:lang w:val="uk-UA"/>
              </w:rPr>
              <w:t>,</w:t>
            </w:r>
            <w:r w:rsidRPr="00214591">
              <w:rPr>
                <w:color w:val="000000"/>
                <w:sz w:val="28"/>
                <w:szCs w:val="28"/>
                <w:lang w:val="en-US"/>
              </w:rPr>
              <w:t>4</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Система раннього попередження, реструктуризація боргів, санація</w:t>
            </w:r>
          </w:p>
        </w:tc>
        <w:tc>
          <w:tcPr>
            <w:tcW w:w="2790" w:type="dxa"/>
          </w:tcPr>
          <w:p w:rsidR="00B37265" w:rsidRPr="00214591" w:rsidRDefault="00B37265" w:rsidP="00B37265">
            <w:pPr>
              <w:pStyle w:val="a5"/>
              <w:spacing w:before="0" w:beforeAutospacing="0" w:after="0" w:afterAutospacing="0"/>
              <w:jc w:val="both"/>
              <w:rPr>
                <w:color w:val="000000"/>
                <w:sz w:val="28"/>
                <w:szCs w:val="28"/>
                <w:lang w:val="uk-UA"/>
              </w:rPr>
            </w:pPr>
            <w:r w:rsidRPr="00214591">
              <w:rPr>
                <w:color w:val="000000"/>
                <w:sz w:val="28"/>
                <w:szCs w:val="28"/>
                <w:lang w:val="uk-UA"/>
              </w:rPr>
              <w:t>Збереження ліквідності та виживання підприємства</w:t>
            </w:r>
          </w:p>
        </w:tc>
      </w:tr>
    </w:tbl>
    <w:p w:rsidR="00B37265" w:rsidRPr="00214591" w:rsidRDefault="00B37265" w:rsidP="00B37265">
      <w:pPr>
        <w:pStyle w:val="a5"/>
        <w:spacing w:before="0" w:beforeAutospacing="0" w:after="0" w:afterAutospacing="0"/>
        <w:ind w:firstLine="709"/>
        <w:jc w:val="both"/>
        <w:rPr>
          <w:i/>
          <w:iCs/>
          <w:color w:val="000000"/>
          <w:lang w:val="uk-UA"/>
        </w:rPr>
      </w:pPr>
      <w:r>
        <w:rPr>
          <w:i/>
          <w:iCs/>
          <w:color w:val="000000"/>
          <w:lang w:val="uk-UA"/>
        </w:rPr>
        <w:t>Джерело: розробка автора</w:t>
      </w:r>
    </w:p>
    <w:p w:rsidR="00B37265" w:rsidRPr="00142E9A" w:rsidRDefault="00B37265" w:rsidP="00B37265">
      <w:pPr>
        <w:spacing w:line="360" w:lineRule="auto"/>
        <w:jc w:val="both"/>
        <w:rPr>
          <w:rFonts w:eastAsiaTheme="minorEastAsia"/>
          <w:sz w:val="28"/>
          <w:szCs w:val="28"/>
          <w:lang w:val="uk-UA"/>
        </w:rPr>
      </w:pPr>
    </w:p>
    <w:p w:rsidR="00E238D8" w:rsidRDefault="00E238D8" w:rsidP="00E238D8">
      <w:pPr>
        <w:pStyle w:val="a5"/>
        <w:spacing w:before="0" w:beforeAutospacing="0" w:after="0" w:afterAutospacing="0" w:line="360" w:lineRule="auto"/>
        <w:ind w:firstLine="709"/>
        <w:jc w:val="both"/>
        <w:rPr>
          <w:color w:val="000000"/>
          <w:sz w:val="28"/>
          <w:szCs w:val="28"/>
          <w:lang w:val="uk-UA"/>
        </w:rPr>
      </w:pPr>
      <w:r w:rsidRPr="00E238D8">
        <w:rPr>
          <w:color w:val="000000"/>
          <w:sz w:val="28"/>
          <w:szCs w:val="28"/>
          <w:lang w:val="uk-UA"/>
        </w:rPr>
        <w:t>Важливою складовою вдосконаленого інструментарію є система випереджальних (</w:t>
      </w:r>
      <w:r w:rsidRPr="008129CE">
        <w:rPr>
          <w:color w:val="000000"/>
          <w:sz w:val="28"/>
          <w:szCs w:val="28"/>
        </w:rPr>
        <w:t>leading</w:t>
      </w:r>
      <w:r w:rsidRPr="00E238D8">
        <w:rPr>
          <w:color w:val="000000"/>
          <w:sz w:val="28"/>
          <w:szCs w:val="28"/>
          <w:lang w:val="uk-UA"/>
        </w:rPr>
        <w:t xml:space="preserve">) індикаторів, що дозволяють ідентифікувати загрози </w:t>
      </w:r>
      <w:r w:rsidRPr="00E238D8">
        <w:rPr>
          <w:color w:val="000000"/>
          <w:sz w:val="28"/>
          <w:szCs w:val="28"/>
          <w:lang w:val="uk-UA"/>
        </w:rPr>
        <w:lastRenderedPageBreak/>
        <w:t>інвестиційній стійкості ще на етапі «Інформаційного входу» (рис. Е.1 (додаток Е)).</w:t>
      </w:r>
      <w:r>
        <w:rPr>
          <w:color w:val="000000"/>
          <w:sz w:val="28"/>
          <w:szCs w:val="28"/>
          <w:lang w:val="uk-UA"/>
        </w:rPr>
        <w:t xml:space="preserve"> </w:t>
      </w:r>
    </w:p>
    <w:p w:rsidR="00E238D8" w:rsidRPr="005714C9" w:rsidRDefault="00E238D8" w:rsidP="00E238D8">
      <w:pPr>
        <w:pStyle w:val="a5"/>
        <w:spacing w:before="0" w:beforeAutospacing="0" w:after="0" w:afterAutospacing="0" w:line="360" w:lineRule="auto"/>
        <w:ind w:firstLine="709"/>
        <w:jc w:val="both"/>
        <w:rPr>
          <w:color w:val="000000"/>
          <w:sz w:val="28"/>
          <w:szCs w:val="28"/>
          <w:lang w:val="uk-UA"/>
        </w:rPr>
      </w:pPr>
      <w:r w:rsidRPr="005714C9">
        <w:rPr>
          <w:color w:val="000000"/>
          <w:sz w:val="28"/>
          <w:szCs w:val="28"/>
          <w:lang w:val="uk-UA"/>
        </w:rPr>
        <w:t>З метою поглиблення методичного забезпечення оцінювання та управління інвестиційною привабливістю сільськогосподарських підприємств, а також конкретизації результатів попередньо обґрунтованого економічного механізму, доцільним є застосування інструментарію стратегічного позиціонування, що дозволяє ідентифікувати поточне місце підприємства в координатах ключових факторів формування інвестиційної цінності. У цьому контексті запропоновано використання стратегічної матриці позиціонування інвестиційної привабливості підприємства (рис. К.1 (додаток К)), яка інтегрує результати інтегрального оцінювання та ресурсно-функціонального аналізу в єдину аналітичну конструкцію.</w:t>
      </w:r>
    </w:p>
    <w:p w:rsidR="005714C9" w:rsidRPr="00871F07" w:rsidRDefault="005714C9" w:rsidP="005714C9">
      <w:pPr>
        <w:pStyle w:val="a5"/>
        <w:spacing w:before="0" w:beforeAutospacing="0" w:after="0" w:afterAutospacing="0" w:line="360" w:lineRule="auto"/>
        <w:ind w:firstLine="709"/>
        <w:jc w:val="both"/>
        <w:rPr>
          <w:color w:val="000000"/>
          <w:sz w:val="28"/>
          <w:szCs w:val="28"/>
        </w:rPr>
      </w:pPr>
      <w:r w:rsidRPr="00E238D8">
        <w:rPr>
          <w:color w:val="000000"/>
          <w:sz w:val="28"/>
          <w:szCs w:val="28"/>
          <w:lang w:val="uk-UA"/>
        </w:rPr>
        <w:t xml:space="preserve">Методологічною основою побудови матриці виступає поєднання двох системоутворюючих параметрів: рівня інвестиційної привабливості (ІІ), визначеного на основі агрегованого індексу, що враховує фінансові, виробничі, ризикові та </w:t>
      </w:r>
      <w:r w:rsidRPr="00871F07">
        <w:rPr>
          <w:color w:val="000000"/>
          <w:sz w:val="28"/>
          <w:szCs w:val="28"/>
        </w:rPr>
        <w:t>ESG</w:t>
      </w:r>
      <w:r w:rsidRPr="00E238D8">
        <w:rPr>
          <w:color w:val="000000"/>
          <w:sz w:val="28"/>
          <w:szCs w:val="28"/>
          <w:lang w:val="uk-UA"/>
        </w:rPr>
        <w:t>-показники, та стратегічного потенціалу підприємства (</w:t>
      </w:r>
      <w:r w:rsidRPr="00871F07">
        <w:rPr>
          <w:color w:val="000000"/>
          <w:sz w:val="28"/>
          <w:szCs w:val="28"/>
        </w:rPr>
        <w:t>SP</w:t>
      </w:r>
      <w:r w:rsidRPr="00E238D8">
        <w:rPr>
          <w:color w:val="000000"/>
          <w:sz w:val="28"/>
          <w:szCs w:val="28"/>
          <w:lang w:val="uk-UA"/>
        </w:rPr>
        <w:t xml:space="preserve">), сформованого через оцінку ресурсного забезпечення, технологічної зрілості, інтелектуального капіталу та організаційної спроможності. </w:t>
      </w:r>
      <w:r w:rsidRPr="00871F07">
        <w:rPr>
          <w:color w:val="000000"/>
          <w:sz w:val="28"/>
          <w:szCs w:val="28"/>
        </w:rPr>
        <w:t>Така двовимірна постановка задачі дозволяє перейти від статичного аналізу окремих показників до системного бачення позиції підприємства у просторі інвестиційної конкурентоспроможності</w:t>
      </w:r>
      <w:r w:rsidR="004009DE">
        <w:rPr>
          <w:color w:val="000000"/>
          <w:sz w:val="28"/>
          <w:szCs w:val="28"/>
        </w:rPr>
        <w:t xml:space="preserve"> [</w:t>
      </w:r>
      <w:r>
        <w:rPr>
          <w:sz w:val="28"/>
          <w:szCs w:val="28"/>
        </w:rPr>
        <w:t>78]</w:t>
      </w:r>
      <w:r>
        <w:t>.</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871F07">
        <w:rPr>
          <w:color w:val="000000"/>
          <w:sz w:val="28"/>
          <w:szCs w:val="28"/>
        </w:rPr>
        <w:t>Застосування матричного підходу забезпечує можливість типологізації підприємств за рівнем їх інвестиційної привабливості та стратегічного потенціалу, що, у свою чергу, створює передумови для розробки диференційованих управлінських рішень. Особливістю запропоненої матриці є нормування показників у діапазоні [0, 3], що дозволяє уніфікувати різнорідні параметри та забезпечити їх порівнюваність у межах єдиного аналітичного поля. Розподіл простору матриці на дев’ять стратегічних зон формує основу для інтерпретації позицій підприємств та вибору релевантних стратегій їх розвитку.</w:t>
      </w:r>
      <w:r w:rsidR="005714C9">
        <w:rPr>
          <w:color w:val="000000"/>
          <w:sz w:val="28"/>
          <w:szCs w:val="28"/>
          <w:lang w:val="uk-UA"/>
        </w:rPr>
        <w:t xml:space="preserve"> </w:t>
      </w:r>
    </w:p>
    <w:p w:rsidR="005714C9" w:rsidRPr="00B37265" w:rsidRDefault="005714C9" w:rsidP="005714C9">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lastRenderedPageBreak/>
        <w:t>Таким чином, запропонована стратегічна матриця виступає не лише інструментом діагностики, але й важливим елементом реалізації економічного механізму розвитку інвестиційної привабливості, оскільки забезпечує зв’язок між аналітичним оцінюванням, стратегічним плануванням та прийняттям управлінських рішень, орієнтованих на зростання вартості підприємства.</w:t>
      </w:r>
    </w:p>
    <w:p w:rsidR="00435FDC" w:rsidRPr="00E238D8" w:rsidRDefault="00EB5B4E" w:rsidP="00E238D8">
      <w:pPr>
        <w:pStyle w:val="a5"/>
        <w:spacing w:before="0" w:beforeAutospacing="0" w:after="0" w:afterAutospacing="0" w:line="360" w:lineRule="auto"/>
        <w:ind w:firstLine="709"/>
        <w:jc w:val="both"/>
        <w:rPr>
          <w:color w:val="000000"/>
          <w:sz w:val="28"/>
          <w:szCs w:val="28"/>
          <w:lang w:val="uk-UA"/>
        </w:rPr>
      </w:pPr>
      <w:r w:rsidRPr="00E238D8">
        <w:rPr>
          <w:color w:val="000000"/>
          <w:sz w:val="28"/>
          <w:szCs w:val="28"/>
          <w:lang w:val="uk-UA"/>
        </w:rPr>
        <w:t>Стратегічну матрицю позиціонування наведено в додатку К (рис. К.1).</w:t>
      </w:r>
    </w:p>
    <w:p w:rsidR="005714C9" w:rsidRDefault="005714C9"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Запропонована стратегічна матриця позиціонування інвестиційної привабливості підприємства відображає багатовимірну структуру формування інвестиційної цінності та дозволяє здійснити комплексну інтерпретацію взаємозв’язку між рівнем інвестиційної привабливості та стратегічним потенціалом суб’єкта господарювання. Поділ матриці на дев’ять зон створює аналітичне підґрунтя для класифікації підприємств за типами їх інвестиційної поведінки та визначення стратегічних орієнтирів розвитку</w:t>
      </w:r>
      <w:r w:rsidR="004009DE">
        <w:rPr>
          <w:color w:val="000000"/>
          <w:sz w:val="28"/>
          <w:szCs w:val="28"/>
          <w:lang w:val="uk-UA"/>
        </w:rPr>
        <w:t xml:space="preserve"> [</w:t>
      </w:r>
      <w:r w:rsidRPr="005670E0">
        <w:rPr>
          <w:sz w:val="28"/>
          <w:szCs w:val="28"/>
          <w:lang w:val="uk-UA"/>
        </w:rPr>
        <w:t>27]</w:t>
      </w:r>
      <w:r w:rsidRPr="005670E0">
        <w:rPr>
          <w:lang w:val="uk-UA"/>
        </w:rPr>
        <w:t>.</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 xml:space="preserve">Зона І («привабливість вище потенціалу») характеризує ситуацію, за якої підприємство демонструє високий рівень інвестиційної привабливості за умов обмеженого ресурсного забезпечення. </w:t>
      </w:r>
      <w:r w:rsidRPr="00441275">
        <w:rPr>
          <w:color w:val="000000"/>
          <w:sz w:val="28"/>
          <w:szCs w:val="28"/>
        </w:rPr>
        <w:t>Така позиція свідчить про ефективне використання наявних ресурсів, проте водночас вказує на ризики вичерпання потенціалу. У цьому випадку стратегічним пріоритетом виступає нарощення ресурсної бази та інвестиції у довгостроковий розвиток.</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441275">
        <w:rPr>
          <w:color w:val="000000"/>
          <w:sz w:val="28"/>
          <w:szCs w:val="28"/>
        </w:rPr>
        <w:t>Зона ІІІ («лідерська позиція») є цільовою для більшості підприємств, оскільки відображає синергію високої інвестиційної привабливості та значного стратегічного потенціалу. Підприємства, що перебувають у цій зоні, мають максимальні можливості для залучення інвестицій та реалізації стратегій експансії, інноваційного розвитку та диверсифікації діяльності. Саме ця зона формує ядро конкурентоспроможного агробізнесу</w:t>
      </w:r>
      <w:r w:rsidR="004009DE">
        <w:rPr>
          <w:color w:val="000000"/>
          <w:sz w:val="28"/>
          <w:szCs w:val="28"/>
        </w:rPr>
        <w:t xml:space="preserve"> [102, 108]</w:t>
      </w:r>
      <w:r>
        <w:t>.</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441275">
        <w:rPr>
          <w:color w:val="000000"/>
          <w:sz w:val="28"/>
          <w:szCs w:val="28"/>
        </w:rPr>
        <w:t xml:space="preserve">Зони IV та VII відображають критичні стани, що потребують негайного управлінського втручання. Низький рівень інвестиційної привабливості у поєднанні з обмеженим або недостатньо реалізованим потенціалом свідчить </w:t>
      </w:r>
      <w:r w:rsidRPr="00441275">
        <w:rPr>
          <w:color w:val="000000"/>
          <w:sz w:val="28"/>
          <w:szCs w:val="28"/>
        </w:rPr>
        <w:lastRenderedPageBreak/>
        <w:t>про структурні проблеми у функціонуванні підприємства. У таких умовах доцільним є застосування стратегій реструктуризації, оптимізації витрат та підвищення операційної ефективності.</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441275">
        <w:rPr>
          <w:color w:val="000000"/>
          <w:sz w:val="28"/>
          <w:szCs w:val="28"/>
        </w:rPr>
        <w:t>Особливу аналітичну цінність має зона IX («потенціал не використано»), яка вказує на наявність значного ресурсного забезпечення при низькій інвестиційній привабливості. Це свідчить про високий рівень інформаційної асиметрії, недостатню прозорість або неефективне управління. У цьому випадку ключовими напрямами є підвищення рівня корпоративного управління, удосконалення фінансової звітності та активізація комунікації з інвесторами</w:t>
      </w:r>
      <w:r w:rsidR="004009DE">
        <w:rPr>
          <w:color w:val="000000"/>
          <w:sz w:val="28"/>
          <w:szCs w:val="28"/>
        </w:rPr>
        <w:t xml:space="preserve"> [1, 91]</w:t>
      </w:r>
      <w:r>
        <w:t>.</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441275">
        <w:rPr>
          <w:color w:val="000000"/>
          <w:sz w:val="28"/>
          <w:szCs w:val="28"/>
        </w:rPr>
        <w:t>Зона V («зона ризику») відображає нестабільний стан підприємства, що характеризується середніми значеннями обох параметрів та високим рівнем невизначеності. Управління в цій зоні повинно базуватися на селективному підході до інвестування, диверсифікації ризиків та впровадженні механізмів контролінгу.</w:t>
      </w:r>
    </w:p>
    <w:p w:rsidR="00B37265" w:rsidRPr="00441275" w:rsidRDefault="00B37265" w:rsidP="00B37265">
      <w:pPr>
        <w:pStyle w:val="a5"/>
        <w:spacing w:before="0" w:beforeAutospacing="0" w:after="0" w:afterAutospacing="0" w:line="360" w:lineRule="auto"/>
        <w:ind w:firstLine="709"/>
        <w:jc w:val="both"/>
        <w:rPr>
          <w:color w:val="000000"/>
          <w:sz w:val="28"/>
          <w:szCs w:val="28"/>
        </w:rPr>
      </w:pPr>
      <w:r w:rsidRPr="00441275">
        <w:rPr>
          <w:color w:val="000000"/>
          <w:sz w:val="28"/>
          <w:szCs w:val="28"/>
        </w:rPr>
        <w:t>Важливим елементом матриці є визначення векторів стратегічного розвитку, які задають напрям трансформації позиції підприємства у межах матричного простору. Зокрема, вектор зростання орієнтований на переміщення до зони лідерства, вектор стабілізації — на утримання досягнутих позицій, а вектор трансформації — на якісні зміни у структурі потенціалу та системі управління.</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441275">
        <w:rPr>
          <w:color w:val="000000"/>
          <w:sz w:val="28"/>
          <w:szCs w:val="28"/>
        </w:rPr>
        <w:t>Таким чином, стратегічна матриця позиціонування інвестиційної привабливості підприємства виконує функцію інтеграційного аналітичного інструменту, який забезпечує поєднання результатів кількісного оцінювання із стратегічним баченням розвитку, дозволяє ідентифікувати критичні зони, визначати пріоритети управління та формувати обґрунтовані рішення щодо підвищення інвестиційної привабливості та вартості підприємства в довгостроковій перспективі.</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Забезпечення практичної релевантності стратегічної матриці позиціонування інвестиційної привабливості потребує формалізації </w:t>
      </w:r>
      <w:r w:rsidRPr="00B37265">
        <w:rPr>
          <w:color w:val="000000"/>
          <w:sz w:val="28"/>
          <w:szCs w:val="28"/>
          <w:lang w:val="uk-UA"/>
        </w:rPr>
        <w:lastRenderedPageBreak/>
        <w:t>процедури визначення координат підприємства та його віднесення до відповідної стратегічної зони. Така процедура повинна відповідати принципам відтворюваності, об’єктивності та аналітичної узгодженості, що зумовлює доцільність її представлення у вигляді алгоритму, який поєднує послідовність аналітичних дій та їх логічні взаємозв’язки</w:t>
      </w:r>
      <w:r>
        <w:rPr>
          <w:color w:val="000000"/>
          <w:sz w:val="28"/>
          <w:szCs w:val="28"/>
          <w:lang w:val="uk-UA"/>
        </w:rPr>
        <w:t xml:space="preserve"> (рис. Л.1 (додаток Л))</w:t>
      </w:r>
      <w:r w:rsidRPr="00B37265">
        <w:rPr>
          <w:color w:val="000000"/>
          <w:sz w:val="28"/>
          <w:szCs w:val="28"/>
          <w:lang w:val="uk-UA"/>
        </w:rPr>
        <w:t>.</w:t>
      </w:r>
    </w:p>
    <w:p w:rsidR="00B37265" w:rsidRPr="00430DF2" w:rsidRDefault="00B37265" w:rsidP="00B37265">
      <w:pPr>
        <w:pStyle w:val="a5"/>
        <w:spacing w:before="0" w:beforeAutospacing="0" w:after="0" w:afterAutospacing="0" w:line="360" w:lineRule="auto"/>
        <w:ind w:firstLine="709"/>
        <w:jc w:val="both"/>
        <w:rPr>
          <w:color w:val="000000"/>
          <w:sz w:val="28"/>
          <w:szCs w:val="28"/>
        </w:rPr>
      </w:pPr>
      <w:r w:rsidRPr="00430DF2">
        <w:rPr>
          <w:color w:val="000000"/>
          <w:sz w:val="28"/>
          <w:szCs w:val="28"/>
        </w:rPr>
        <w:t>Алгоритм починається з формування інформаційної бази, яка виступає фундаментом подальших аналітичних процедур. На цьому етапі принципово важливим є не лише збір даних, але й їх попередня верифікація, очищення від статистичних аномалій та забезпечення порівнюваності у часовому розрізі. Інформаційна база має відображати як результати діяльності підприємства, так і фактори, що формують його інвестиційну привабливість, включаючи фінансову стійкість, ефективність використання ресурсів, рівень ризиків та якість управління.</w:t>
      </w:r>
    </w:p>
    <w:p w:rsidR="00B37265" w:rsidRPr="00430DF2" w:rsidRDefault="00B37265" w:rsidP="00B37265">
      <w:pPr>
        <w:pStyle w:val="a5"/>
        <w:spacing w:before="0" w:beforeAutospacing="0" w:after="0" w:afterAutospacing="0" w:line="360" w:lineRule="auto"/>
        <w:ind w:firstLine="709"/>
        <w:jc w:val="both"/>
        <w:rPr>
          <w:color w:val="000000"/>
          <w:sz w:val="28"/>
          <w:szCs w:val="28"/>
        </w:rPr>
      </w:pPr>
      <w:r w:rsidRPr="00430DF2">
        <w:rPr>
          <w:color w:val="000000"/>
          <w:sz w:val="28"/>
          <w:szCs w:val="28"/>
        </w:rPr>
        <w:t>Наступний етап передбачає аналітичну трансформацію первинних даних у систему показників, що характеризують дві ключові площини — інвестиційну привабливість та стратегічний потенціал. Важливою особливістю цього етапу є забезпечення внутрішньої узгодженості показників, що виключає дублювання інформації та надмірну кореляцію між змінними.</w:t>
      </w:r>
    </w:p>
    <w:p w:rsidR="00B37265" w:rsidRPr="00430DF2" w:rsidRDefault="00B37265" w:rsidP="00B37265">
      <w:pPr>
        <w:pStyle w:val="a5"/>
        <w:spacing w:before="0" w:beforeAutospacing="0" w:after="0" w:afterAutospacing="0" w:line="360" w:lineRule="auto"/>
        <w:ind w:firstLine="709"/>
        <w:jc w:val="both"/>
        <w:rPr>
          <w:color w:val="000000"/>
          <w:sz w:val="28"/>
          <w:szCs w:val="28"/>
        </w:rPr>
      </w:pPr>
      <w:r w:rsidRPr="00430DF2">
        <w:rPr>
          <w:color w:val="000000"/>
          <w:sz w:val="28"/>
          <w:szCs w:val="28"/>
        </w:rPr>
        <w:t>Формування інтегральних показників є центральною фазою алгоритму, оскільки саме на цьому етапі відбувається агрегація різнорідних характеристик у синтетичні індекси. При цьому вагові коефіцієнти повинні відображати реальну значущість факторів, що досягається шляхом використання експертно-аналітичних або статистичних методів.</w:t>
      </w:r>
    </w:p>
    <w:p w:rsidR="005714C9" w:rsidRPr="00430DF2" w:rsidRDefault="005714C9" w:rsidP="005714C9">
      <w:pPr>
        <w:pStyle w:val="a5"/>
        <w:spacing w:before="0" w:beforeAutospacing="0" w:after="0" w:afterAutospacing="0" w:line="360" w:lineRule="auto"/>
        <w:ind w:firstLine="709"/>
        <w:jc w:val="both"/>
        <w:rPr>
          <w:color w:val="000000"/>
          <w:sz w:val="28"/>
          <w:szCs w:val="28"/>
        </w:rPr>
      </w:pPr>
      <w:r w:rsidRPr="00430DF2">
        <w:rPr>
          <w:color w:val="000000"/>
          <w:sz w:val="28"/>
          <w:szCs w:val="28"/>
        </w:rPr>
        <w:t>Критично важливим елементом алгоритму є нормування показників, яке дозволяє усунути проблему різнорідності вимірювальних шкал. Використання інтервального нормування забезпечує приведення всіх показників до єдиного діапазону, що створює передумови для їх коректного агрегування.</w:t>
      </w:r>
    </w:p>
    <w:p w:rsidR="00435FDC" w:rsidRPr="00E238D8" w:rsidRDefault="00EB5B4E" w:rsidP="00E238D8">
      <w:pPr>
        <w:pStyle w:val="a5"/>
        <w:spacing w:before="0" w:beforeAutospacing="0" w:after="0" w:afterAutospacing="0" w:line="360" w:lineRule="auto"/>
        <w:ind w:firstLine="709"/>
        <w:jc w:val="both"/>
        <w:rPr>
          <w:color w:val="000000"/>
          <w:sz w:val="28"/>
          <w:szCs w:val="28"/>
        </w:rPr>
      </w:pPr>
      <w:r w:rsidRPr="00E238D8">
        <w:rPr>
          <w:color w:val="000000"/>
          <w:sz w:val="28"/>
          <w:szCs w:val="28"/>
        </w:rPr>
        <w:lastRenderedPageBreak/>
        <w:t>Алгоритм визначення позиції підприємства наведено в додатку Л (рис. Л.1).</w:t>
      </w:r>
    </w:p>
    <w:p w:rsidR="005714C9" w:rsidRPr="00430DF2" w:rsidRDefault="005714C9" w:rsidP="005714C9">
      <w:pPr>
        <w:pStyle w:val="a5"/>
        <w:spacing w:before="0" w:beforeAutospacing="0" w:after="0" w:afterAutospacing="0" w:line="360" w:lineRule="auto"/>
        <w:ind w:firstLine="709"/>
        <w:jc w:val="both"/>
        <w:rPr>
          <w:color w:val="000000"/>
          <w:sz w:val="28"/>
          <w:szCs w:val="28"/>
        </w:rPr>
      </w:pPr>
      <w:r w:rsidRPr="00430DF2">
        <w:rPr>
          <w:color w:val="000000"/>
          <w:sz w:val="28"/>
          <w:szCs w:val="28"/>
        </w:rPr>
        <w:t>Після отримання нормованих інтегральних показників підприємство позиціонується у двовимірному просторі. Така постановка дозволяє не лише визначити абсолютний рівень розвитку, але й оцінити збалансованість між потенціалом та його реалізацією у формі інвестиційної привабливості</w:t>
      </w:r>
      <w:r w:rsidR="004009DE">
        <w:rPr>
          <w:color w:val="000000"/>
          <w:sz w:val="28"/>
          <w:szCs w:val="28"/>
        </w:rPr>
        <w:t xml:space="preserve"> [99]</w:t>
      </w:r>
      <w:r>
        <w:t>.</w:t>
      </w:r>
    </w:p>
    <w:p w:rsidR="00B37265" w:rsidRPr="00430DF2" w:rsidRDefault="00B37265" w:rsidP="00B37265">
      <w:pPr>
        <w:pStyle w:val="a5"/>
        <w:spacing w:before="0" w:beforeAutospacing="0" w:after="0" w:afterAutospacing="0" w:line="360" w:lineRule="auto"/>
        <w:ind w:firstLine="709"/>
        <w:jc w:val="both"/>
        <w:rPr>
          <w:color w:val="000000"/>
          <w:sz w:val="28"/>
          <w:szCs w:val="28"/>
        </w:rPr>
      </w:pPr>
      <w:r w:rsidRPr="00430DF2">
        <w:rPr>
          <w:color w:val="000000"/>
          <w:sz w:val="28"/>
          <w:szCs w:val="28"/>
        </w:rPr>
        <w:t>Ідентифікація стратегічної зони базується на пороговому підході, який дозволяє структуризувати простір матриці та забезпечити однозначність класифікації. Водночас важливо підкреслити, що межі зон мають умовний характер і можуть адаптуватися залежно від галузевих особливостей</w:t>
      </w:r>
      <w:r w:rsidR="004009DE">
        <w:rPr>
          <w:color w:val="000000"/>
          <w:sz w:val="28"/>
          <w:szCs w:val="28"/>
        </w:rPr>
        <w:t xml:space="preserve"> [130]</w:t>
      </w:r>
      <w:r>
        <w:t>.</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430DF2">
        <w:rPr>
          <w:color w:val="000000"/>
          <w:sz w:val="28"/>
          <w:szCs w:val="28"/>
        </w:rPr>
        <w:t xml:space="preserve">Завершальний етап алгоритму передбачає інтерпретацію отриманих результатів, яка виходить за межі формального визначення зони та включає аналіз причин сформованої </w:t>
      </w:r>
      <w:r w:rsidRPr="005C38DA">
        <w:rPr>
          <w:color w:val="000000"/>
          <w:sz w:val="28"/>
          <w:szCs w:val="28"/>
        </w:rPr>
        <w:t>позиції, оцінку динаміки показників та формування стратегічних альтернатив розвитку. Саме на цьому етапі відбувається трансформація аналітичної інформації у управлінські рішення.</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Методичний підхід до визначення позиції підприємства у стратегічній матриці інвестиційної привабливості ґрунтується на поєднанні багатокритеріального оцінювання, нормалізації різнорідних показників, агрегування та подальшої інтерпретації результатів у двовимірному координатному просторі. Його особливістю є не лише інтеграція показників, але й забезпечення їх економічної інтерпретованості та чутливості до змін внутрішнього та зовнішнього середовища. За представленим алгоритмом методика визначення позиції підприємства складається з 8-ми етапів, а саме:</w:t>
      </w:r>
    </w:p>
    <w:p w:rsidR="00B37265" w:rsidRPr="005C38DA" w:rsidRDefault="00B37265" w:rsidP="005C38DA">
      <w:pPr>
        <w:pStyle w:val="a5"/>
        <w:numPr>
          <w:ilvl w:val="1"/>
          <w:numId w:val="17"/>
        </w:numPr>
        <w:spacing w:before="0" w:beforeAutospacing="0" w:after="0" w:afterAutospacing="0" w:line="360" w:lineRule="auto"/>
        <w:ind w:left="0" w:firstLine="709"/>
        <w:jc w:val="both"/>
        <w:rPr>
          <w:color w:val="000000"/>
          <w:sz w:val="28"/>
          <w:szCs w:val="28"/>
          <w:lang w:val="uk-UA"/>
        </w:rPr>
      </w:pPr>
      <w:r w:rsidRPr="005C38DA">
        <w:rPr>
          <w:color w:val="000000"/>
          <w:sz w:val="28"/>
          <w:szCs w:val="28"/>
        </w:rPr>
        <w:t>Формування інтегрального індексу інвестиційної привабливості</w:t>
      </w:r>
      <w:r w:rsidRPr="005C38DA">
        <w:rPr>
          <w:color w:val="000000"/>
          <w:sz w:val="28"/>
          <w:szCs w:val="28"/>
          <w:lang w:val="uk-UA"/>
        </w:rPr>
        <w:t xml:space="preserve">. </w:t>
      </w:r>
      <w:r w:rsidRPr="005C38DA">
        <w:rPr>
          <w:color w:val="000000"/>
          <w:sz w:val="28"/>
          <w:szCs w:val="28"/>
        </w:rPr>
        <w:t>Базова модель інтегрального оцінювання має вигляд:</w:t>
      </w:r>
    </w:p>
    <w:p w:rsidR="00B37265" w:rsidRPr="005C38DA" w:rsidRDefault="00EB5B4E" w:rsidP="005C38DA">
      <w:pPr>
        <w:pStyle w:val="a5"/>
        <w:spacing w:before="0" w:beforeAutospacing="0" w:after="0" w:afterAutospacing="0" w:line="360" w:lineRule="auto"/>
        <w:jc w:val="both"/>
        <w:rPr>
          <w:color w:val="000000"/>
          <w:sz w:val="28"/>
          <w:szCs w:val="28"/>
          <w:lang w:val="en-US"/>
        </w:rPr>
      </w:pPr>
      <m:oMathPara>
        <m:oMath>
          <m:eqArr>
            <m:eqArrPr>
              <m:maxDist m:val="1"/>
              <m:ctrlPr>
                <w:rPr>
                  <w:rFonts w:ascii="Cambria Math" w:hAnsi="Cambria Math"/>
                  <w:i/>
                  <w:color w:val="000000"/>
                  <w:sz w:val="28"/>
                  <w:szCs w:val="28"/>
                  <w:lang w:val="en-US"/>
                </w:rPr>
              </m:ctrlPr>
            </m:eqArrPr>
            <m:e>
              <m:r>
                <w:rPr>
                  <w:rFonts w:ascii="Cambria Math" w:hAnsi="Cambria Math"/>
                  <w:color w:val="000000"/>
                  <w:sz w:val="28"/>
                  <w:szCs w:val="28"/>
                  <w:lang w:val="uk-UA"/>
                </w:rPr>
                <m:t xml:space="preserve">ІІ= </m:t>
              </m:r>
              <m:nary>
                <m:naryPr>
                  <m:chr m:val="∑"/>
                  <m:limLoc m:val="subSup"/>
                  <m:ctrlPr>
                    <w:rPr>
                      <w:rFonts w:ascii="Cambria Math" w:hAnsi="Cambria Math"/>
                      <w:i/>
                      <w:color w:val="000000"/>
                      <w:sz w:val="28"/>
                      <w:szCs w:val="28"/>
                      <w:lang w:val="uk-UA"/>
                    </w:rPr>
                  </m:ctrlPr>
                </m:naryPr>
                <m:sub>
                  <m:r>
                    <w:rPr>
                      <w:rFonts w:ascii="Cambria Math" w:hAnsi="Cambria Math"/>
                      <w:color w:val="000000"/>
                      <w:sz w:val="28"/>
                      <w:szCs w:val="28"/>
                      <w:lang w:val="uk-UA"/>
                    </w:rPr>
                    <m:t>і=1</m:t>
                  </m:r>
                </m:sub>
                <m:sup>
                  <m:r>
                    <w:rPr>
                      <w:rFonts w:ascii="Cambria Math" w:hAnsi="Cambria Math"/>
                      <w:color w:val="000000"/>
                      <w:sz w:val="28"/>
                      <w:szCs w:val="28"/>
                      <w:lang w:val="en-US"/>
                    </w:rPr>
                    <m:t>n</m:t>
                  </m:r>
                </m:sup>
                <m:e>
                  <m:sSub>
                    <m:sSubPr>
                      <m:ctrlPr>
                        <w:rPr>
                          <w:rFonts w:ascii="Cambria Math" w:hAnsi="Cambria Math"/>
                          <w:i/>
                          <w:color w:val="000000"/>
                          <w:sz w:val="28"/>
                          <w:szCs w:val="28"/>
                          <w:lang w:val="uk-UA"/>
                        </w:rPr>
                      </m:ctrlPr>
                    </m:sSubPr>
                    <m:e>
                      <m:r>
                        <w:rPr>
                          <w:rFonts w:ascii="Cambria Math" w:hAnsi="Cambria Math"/>
                          <w:color w:val="000000"/>
                          <w:sz w:val="28"/>
                          <w:szCs w:val="28"/>
                          <w:lang w:val="uk-UA"/>
                        </w:rPr>
                        <m:t>w</m:t>
                      </m:r>
                    </m:e>
                    <m:sub>
                      <m:r>
                        <w:rPr>
                          <w:rFonts w:ascii="Cambria Math" w:hAnsi="Cambria Math"/>
                          <w:color w:val="000000"/>
                          <w:sz w:val="28"/>
                          <w:szCs w:val="28"/>
                          <w:lang w:val="uk-UA"/>
                        </w:rPr>
                        <m:t>i</m:t>
                      </m:r>
                    </m:sub>
                  </m:sSub>
                  <m:r>
                    <w:rPr>
                      <w:rFonts w:ascii="Cambria Math" w:hAnsi="Cambria Math"/>
                      <w:color w:val="000000"/>
                      <w:sz w:val="28"/>
                      <w:szCs w:val="28"/>
                      <w:lang w:val="uk-UA"/>
                    </w:rPr>
                    <m:t>*</m:t>
                  </m:r>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x</m:t>
                      </m:r>
                    </m:e>
                    <m:sub>
                      <m:r>
                        <w:rPr>
                          <w:rFonts w:ascii="Cambria Math" w:hAnsi="Cambria Math"/>
                          <w:color w:val="000000"/>
                          <w:sz w:val="28"/>
                          <w:szCs w:val="28"/>
                          <w:lang w:val="en-US"/>
                        </w:rPr>
                        <m:t>i</m:t>
                      </m:r>
                    </m:sub>
                    <m:sup>
                      <m:r>
                        <w:rPr>
                          <w:rFonts w:ascii="Cambria Math" w:hAnsi="Cambria Math"/>
                          <w:color w:val="000000"/>
                          <w:sz w:val="28"/>
                          <w:szCs w:val="28"/>
                          <w:lang w:val="en-US"/>
                        </w:rPr>
                        <m:t>norm</m:t>
                      </m:r>
                    </m:sup>
                  </m:sSubSup>
                </m:e>
              </m:nary>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3.8</m:t>
                  </m:r>
                </m:e>
              </m:d>
              <m:ctrlPr>
                <w:rPr>
                  <w:rFonts w:ascii="Cambria Math" w:hAnsi="Cambria Math"/>
                  <w:i/>
                  <w:color w:val="000000"/>
                  <w:sz w:val="28"/>
                  <w:szCs w:val="28"/>
                  <w:lang w:val="uk-UA"/>
                </w:rPr>
              </m:ctrlPr>
            </m:e>
          </m:eqArr>
        </m:oMath>
      </m:oMathPara>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де ІІ – інтегральний індекс інвестиційної привабливості підприємства;</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 xml:space="preserve">      </w:t>
      </w:r>
      <m:oMath>
        <m:sSub>
          <m:sSubPr>
            <m:ctrlPr>
              <w:rPr>
                <w:rFonts w:ascii="Cambria Math" w:hAnsi="Cambria Math"/>
                <w:i/>
                <w:color w:val="000000"/>
                <w:sz w:val="28"/>
                <w:szCs w:val="28"/>
                <w:lang w:val="uk-UA"/>
              </w:rPr>
            </m:ctrlPr>
          </m:sSubPr>
          <m:e>
            <m:r>
              <w:rPr>
                <w:rFonts w:ascii="Cambria Math" w:hAnsi="Cambria Math"/>
                <w:color w:val="000000"/>
                <w:sz w:val="28"/>
                <w:szCs w:val="28"/>
                <w:lang w:val="uk-UA"/>
              </w:rPr>
              <m:t>w</m:t>
            </m:r>
          </m:e>
          <m:sub>
            <m:r>
              <w:rPr>
                <w:rFonts w:ascii="Cambria Math" w:hAnsi="Cambria Math"/>
                <w:color w:val="000000"/>
                <w:sz w:val="28"/>
                <w:szCs w:val="28"/>
                <w:lang w:val="uk-UA"/>
              </w:rPr>
              <m:t>i</m:t>
            </m:r>
          </m:sub>
        </m:sSub>
      </m:oMath>
      <w:r w:rsidRPr="005C38DA">
        <w:rPr>
          <w:color w:val="000000"/>
          <w:sz w:val="28"/>
          <w:szCs w:val="28"/>
          <w:lang w:val="uk-UA"/>
        </w:rPr>
        <w:t xml:space="preserve"> – ваговий коефіцієнт і-го показника (</w:t>
      </w:r>
      <m:oMath>
        <m:nary>
          <m:naryPr>
            <m:chr m:val="∑"/>
            <m:limLoc m:val="undOvr"/>
            <m:subHide m:val="1"/>
            <m:supHide m:val="1"/>
            <m:ctrlPr>
              <w:rPr>
                <w:rFonts w:ascii="Cambria Math" w:hAnsi="Cambria Math"/>
                <w:i/>
                <w:color w:val="000000"/>
                <w:sz w:val="28"/>
                <w:szCs w:val="28"/>
                <w:lang w:val="uk-UA"/>
              </w:rPr>
            </m:ctrlPr>
          </m:naryPr>
          <m:sub/>
          <m:sup/>
          <m:e>
            <m:sSub>
              <m:sSubPr>
                <m:ctrlPr>
                  <w:rPr>
                    <w:rFonts w:ascii="Cambria Math" w:hAnsi="Cambria Math"/>
                    <w:i/>
                    <w:color w:val="000000"/>
                    <w:sz w:val="28"/>
                    <w:szCs w:val="28"/>
                    <w:lang w:val="uk-UA"/>
                  </w:rPr>
                </m:ctrlPr>
              </m:sSubPr>
              <m:e>
                <m:r>
                  <w:rPr>
                    <w:rFonts w:ascii="Cambria Math" w:hAnsi="Cambria Math"/>
                    <w:color w:val="000000"/>
                    <w:sz w:val="28"/>
                    <w:szCs w:val="28"/>
                    <w:lang w:val="en-US"/>
                  </w:rPr>
                  <m:t>w</m:t>
                </m:r>
              </m:e>
              <m:sub>
                <m:r>
                  <w:rPr>
                    <w:rFonts w:ascii="Cambria Math" w:hAnsi="Cambria Math"/>
                    <w:color w:val="000000"/>
                    <w:sz w:val="28"/>
                    <w:szCs w:val="28"/>
                    <w:lang w:val="uk-UA"/>
                  </w:rPr>
                  <m:t>i</m:t>
                </m:r>
              </m:sub>
            </m:sSub>
            <m:r>
              <w:rPr>
                <w:rFonts w:ascii="Cambria Math" w:hAnsi="Cambria Math"/>
                <w:color w:val="000000"/>
                <w:sz w:val="28"/>
                <w:szCs w:val="28"/>
                <w:lang w:val="uk-UA"/>
              </w:rPr>
              <m:t>=</m:t>
            </m:r>
            <m:r>
              <w:rPr>
                <w:rFonts w:ascii="Cambria Math" w:hAnsi="Cambria Math"/>
                <w:color w:val="000000"/>
                <w:sz w:val="28"/>
                <w:szCs w:val="28"/>
              </w:rPr>
              <m:t>1</m:t>
            </m:r>
          </m:e>
        </m:nary>
      </m:oMath>
      <w:r w:rsidRPr="005C38DA">
        <w:rPr>
          <w:color w:val="000000"/>
          <w:sz w:val="28"/>
          <w:szCs w:val="28"/>
          <w:lang w:val="uk-UA"/>
        </w:rPr>
        <w:t>);</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 xml:space="preserve">      </w:t>
      </w:r>
      <m:oMath>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x</m:t>
            </m:r>
          </m:e>
          <m:sub>
            <m:r>
              <w:rPr>
                <w:rFonts w:ascii="Cambria Math" w:hAnsi="Cambria Math"/>
                <w:color w:val="000000"/>
                <w:sz w:val="28"/>
                <w:szCs w:val="28"/>
                <w:lang w:val="en-US"/>
              </w:rPr>
              <m:t>i</m:t>
            </m:r>
          </m:sub>
          <m:sup>
            <m:r>
              <w:rPr>
                <w:rFonts w:ascii="Cambria Math" w:hAnsi="Cambria Math"/>
                <w:color w:val="000000"/>
                <w:sz w:val="28"/>
                <w:szCs w:val="28"/>
                <w:lang w:val="en-US"/>
              </w:rPr>
              <m:t>norm</m:t>
            </m:r>
          </m:sup>
        </m:sSubSup>
      </m:oMath>
      <w:r w:rsidRPr="005C38DA">
        <w:rPr>
          <w:color w:val="000000"/>
          <w:sz w:val="28"/>
          <w:szCs w:val="28"/>
          <w:lang w:val="uk-UA"/>
        </w:rPr>
        <w:t xml:space="preserve"> – нормоване значення і-го показника;</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lastRenderedPageBreak/>
        <w:t xml:space="preserve">       </w:t>
      </w:r>
      <w:r w:rsidRPr="005C38DA">
        <w:rPr>
          <w:color w:val="000000"/>
          <w:sz w:val="28"/>
          <w:szCs w:val="28"/>
          <w:lang w:val="en-US"/>
        </w:rPr>
        <w:t>n</w:t>
      </w:r>
      <w:r w:rsidRPr="005C38DA">
        <w:rPr>
          <w:color w:val="000000"/>
          <w:sz w:val="28"/>
          <w:szCs w:val="28"/>
          <w:lang w:val="uk-UA"/>
        </w:rPr>
        <w:t xml:space="preserve"> – кількість показників.</w:t>
      </w:r>
    </w:p>
    <w:p w:rsidR="00B37265" w:rsidRPr="005C38DA" w:rsidRDefault="00B37265" w:rsidP="005C38DA">
      <w:pPr>
        <w:pStyle w:val="a5"/>
        <w:spacing w:before="0" w:beforeAutospacing="0" w:after="0" w:afterAutospacing="0" w:line="360" w:lineRule="auto"/>
        <w:ind w:firstLine="709"/>
        <w:jc w:val="both"/>
        <w:rPr>
          <w:color w:val="000000"/>
          <w:sz w:val="32"/>
          <w:szCs w:val="32"/>
          <w:lang w:val="uk-UA"/>
        </w:rPr>
      </w:pPr>
      <w:r w:rsidRPr="005C38DA">
        <w:rPr>
          <w:color w:val="000000"/>
          <w:sz w:val="28"/>
          <w:szCs w:val="28"/>
          <w:lang w:val="uk-UA"/>
        </w:rPr>
        <w:t>Разом з тим, з метою підвищення чутливості моделі до варіації показників доцільно застосовувати мультиплікативну форму:</w:t>
      </w:r>
    </w:p>
    <w:p w:rsidR="00B37265" w:rsidRPr="005C38DA" w:rsidRDefault="00EB5B4E" w:rsidP="005C38DA">
      <w:pPr>
        <w:pStyle w:val="a5"/>
        <w:spacing w:before="0" w:beforeAutospacing="0" w:after="0" w:afterAutospacing="0" w:line="360" w:lineRule="auto"/>
        <w:jc w:val="both"/>
        <w:rPr>
          <w:color w:val="000000"/>
          <w:sz w:val="32"/>
          <w:szCs w:val="32"/>
          <w:lang w:val="en-US"/>
        </w:rPr>
      </w:pPr>
      <m:oMathPara>
        <m:oMath>
          <m:eqArr>
            <m:eqArrPr>
              <m:maxDist m:val="1"/>
              <m:ctrlPr>
                <w:rPr>
                  <w:rFonts w:ascii="Cambria Math" w:hAnsi="Cambria Math"/>
                  <w:i/>
                  <w:color w:val="000000"/>
                  <w:sz w:val="32"/>
                  <w:szCs w:val="32"/>
                  <w:lang w:val="en-US"/>
                </w:rPr>
              </m:ctrlPr>
            </m:eqArrPr>
            <m:e>
              <m:r>
                <w:rPr>
                  <w:rFonts w:ascii="Cambria Math" w:hAnsi="Cambria Math"/>
                  <w:color w:val="000000"/>
                  <w:sz w:val="32"/>
                  <w:szCs w:val="32"/>
                  <w:lang w:val="uk-UA"/>
                </w:rPr>
                <m:t xml:space="preserve">ІІ= </m:t>
              </m:r>
              <m:nary>
                <m:naryPr>
                  <m:chr m:val="∏"/>
                  <m:limLoc m:val="undOvr"/>
                  <m:ctrlPr>
                    <w:rPr>
                      <w:rFonts w:ascii="Cambria Math" w:hAnsi="Cambria Math"/>
                      <w:i/>
                      <w:color w:val="000000"/>
                      <w:sz w:val="32"/>
                      <w:szCs w:val="32"/>
                      <w:lang w:val="uk-UA"/>
                    </w:rPr>
                  </m:ctrlPr>
                </m:naryPr>
                <m:sub>
                  <m:r>
                    <w:rPr>
                      <w:rFonts w:ascii="Cambria Math" w:hAnsi="Cambria Math"/>
                      <w:color w:val="000000"/>
                      <w:sz w:val="32"/>
                      <w:szCs w:val="32"/>
                      <w:lang w:val="en-US"/>
                    </w:rPr>
                    <m:t>i=1</m:t>
                  </m:r>
                </m:sub>
                <m:sup>
                  <m:r>
                    <w:rPr>
                      <w:rFonts w:ascii="Cambria Math" w:hAnsi="Cambria Math"/>
                      <w:color w:val="000000"/>
                      <w:sz w:val="32"/>
                      <w:szCs w:val="32"/>
                      <w:lang w:val="uk-UA"/>
                    </w:rPr>
                    <m:t>n</m:t>
                  </m:r>
                </m:sup>
                <m:e>
                  <m:sSup>
                    <m:sSupPr>
                      <m:ctrlPr>
                        <w:rPr>
                          <w:rFonts w:ascii="Cambria Math" w:hAnsi="Cambria Math"/>
                          <w:i/>
                          <w:color w:val="000000"/>
                          <w:sz w:val="32"/>
                          <w:szCs w:val="32"/>
                          <w:lang w:val="uk-UA"/>
                        </w:rPr>
                      </m:ctrlPr>
                    </m:sSupPr>
                    <m:e>
                      <m:d>
                        <m:dPr>
                          <m:ctrlPr>
                            <w:rPr>
                              <w:rFonts w:ascii="Cambria Math" w:hAnsi="Cambria Math"/>
                              <w:i/>
                              <w:color w:val="000000"/>
                              <w:sz w:val="32"/>
                              <w:szCs w:val="32"/>
                              <w:lang w:val="uk-UA"/>
                            </w:rPr>
                          </m:ctrlPr>
                        </m:dPr>
                        <m:e>
                          <m:sSubSup>
                            <m:sSubSupPr>
                              <m:ctrlPr>
                                <w:rPr>
                                  <w:rFonts w:ascii="Cambria Math" w:hAnsi="Cambria Math"/>
                                  <w:i/>
                                  <w:color w:val="000000"/>
                                  <w:sz w:val="32"/>
                                  <w:szCs w:val="32"/>
                                  <w:lang w:val="uk-UA"/>
                                </w:rPr>
                              </m:ctrlPr>
                            </m:sSubSupPr>
                            <m:e>
                              <m:r>
                                <w:rPr>
                                  <w:rFonts w:ascii="Cambria Math" w:hAnsi="Cambria Math"/>
                                  <w:color w:val="000000"/>
                                  <w:sz w:val="32"/>
                                  <w:szCs w:val="32"/>
                                  <w:lang w:val="uk-UA"/>
                                </w:rPr>
                                <m:t>x</m:t>
                              </m:r>
                            </m:e>
                            <m:sub>
                              <m:r>
                                <w:rPr>
                                  <w:rFonts w:ascii="Cambria Math" w:hAnsi="Cambria Math"/>
                                  <w:color w:val="000000"/>
                                  <w:sz w:val="32"/>
                                  <w:szCs w:val="32"/>
                                  <w:lang w:val="uk-UA"/>
                                </w:rPr>
                                <m:t>i</m:t>
                              </m:r>
                            </m:sub>
                            <m:sup>
                              <m:r>
                                <w:rPr>
                                  <w:rFonts w:ascii="Cambria Math" w:hAnsi="Cambria Math"/>
                                  <w:color w:val="000000"/>
                                  <w:sz w:val="32"/>
                                  <w:szCs w:val="32"/>
                                  <w:lang w:val="uk-UA"/>
                                </w:rPr>
                                <m:t>n</m:t>
                              </m:r>
                              <m:r>
                                <w:rPr>
                                  <w:rFonts w:ascii="Cambria Math" w:hAnsi="Cambria Math"/>
                                  <w:color w:val="000000"/>
                                  <w:sz w:val="32"/>
                                  <w:szCs w:val="32"/>
                                  <w:lang w:val="en-US"/>
                                </w:rPr>
                                <m:t>orm</m:t>
                              </m:r>
                            </m:sup>
                          </m:sSubSup>
                          <m:ctrlPr>
                            <w:rPr>
                              <w:rFonts w:ascii="Cambria Math" w:hAnsi="Cambria Math"/>
                              <w:i/>
                              <w:color w:val="000000"/>
                              <w:sz w:val="32"/>
                              <w:szCs w:val="32"/>
                              <w:lang w:val="en-US"/>
                            </w:rPr>
                          </m:ctrlPr>
                        </m:e>
                      </m:d>
                    </m:e>
                    <m:sup>
                      <m:sSub>
                        <m:sSubPr>
                          <m:ctrlPr>
                            <w:rPr>
                              <w:rFonts w:ascii="Cambria Math" w:hAnsi="Cambria Math"/>
                              <w:i/>
                              <w:color w:val="000000"/>
                              <w:sz w:val="32"/>
                              <w:szCs w:val="32"/>
                              <w:lang w:val="uk-UA"/>
                            </w:rPr>
                          </m:ctrlPr>
                        </m:sSubPr>
                        <m:e>
                          <m:r>
                            <w:rPr>
                              <w:rFonts w:ascii="Cambria Math" w:hAnsi="Cambria Math"/>
                              <w:color w:val="000000"/>
                              <w:sz w:val="32"/>
                              <w:szCs w:val="32"/>
                              <w:lang w:val="uk-UA"/>
                            </w:rPr>
                            <m:t>w</m:t>
                          </m:r>
                        </m:e>
                        <m:sub>
                          <m:r>
                            <w:rPr>
                              <w:rFonts w:ascii="Cambria Math" w:hAnsi="Cambria Math"/>
                              <w:color w:val="000000"/>
                              <w:sz w:val="32"/>
                              <w:szCs w:val="32"/>
                              <w:lang w:val="uk-UA"/>
                            </w:rPr>
                            <m:t>i</m:t>
                          </m:r>
                        </m:sub>
                      </m:sSub>
                    </m:sup>
                  </m:sSup>
                </m:e>
              </m:nary>
              <m:r>
                <w:rPr>
                  <w:rFonts w:ascii="Cambria Math" w:hAnsi="Cambria Math"/>
                  <w:color w:val="000000"/>
                  <w:sz w:val="32"/>
                  <w:szCs w:val="32"/>
                  <w:lang w:val="uk-UA"/>
                </w:rPr>
                <m:t>,#</m:t>
              </m:r>
              <m:d>
                <m:dPr>
                  <m:ctrlPr>
                    <w:rPr>
                      <w:rFonts w:ascii="Cambria Math" w:hAnsi="Cambria Math"/>
                      <w:i/>
                      <w:color w:val="000000"/>
                      <w:sz w:val="32"/>
                      <w:szCs w:val="32"/>
                      <w:lang w:val="en-US"/>
                    </w:rPr>
                  </m:ctrlPr>
                </m:dPr>
                <m:e>
                  <m:r>
                    <w:rPr>
                      <w:rFonts w:ascii="Cambria Math" w:hAnsi="Cambria Math"/>
                      <w:color w:val="000000"/>
                      <w:sz w:val="32"/>
                      <w:szCs w:val="32"/>
                      <w:lang w:val="en-US"/>
                    </w:rPr>
                    <m:t>3.9</m:t>
                  </m:r>
                </m:e>
              </m:d>
              <m:ctrlPr>
                <w:rPr>
                  <w:rFonts w:ascii="Cambria Math" w:hAnsi="Cambria Math"/>
                  <w:i/>
                  <w:color w:val="000000"/>
                  <w:sz w:val="32"/>
                  <w:szCs w:val="32"/>
                  <w:lang w:val="uk-UA"/>
                </w:rPr>
              </m:ctrlPr>
            </m:e>
          </m:eqArr>
        </m:oMath>
      </m:oMathPara>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В цьому випадку</w:t>
      </w:r>
      <w:r w:rsidRPr="005C38DA">
        <w:rPr>
          <w:color w:val="000000"/>
          <w:sz w:val="28"/>
          <w:szCs w:val="28"/>
        </w:rPr>
        <w:t xml:space="preserve"> модель відображає ефект взаємозалежності факторів та знижує вплив компенсаційного ефекту між показниками.</w:t>
      </w:r>
    </w:p>
    <w:p w:rsidR="00B37265" w:rsidRPr="005C38DA" w:rsidRDefault="00B37265" w:rsidP="005C38DA">
      <w:pPr>
        <w:pStyle w:val="a5"/>
        <w:numPr>
          <w:ilvl w:val="1"/>
          <w:numId w:val="17"/>
        </w:numPr>
        <w:spacing w:before="0" w:beforeAutospacing="0" w:after="0" w:afterAutospacing="0" w:line="360" w:lineRule="auto"/>
        <w:ind w:left="0" w:firstLine="709"/>
        <w:jc w:val="both"/>
        <w:rPr>
          <w:color w:val="000000"/>
          <w:sz w:val="28"/>
          <w:szCs w:val="28"/>
          <w:lang w:val="uk-UA"/>
        </w:rPr>
      </w:pPr>
      <w:r w:rsidRPr="005C38DA">
        <w:rPr>
          <w:color w:val="000000"/>
          <w:sz w:val="28"/>
          <w:szCs w:val="28"/>
          <w:lang w:val="uk-UA"/>
        </w:rPr>
        <w:t>Аналітична обробка даних та формування системи показників д</w:t>
      </w:r>
      <w:r w:rsidRPr="005C38DA">
        <w:rPr>
          <w:color w:val="000000"/>
          <w:sz w:val="28"/>
          <w:szCs w:val="28"/>
        </w:rPr>
        <w:t>ля забезпечення коректності агрегування застосовується нормування за формулою:</w:t>
      </w:r>
    </w:p>
    <w:p w:rsidR="00B37265" w:rsidRPr="005C38DA" w:rsidRDefault="00EB5B4E" w:rsidP="005C38DA">
      <w:pPr>
        <w:spacing w:after="0" w:line="360" w:lineRule="auto"/>
        <w:jc w:val="both"/>
        <w:rPr>
          <w:rFonts w:ascii="Times New Roman" w:hAnsi="Times New Roman"/>
          <w:sz w:val="28"/>
          <w:szCs w:val="28"/>
          <w:lang w:val="en-US"/>
        </w:rPr>
      </w:pPr>
      <m:oMathPara>
        <m:oMath>
          <m:eqArr>
            <m:eqArrPr>
              <m:maxDist m:val="1"/>
              <m:ctrlPr>
                <w:rPr>
                  <w:rFonts w:ascii="Cambria Math" w:eastAsiaTheme="minorEastAsia" w:hAnsi="Cambria Math"/>
                  <w:i/>
                  <w:sz w:val="28"/>
                  <w:szCs w:val="28"/>
                  <w:lang w:val="en-US"/>
                </w:rPr>
              </m:ctrlPr>
            </m:eqArrPr>
            <m:e>
              <m:sSubSup>
                <m:sSubSupPr>
                  <m:ctrlPr>
                    <w:rPr>
                      <w:rFonts w:ascii="Cambria Math" w:eastAsiaTheme="minorEastAsia" w:hAnsi="Cambria Math"/>
                      <w:i/>
                      <w:sz w:val="28"/>
                      <w:szCs w:val="28"/>
                      <w:lang w:val="uk-UA"/>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uk-UA"/>
                    </w:rPr>
                    <m:t>i</m:t>
                  </m:r>
                </m:sub>
                <m:sup>
                  <m:r>
                    <w:rPr>
                      <w:rFonts w:ascii="Cambria Math" w:eastAsiaTheme="minorEastAsia" w:hAnsi="Cambria Math"/>
                      <w:sz w:val="28"/>
                      <w:szCs w:val="28"/>
                      <w:lang w:val="uk-UA"/>
                    </w:rPr>
                    <m:t>n</m:t>
                  </m:r>
                  <m:r>
                    <w:rPr>
                      <w:rFonts w:ascii="Cambria Math" w:eastAsiaTheme="minorEastAsia" w:hAnsi="Cambria Math"/>
                      <w:sz w:val="28"/>
                      <w:szCs w:val="28"/>
                      <w:lang w:val="en-US"/>
                    </w:rPr>
                    <m:t>orm</m:t>
                  </m:r>
                </m:sup>
              </m:sSubSup>
              <m:r>
                <w:rPr>
                  <w:rFonts w:ascii="Cambria Math" w:eastAsiaTheme="minorEastAsia" w:hAnsi="Cambria Math"/>
                  <w:sz w:val="28"/>
                  <w:szCs w:val="28"/>
                  <w:lang w:val="en-US"/>
                </w:rPr>
                <m:t xml:space="preserve">= </m:t>
              </m:r>
              <m:f>
                <m:fPr>
                  <m:ctrlPr>
                    <w:rPr>
                      <w:rFonts w:ascii="Cambria Math" w:eastAsiaTheme="minorEastAsia" w:hAnsi="Cambria Math"/>
                      <w:i/>
                      <w:sz w:val="28"/>
                      <w:szCs w:val="28"/>
                      <w:lang w:val="en-US"/>
                    </w:rPr>
                  </m:ctrlPr>
                </m:fPr>
                <m:num>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Sub>
                  <m:r>
                    <w:rPr>
                      <w:rFonts w:ascii="Cambria Math" w:eastAsiaTheme="minorEastAsia" w:hAnsi="Cambria Math"/>
                      <w:sz w:val="28"/>
                      <w:szCs w:val="28"/>
                      <w:lang w:val="en-US"/>
                    </w:rPr>
                    <m:t>-</m:t>
                  </m:r>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min</m:t>
                      </m:r>
                    </m:sup>
                  </m:sSubSup>
                </m:num>
                <m:den>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max</m:t>
                      </m:r>
                    </m:sup>
                  </m:sSubSup>
                  <m:r>
                    <w:rPr>
                      <w:rFonts w:ascii="Cambria Math" w:eastAsiaTheme="minorEastAsia" w:hAnsi="Cambria Math"/>
                      <w:sz w:val="28"/>
                      <w:szCs w:val="28"/>
                      <w:lang w:val="en-US"/>
                    </w:rPr>
                    <m:t>-</m:t>
                  </m:r>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min</m:t>
                      </m:r>
                    </m:sup>
                  </m:sSubSup>
                </m:den>
              </m:f>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3.10</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hAnsi="Times New Roman"/>
          <w:sz w:val="28"/>
          <w:szCs w:val="28"/>
          <w:lang w:val="uk-UA"/>
        </w:rPr>
      </w:pPr>
      <w:r w:rsidRPr="005C38DA">
        <w:rPr>
          <w:rFonts w:ascii="Times New Roman" w:hAnsi="Times New Roman"/>
          <w:sz w:val="28"/>
          <w:szCs w:val="28"/>
          <w:lang w:val="uk-UA"/>
        </w:rPr>
        <w:t xml:space="preserve">де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Sub>
      </m:oMath>
      <w:r w:rsidRPr="005C38DA">
        <w:rPr>
          <w:rFonts w:ascii="Times New Roman" w:hAnsi="Times New Roman"/>
          <w:sz w:val="28"/>
          <w:szCs w:val="28"/>
          <w:lang w:val="uk-UA"/>
        </w:rPr>
        <w:t xml:space="preserve"> – фактичне значення показника;</w:t>
      </w:r>
    </w:p>
    <w:p w:rsidR="00B37265" w:rsidRPr="005C38DA" w:rsidRDefault="00B37265" w:rsidP="005C38DA">
      <w:pPr>
        <w:spacing w:after="0" w:line="360" w:lineRule="auto"/>
        <w:ind w:firstLine="709"/>
        <w:jc w:val="both"/>
        <w:rPr>
          <w:rFonts w:ascii="Times New Roman" w:hAnsi="Times New Roman"/>
          <w:sz w:val="28"/>
          <w:szCs w:val="28"/>
          <w:lang w:val="uk-UA"/>
        </w:rPr>
      </w:pPr>
      <w:r w:rsidRPr="005C38DA">
        <w:rPr>
          <w:rFonts w:ascii="Times New Roman" w:hAnsi="Times New Roman"/>
          <w:sz w:val="28"/>
          <w:szCs w:val="28"/>
          <w:lang w:val="uk-UA"/>
        </w:rPr>
        <w:t xml:space="preserve">    </w:t>
      </w:r>
      <m:oMath>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min</m:t>
            </m:r>
          </m:sup>
        </m:sSubSup>
      </m:oMath>
      <w:r w:rsidRPr="005C38DA">
        <w:rPr>
          <w:rFonts w:ascii="Times New Roman" w:hAnsi="Times New Roman"/>
          <w:sz w:val="28"/>
          <w:szCs w:val="28"/>
          <w:lang w:val="uk-UA"/>
        </w:rPr>
        <w:t xml:space="preserve">, </w:t>
      </w:r>
      <m:oMath>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max</m:t>
            </m:r>
          </m:sup>
        </m:sSubSup>
      </m:oMath>
      <w:r w:rsidRPr="005C38DA">
        <w:rPr>
          <w:rFonts w:ascii="Times New Roman" w:hAnsi="Times New Roman"/>
          <w:sz w:val="28"/>
          <w:szCs w:val="28"/>
          <w:lang w:val="uk-UA"/>
        </w:rPr>
        <w:t xml:space="preserve"> – мінімальне та максимальне значення показника в вибірці даних аналізу;</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lang w:val="uk-UA"/>
        </w:rPr>
        <w:t xml:space="preserve">   </w:t>
      </w:r>
      <m:oMath>
        <m:sSubSup>
          <m:sSubSupPr>
            <m:ctrlPr>
              <w:rPr>
                <w:rFonts w:ascii="Cambria Math" w:hAnsi="Cambria Math"/>
                <w:i/>
                <w:color w:val="000000"/>
                <w:sz w:val="28"/>
                <w:szCs w:val="28"/>
                <w:lang w:val="en-US"/>
              </w:rPr>
            </m:ctrlPr>
          </m:sSubSupPr>
          <m:e>
            <m:r>
              <w:rPr>
                <w:rFonts w:ascii="Cambria Math" w:hAnsi="Cambria Math"/>
                <w:color w:val="000000"/>
                <w:sz w:val="28"/>
                <w:szCs w:val="28"/>
                <w:lang w:val="en-US"/>
              </w:rPr>
              <m:t>x</m:t>
            </m:r>
          </m:e>
          <m:sub>
            <m:r>
              <w:rPr>
                <w:rFonts w:ascii="Cambria Math" w:hAnsi="Cambria Math"/>
                <w:color w:val="000000"/>
                <w:sz w:val="28"/>
                <w:szCs w:val="28"/>
                <w:lang w:val="en-US"/>
              </w:rPr>
              <m:t>i</m:t>
            </m:r>
          </m:sub>
          <m:sup>
            <m:r>
              <w:rPr>
                <w:rFonts w:ascii="Cambria Math" w:hAnsi="Cambria Math"/>
                <w:color w:val="000000"/>
                <w:sz w:val="28"/>
                <w:szCs w:val="28"/>
                <w:lang w:val="en-US"/>
              </w:rPr>
              <m:t>norm</m:t>
            </m:r>
          </m:sup>
        </m:sSubSup>
      </m:oMath>
      <w:r w:rsidRPr="005C38DA">
        <w:rPr>
          <w:color w:val="000000"/>
          <w:sz w:val="28"/>
          <w:szCs w:val="28"/>
          <w:lang w:val="uk-UA"/>
        </w:rPr>
        <w:t xml:space="preserve"> – нормоване значення і-го показника;</w:t>
      </w:r>
    </w:p>
    <w:p w:rsidR="00B37265" w:rsidRPr="005C38DA" w:rsidRDefault="00B37265" w:rsidP="005C38DA">
      <w:pPr>
        <w:spacing w:after="0" w:line="360" w:lineRule="auto"/>
        <w:ind w:firstLine="709"/>
        <w:jc w:val="both"/>
        <w:rPr>
          <w:rFonts w:ascii="Times New Roman" w:hAnsi="Times New Roman"/>
          <w:sz w:val="28"/>
          <w:szCs w:val="28"/>
          <w:lang w:val="uk-UA"/>
        </w:rPr>
      </w:pPr>
      <w:r w:rsidRPr="005C38DA">
        <w:rPr>
          <w:rFonts w:ascii="Times New Roman" w:hAnsi="Times New Roman"/>
          <w:sz w:val="28"/>
          <w:szCs w:val="28"/>
          <w:lang w:val="uk-UA"/>
        </w:rPr>
        <w:t>Але в той же час, для показників дестимуюлючих інвестиційну привабливість сільськогосподарських підприємств використовується інший метод обрахунку:</w:t>
      </w:r>
    </w:p>
    <w:p w:rsidR="00B37265" w:rsidRPr="005C38DA" w:rsidRDefault="00EB5B4E" w:rsidP="005C38DA">
      <w:pPr>
        <w:spacing w:after="0" w:line="360" w:lineRule="auto"/>
        <w:ind w:firstLine="709"/>
        <w:jc w:val="both"/>
        <w:rPr>
          <w:rFonts w:ascii="Times New Roman" w:hAnsi="Times New Roman"/>
          <w:sz w:val="28"/>
          <w:szCs w:val="28"/>
          <w:lang w:val="en-US"/>
        </w:rPr>
      </w:pPr>
      <m:oMathPara>
        <m:oMath>
          <m:eqArr>
            <m:eqArrPr>
              <m:maxDist m:val="1"/>
              <m:ctrlPr>
                <w:rPr>
                  <w:rFonts w:ascii="Cambria Math" w:eastAsiaTheme="minorEastAsia" w:hAnsi="Cambria Math"/>
                  <w:i/>
                  <w:sz w:val="28"/>
                  <w:szCs w:val="28"/>
                  <w:lang w:val="uk-UA"/>
                </w:rPr>
              </m:ctrlPr>
            </m:eqArrPr>
            <m:e>
              <m:sSubSup>
                <m:sSubSupPr>
                  <m:ctrlPr>
                    <w:rPr>
                      <w:rFonts w:ascii="Cambria Math" w:eastAsiaTheme="minorEastAsia" w:hAnsi="Cambria Math"/>
                      <w:i/>
                      <w:sz w:val="28"/>
                      <w:szCs w:val="28"/>
                      <w:lang w:val="uk-UA"/>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uk-UA"/>
                    </w:rPr>
                    <m:t>i</m:t>
                  </m:r>
                </m:sub>
                <m:sup>
                  <m:r>
                    <w:rPr>
                      <w:rFonts w:ascii="Cambria Math" w:eastAsiaTheme="minorEastAsia" w:hAnsi="Cambria Math"/>
                      <w:sz w:val="28"/>
                      <w:szCs w:val="28"/>
                      <w:lang w:val="uk-UA"/>
                    </w:rPr>
                    <m:t>n</m:t>
                  </m:r>
                  <m:r>
                    <w:rPr>
                      <w:rFonts w:ascii="Cambria Math" w:eastAsiaTheme="minorEastAsia" w:hAnsi="Cambria Math"/>
                      <w:sz w:val="28"/>
                      <w:szCs w:val="28"/>
                      <w:lang w:val="en-US"/>
                    </w:rPr>
                    <m:t>orm</m:t>
                  </m:r>
                </m:sup>
              </m:sSubSup>
              <m:r>
                <w:rPr>
                  <w:rFonts w:ascii="Cambria Math" w:eastAsiaTheme="minorEastAsia" w:hAnsi="Cambria Math"/>
                  <w:sz w:val="28"/>
                  <w:szCs w:val="28"/>
                  <w:lang w:val="en-US"/>
                </w:rPr>
                <m:t xml:space="preserve">= </m:t>
              </m:r>
              <m:f>
                <m:fPr>
                  <m:ctrlPr>
                    <w:rPr>
                      <w:rFonts w:ascii="Cambria Math" w:eastAsiaTheme="minorEastAsia" w:hAnsi="Cambria Math"/>
                      <w:i/>
                      <w:sz w:val="28"/>
                      <w:szCs w:val="28"/>
                      <w:lang w:val="en-US"/>
                    </w:rPr>
                  </m:ctrlPr>
                </m:fPr>
                <m:num>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max</m:t>
                      </m:r>
                    </m:sup>
                  </m:sSubSup>
                  <m:r>
                    <w:rPr>
                      <w:rFonts w:ascii="Cambria Math" w:eastAsiaTheme="minorEastAsia" w:hAnsi="Cambria Math"/>
                      <w:sz w:val="28"/>
                      <w:szCs w:val="28"/>
                      <w:lang w:val="uk-UA"/>
                    </w:rPr>
                    <m:t xml:space="preserve">- </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Sub>
                </m:num>
                <m:den>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max</m:t>
                      </m:r>
                    </m:sup>
                  </m:sSubSup>
                  <m:r>
                    <w:rPr>
                      <w:rFonts w:ascii="Cambria Math" w:eastAsiaTheme="minorEastAsia" w:hAnsi="Cambria Math"/>
                      <w:sz w:val="28"/>
                      <w:szCs w:val="28"/>
                      <w:lang w:val="en-US"/>
                    </w:rPr>
                    <m:t>-</m:t>
                  </m:r>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m:t>
                      </m:r>
                    </m:sub>
                    <m:sup>
                      <m:r>
                        <w:rPr>
                          <w:rFonts w:ascii="Cambria Math" w:eastAsiaTheme="minorEastAsia" w:hAnsi="Cambria Math"/>
                          <w:sz w:val="28"/>
                          <w:szCs w:val="28"/>
                          <w:lang w:val="en-US"/>
                        </w:rPr>
                        <m:t>min</m:t>
                      </m:r>
                    </m:sup>
                  </m:sSubSup>
                </m:den>
              </m:f>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3.11</m:t>
                  </m:r>
                </m:e>
              </m:d>
            </m:e>
          </m:eqArr>
        </m:oMath>
      </m:oMathPara>
    </w:p>
    <w:p w:rsidR="00B37265" w:rsidRPr="005C38DA" w:rsidRDefault="00B37265" w:rsidP="005C38DA">
      <w:pPr>
        <w:spacing w:after="0" w:line="360" w:lineRule="auto"/>
        <w:ind w:firstLine="709"/>
        <w:jc w:val="both"/>
        <w:rPr>
          <w:rFonts w:ascii="Times New Roman" w:hAnsi="Times New Roman"/>
          <w:color w:val="000000"/>
          <w:sz w:val="28"/>
          <w:szCs w:val="28"/>
          <w:lang w:val="uk-UA"/>
        </w:rPr>
      </w:pPr>
      <w:r w:rsidRPr="005C38DA">
        <w:rPr>
          <w:rFonts w:ascii="Times New Roman" w:hAnsi="Times New Roman"/>
          <w:sz w:val="28"/>
          <w:szCs w:val="28"/>
          <w:lang w:val="uk-UA"/>
        </w:rPr>
        <w:t xml:space="preserve">Відповідно, таке розмежування </w:t>
      </w:r>
      <w:r w:rsidRPr="005C38DA">
        <w:rPr>
          <w:rFonts w:ascii="Times New Roman" w:hAnsi="Times New Roman"/>
          <w:color w:val="000000"/>
          <w:sz w:val="28"/>
          <w:szCs w:val="28"/>
        </w:rPr>
        <w:t>забезпечує</w:t>
      </w:r>
      <w:r w:rsidRPr="005C38DA">
        <w:rPr>
          <w:rFonts w:ascii="Times New Roman" w:hAnsi="Times New Roman"/>
          <w:color w:val="000000"/>
          <w:sz w:val="28"/>
          <w:szCs w:val="28"/>
          <w:lang w:val="en-US"/>
        </w:rPr>
        <w:t xml:space="preserve"> </w:t>
      </w:r>
      <w:r w:rsidRPr="005C38DA">
        <w:rPr>
          <w:rFonts w:ascii="Times New Roman" w:hAnsi="Times New Roman"/>
          <w:color w:val="000000"/>
          <w:sz w:val="28"/>
          <w:szCs w:val="28"/>
        </w:rPr>
        <w:t>уніфікаці</w:t>
      </w:r>
      <w:r w:rsidRPr="005C38DA">
        <w:rPr>
          <w:rFonts w:ascii="Times New Roman" w:hAnsi="Times New Roman"/>
          <w:color w:val="000000"/>
          <w:sz w:val="28"/>
          <w:szCs w:val="28"/>
          <w:lang w:val="uk-UA"/>
        </w:rPr>
        <w:t>ю</w:t>
      </w:r>
      <w:r w:rsidRPr="005C38DA">
        <w:rPr>
          <w:rFonts w:ascii="Times New Roman" w:hAnsi="Times New Roman"/>
          <w:color w:val="000000"/>
          <w:sz w:val="28"/>
          <w:szCs w:val="28"/>
          <w:lang w:val="en-US"/>
        </w:rPr>
        <w:t xml:space="preserve"> </w:t>
      </w:r>
      <w:r w:rsidRPr="005C38DA">
        <w:rPr>
          <w:rFonts w:ascii="Times New Roman" w:hAnsi="Times New Roman"/>
          <w:color w:val="000000"/>
          <w:sz w:val="28"/>
          <w:szCs w:val="28"/>
        </w:rPr>
        <w:t>напрямку</w:t>
      </w:r>
      <w:r w:rsidRPr="005C38DA">
        <w:rPr>
          <w:rFonts w:ascii="Times New Roman" w:hAnsi="Times New Roman"/>
          <w:color w:val="000000"/>
          <w:sz w:val="28"/>
          <w:szCs w:val="28"/>
          <w:lang w:val="en-US"/>
        </w:rPr>
        <w:t xml:space="preserve"> </w:t>
      </w:r>
      <w:r w:rsidRPr="005C38DA">
        <w:rPr>
          <w:rFonts w:ascii="Times New Roman" w:hAnsi="Times New Roman"/>
          <w:color w:val="000000"/>
          <w:sz w:val="28"/>
          <w:szCs w:val="28"/>
        </w:rPr>
        <w:t>впливу</w:t>
      </w:r>
      <w:r w:rsidRPr="005C38DA">
        <w:rPr>
          <w:rFonts w:ascii="Times New Roman" w:hAnsi="Times New Roman"/>
          <w:color w:val="000000"/>
          <w:sz w:val="28"/>
          <w:szCs w:val="28"/>
          <w:lang w:val="en-US"/>
        </w:rPr>
        <w:t xml:space="preserve"> </w:t>
      </w:r>
      <w:r w:rsidRPr="005C38DA">
        <w:rPr>
          <w:rFonts w:ascii="Times New Roman" w:hAnsi="Times New Roman"/>
          <w:color w:val="000000"/>
          <w:sz w:val="28"/>
          <w:szCs w:val="28"/>
        </w:rPr>
        <w:t>показників</w:t>
      </w:r>
      <w:r w:rsidRPr="005C38DA">
        <w:rPr>
          <w:rFonts w:ascii="Times New Roman" w:hAnsi="Times New Roman"/>
          <w:color w:val="000000"/>
          <w:sz w:val="28"/>
          <w:szCs w:val="28"/>
          <w:lang w:val="en-US"/>
        </w:rPr>
        <w:t>.</w:t>
      </w:r>
    </w:p>
    <w:p w:rsidR="00B37265" w:rsidRPr="005C38DA" w:rsidRDefault="00B37265" w:rsidP="005C38DA">
      <w:pPr>
        <w:pStyle w:val="a6"/>
        <w:numPr>
          <w:ilvl w:val="1"/>
          <w:numId w:val="17"/>
        </w:numPr>
        <w:spacing w:after="0" w:line="360" w:lineRule="auto"/>
        <w:ind w:left="0" w:firstLine="709"/>
        <w:contextualSpacing w:val="0"/>
        <w:jc w:val="both"/>
        <w:rPr>
          <w:rFonts w:ascii="Times New Roman" w:hAnsi="Times New Roman"/>
          <w:sz w:val="28"/>
          <w:szCs w:val="28"/>
          <w:lang w:val="uk-UA"/>
        </w:rPr>
      </w:pPr>
      <w:r w:rsidRPr="005C38DA">
        <w:rPr>
          <w:rFonts w:ascii="Times New Roman" w:hAnsi="Times New Roman"/>
          <w:sz w:val="28"/>
          <w:szCs w:val="28"/>
          <w:lang w:val="uk-UA"/>
        </w:rPr>
        <w:t xml:space="preserve">Визначення вагових коефіцієнтів. </w:t>
      </w:r>
      <w:r w:rsidRPr="005C38DA">
        <w:rPr>
          <w:rFonts w:ascii="Times New Roman" w:hAnsi="Times New Roman"/>
          <w:color w:val="000000"/>
          <w:sz w:val="28"/>
          <w:szCs w:val="28"/>
          <w:lang w:val="uk-UA"/>
        </w:rPr>
        <w:t>Для уникнення суб’єктивізму доцільно використовувати ентропійний підхід:</w:t>
      </w:r>
    </w:p>
    <w:p w:rsidR="00B37265" w:rsidRPr="005C38DA" w:rsidRDefault="00EB5B4E" w:rsidP="005C38DA">
      <w:pPr>
        <w:spacing w:after="0" w:line="360" w:lineRule="auto"/>
        <w:jc w:val="both"/>
        <w:rPr>
          <w:rFonts w:ascii="Times New Roman" w:eastAsiaTheme="minorEastAsia" w:hAnsi="Times New Roman"/>
          <w:sz w:val="28"/>
          <w:szCs w:val="28"/>
          <w:lang w:val="en-US"/>
        </w:rPr>
      </w:pPr>
      <m:oMathPara>
        <m:oMath>
          <m:eqArr>
            <m:eqArrPr>
              <m:maxDist m:val="1"/>
              <m:ctrlPr>
                <w:rPr>
                  <w:rFonts w:ascii="Cambria Math" w:hAnsi="Cambria Math"/>
                  <w:i/>
                  <w:sz w:val="28"/>
                  <w:szCs w:val="28"/>
                  <w:lang w:val="en-US"/>
                </w:rPr>
              </m:ctrlPr>
            </m:eqArrPr>
            <m:e>
              <m:sSub>
                <m:sSubPr>
                  <m:ctrlPr>
                    <w:rPr>
                      <w:rFonts w:ascii="Cambria Math" w:hAnsi="Cambria Math"/>
                      <w:i/>
                      <w:sz w:val="28"/>
                      <w:szCs w:val="28"/>
                      <w:lang w:val="uk-UA"/>
                    </w:rPr>
                  </m:ctrlPr>
                </m:sSubPr>
                <m:e>
                  <m:r>
                    <w:rPr>
                      <w:rFonts w:ascii="Cambria Math" w:hAnsi="Cambria Math"/>
                      <w:sz w:val="28"/>
                      <w:szCs w:val="28"/>
                      <w:lang w:val="en-US"/>
                    </w:rPr>
                    <m:t>w</m:t>
                  </m:r>
                </m:e>
                <m:sub>
                  <m:r>
                    <w:rPr>
                      <w:rFonts w:ascii="Cambria Math" w:hAnsi="Cambria Math"/>
                      <w:sz w:val="28"/>
                      <w:szCs w:val="28"/>
                      <w:lang w:val="uk-UA"/>
                    </w:rPr>
                    <m:t>i</m:t>
                  </m:r>
                </m:sub>
              </m:sSub>
              <m:r>
                <w:rPr>
                  <w:rFonts w:ascii="Cambria Math" w:hAnsi="Cambria Math"/>
                  <w:sz w:val="28"/>
                  <w:szCs w:val="28"/>
                  <w:lang w:val="en-US"/>
                </w:rPr>
                <m:t xml:space="preserve">= </m:t>
              </m:r>
              <m:f>
                <m:fPr>
                  <m:ctrlPr>
                    <w:rPr>
                      <w:rFonts w:ascii="Cambria Math" w:hAnsi="Cambria Math"/>
                      <w:i/>
                      <w:sz w:val="28"/>
                      <w:szCs w:val="28"/>
                      <w:lang w:val="en-US"/>
                    </w:rPr>
                  </m:ctrlPr>
                </m:fPr>
                <m:num>
                  <m:r>
                    <w:rPr>
                      <w:rFonts w:ascii="Cambria Math" w:hAnsi="Cambria Math"/>
                      <w:sz w:val="28"/>
                      <w:szCs w:val="28"/>
                      <w:lang w:val="en-US"/>
                    </w:rPr>
                    <m:t>1-</m:t>
                  </m:r>
                  <m:sSub>
                    <m:sSubPr>
                      <m:ctrlPr>
                        <w:rPr>
                          <w:rFonts w:ascii="Cambria Math" w:hAnsi="Cambria Math"/>
                          <w:i/>
                          <w:sz w:val="28"/>
                          <w:szCs w:val="28"/>
                          <w:lang w:val="en-US"/>
                        </w:rPr>
                      </m:ctrlPr>
                    </m:sSubPr>
                    <m:e>
                      <m:r>
                        <w:rPr>
                          <w:rFonts w:ascii="Cambria Math" w:hAnsi="Cambria Math"/>
                          <w:sz w:val="28"/>
                          <w:szCs w:val="28"/>
                          <w:lang w:val="en-US"/>
                        </w:rPr>
                        <m:t>E</m:t>
                      </m:r>
                    </m:e>
                    <m:sub>
                      <m:r>
                        <w:rPr>
                          <w:rFonts w:ascii="Cambria Math" w:hAnsi="Cambria Math"/>
                          <w:sz w:val="28"/>
                          <w:szCs w:val="28"/>
                          <w:lang w:val="en-US"/>
                        </w:rPr>
                        <m:t>i</m:t>
                      </m:r>
                    </m:sub>
                  </m:sSub>
                </m:num>
                <m:den>
                  <m:nary>
                    <m:naryPr>
                      <m:chr m:val="∑"/>
                      <m:limLoc m:val="subSup"/>
                      <m:ctrlPr>
                        <w:rPr>
                          <w:rFonts w:ascii="Cambria Math" w:hAnsi="Cambria Math"/>
                          <w:i/>
                          <w:sz w:val="28"/>
                          <w:szCs w:val="28"/>
                          <w:lang w:val="en-US"/>
                        </w:rPr>
                      </m:ctrlPr>
                    </m:naryPr>
                    <m:sub>
                      <m:r>
                        <w:rPr>
                          <w:rFonts w:ascii="Cambria Math" w:hAnsi="Cambria Math"/>
                          <w:sz w:val="28"/>
                          <w:szCs w:val="28"/>
                          <w:lang w:val="en-US"/>
                        </w:rPr>
                        <m:t>i=q</m:t>
                      </m:r>
                    </m:sub>
                    <m:sup>
                      <m:r>
                        <w:rPr>
                          <w:rFonts w:ascii="Cambria Math" w:hAnsi="Cambria Math"/>
                          <w:sz w:val="28"/>
                          <w:szCs w:val="28"/>
                          <w:lang w:val="en-US"/>
                        </w:rPr>
                        <m:t>n</m:t>
                      </m:r>
                    </m:sup>
                    <m:e>
                      <m:d>
                        <m:dPr>
                          <m:ctrlPr>
                            <w:rPr>
                              <w:rFonts w:ascii="Cambria Math" w:hAnsi="Cambria Math"/>
                              <w:i/>
                              <w:sz w:val="28"/>
                              <w:szCs w:val="28"/>
                              <w:lang w:val="en-US"/>
                            </w:rPr>
                          </m:ctrlPr>
                        </m:dPr>
                        <m:e>
                          <m:r>
                            <w:rPr>
                              <w:rFonts w:ascii="Cambria Math" w:hAnsi="Cambria Math"/>
                              <w:sz w:val="28"/>
                              <w:szCs w:val="28"/>
                              <w:lang w:val="en-US"/>
                            </w:rPr>
                            <m:t>1-</m:t>
                          </m:r>
                          <m:sSub>
                            <m:sSubPr>
                              <m:ctrlPr>
                                <w:rPr>
                                  <w:rFonts w:ascii="Cambria Math" w:hAnsi="Cambria Math"/>
                                  <w:i/>
                                  <w:sz w:val="28"/>
                                  <w:szCs w:val="28"/>
                                  <w:lang w:val="en-US"/>
                                </w:rPr>
                              </m:ctrlPr>
                            </m:sSubPr>
                            <m:e>
                              <m:r>
                                <w:rPr>
                                  <w:rFonts w:ascii="Cambria Math" w:hAnsi="Cambria Math"/>
                                  <w:sz w:val="28"/>
                                  <w:szCs w:val="28"/>
                                  <w:lang w:val="en-US"/>
                                </w:rPr>
                                <m:t>E</m:t>
                              </m:r>
                            </m:e>
                            <m:sub>
                              <m:r>
                                <w:rPr>
                                  <w:rFonts w:ascii="Cambria Math" w:hAnsi="Cambria Math"/>
                                  <w:sz w:val="28"/>
                                  <w:szCs w:val="28"/>
                                  <w:lang w:val="en-US"/>
                                </w:rPr>
                                <m:t>i</m:t>
                              </m:r>
                            </m:sub>
                          </m:sSub>
                        </m:e>
                      </m:d>
                    </m:e>
                  </m:nary>
                </m:den>
              </m:f>
              <m:r>
                <w:rPr>
                  <w:rFonts w:ascii="Cambria Math" w:hAnsi="Cambria Math"/>
                  <w:sz w:val="28"/>
                  <w:szCs w:val="28"/>
                  <w:lang w:val="en-US"/>
                </w:rPr>
                <m:t>,</m:t>
              </m:r>
              <m:r>
                <w:rPr>
                  <w:rFonts w:ascii="Cambria Math" w:hAnsi="Cambria Math"/>
                  <w:sz w:val="28"/>
                  <w:szCs w:val="28"/>
                  <w:lang w:val="uk-UA"/>
                </w:rPr>
                <m:t>#</m:t>
              </m:r>
              <m:d>
                <m:dPr>
                  <m:ctrlPr>
                    <w:rPr>
                      <w:rFonts w:ascii="Cambria Math" w:hAnsi="Cambria Math"/>
                      <w:i/>
                      <w:sz w:val="28"/>
                      <w:szCs w:val="28"/>
                      <w:lang w:val="en-US"/>
                    </w:rPr>
                  </m:ctrlPr>
                </m:dPr>
                <m:e>
                  <m:r>
                    <w:rPr>
                      <w:rFonts w:ascii="Cambria Math" w:hAnsi="Cambria Math"/>
                      <w:sz w:val="28"/>
                      <w:szCs w:val="28"/>
                      <w:lang w:val="en-US"/>
                    </w:rPr>
                    <m:t>3.12</m:t>
                  </m:r>
                </m:e>
              </m:d>
              <m:ctrlPr>
                <w:rPr>
                  <w:rFonts w:ascii="Cambria Math"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де ентропія визначається як:</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sSub>
                <m:sSubPr>
                  <m:ctrlPr>
                    <w:rPr>
                      <w:rFonts w:ascii="Cambria Math" w:eastAsiaTheme="minorEastAsia" w:hAnsi="Cambria Math"/>
                      <w:i/>
                      <w:sz w:val="28"/>
                      <w:szCs w:val="28"/>
                      <w:lang w:val="uk-UA"/>
                    </w:rPr>
                  </m:ctrlPr>
                </m:sSubPr>
                <m:e>
                  <m:r>
                    <w:rPr>
                      <w:rFonts w:ascii="Cambria Math" w:eastAsiaTheme="minorEastAsia" w:hAnsi="Cambria Math"/>
                      <w:sz w:val="28"/>
                      <w:szCs w:val="28"/>
                      <w:lang w:val="en-US"/>
                    </w:rPr>
                    <m:t>E</m:t>
                  </m:r>
                </m:e>
                <m:sub>
                  <m:r>
                    <w:rPr>
                      <w:rFonts w:ascii="Cambria Math" w:eastAsiaTheme="minorEastAsia" w:hAnsi="Cambria Math"/>
                      <w:sz w:val="28"/>
                      <w:szCs w:val="28"/>
                      <w:lang w:val="uk-UA"/>
                    </w:rPr>
                    <m:t>i</m:t>
                  </m:r>
                </m:sub>
              </m:sSub>
              <m:r>
                <w:rPr>
                  <w:rFonts w:ascii="Cambria Math" w:eastAsiaTheme="minorEastAsia" w:hAnsi="Cambria Math"/>
                  <w:sz w:val="28"/>
                  <w:szCs w:val="28"/>
                  <w:lang w:val="uk-UA"/>
                </w:rPr>
                <m:t>=</m:t>
              </m:r>
              <m:r>
                <w:rPr>
                  <w:rFonts w:ascii="Cambria Math" w:eastAsiaTheme="minorEastAsia" w:hAnsi="Cambria Math"/>
                  <w:sz w:val="28"/>
                  <w:szCs w:val="28"/>
                  <w:lang w:val="en-US"/>
                </w:rPr>
                <m:t xml:space="preserve"> -k</m:t>
              </m:r>
              <m:nary>
                <m:naryPr>
                  <m:chr m:val="∑"/>
                  <m:limLoc m:val="subSup"/>
                  <m:ctrlPr>
                    <w:rPr>
                      <w:rFonts w:ascii="Cambria Math" w:eastAsiaTheme="minorEastAsia" w:hAnsi="Cambria Math"/>
                      <w:i/>
                      <w:sz w:val="28"/>
                      <w:szCs w:val="28"/>
                      <w:lang w:val="en-US"/>
                    </w:rPr>
                  </m:ctrlPr>
                </m:naryPr>
                <m:sub>
                  <m:r>
                    <w:rPr>
                      <w:rFonts w:ascii="Cambria Math" w:eastAsiaTheme="minorEastAsia" w:hAnsi="Cambria Math"/>
                      <w:sz w:val="28"/>
                      <w:szCs w:val="28"/>
                      <w:lang w:val="en-US"/>
                    </w:rPr>
                    <m:t>j=1</m:t>
                  </m:r>
                </m:sub>
                <m:sup>
                  <m:r>
                    <w:rPr>
                      <w:rFonts w:ascii="Cambria Math" w:eastAsiaTheme="minorEastAsia" w:hAnsi="Cambria Math"/>
                      <w:sz w:val="28"/>
                      <w:szCs w:val="28"/>
                      <w:lang w:val="en-US"/>
                    </w:rPr>
                    <m:t>m</m:t>
                  </m:r>
                </m:sup>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p</m:t>
                      </m:r>
                    </m:e>
                    <m:sub>
                      <m:r>
                        <w:rPr>
                          <w:rFonts w:ascii="Cambria Math" w:eastAsiaTheme="minorEastAsia" w:hAnsi="Cambria Math"/>
                          <w:sz w:val="28"/>
                          <w:szCs w:val="28"/>
                          <w:lang w:val="en-US"/>
                        </w:rPr>
                        <m:t>ij</m:t>
                      </m:r>
                    </m:sub>
                  </m:sSub>
                  <m:func>
                    <m:funcPr>
                      <m:ctrlPr>
                        <w:rPr>
                          <w:rFonts w:ascii="Cambria Math" w:eastAsiaTheme="minorEastAsia" w:hAnsi="Cambria Math"/>
                          <w:sz w:val="28"/>
                          <w:szCs w:val="28"/>
                          <w:lang w:val="en-US"/>
                        </w:rPr>
                      </m:ctrlPr>
                    </m:funcPr>
                    <m:fName>
                      <m:r>
                        <m:rPr>
                          <m:sty m:val="p"/>
                        </m:rPr>
                        <w:rPr>
                          <w:rFonts w:ascii="Cambria Math" w:eastAsiaTheme="minorEastAsia" w:hAnsi="Cambria Math"/>
                          <w:sz w:val="28"/>
                          <w:szCs w:val="28"/>
                          <w:lang w:val="en-US"/>
                        </w:rPr>
                        <m:t>ln</m:t>
                      </m:r>
                      <m:ctrlPr>
                        <w:rPr>
                          <w:rFonts w:ascii="Cambria Math" w:eastAsiaTheme="minorEastAsia" w:hAnsi="Cambria Math"/>
                          <w:i/>
                          <w:sz w:val="28"/>
                          <w:szCs w:val="28"/>
                          <w:lang w:val="en-US"/>
                        </w:rPr>
                      </m:ctrlPr>
                    </m:fName>
                    <m:e>
                      <m:d>
                        <m:dPr>
                          <m:ctrlPr>
                            <w:rPr>
                              <w:rFonts w:ascii="Cambria Math" w:eastAsiaTheme="minorEastAsia" w:hAnsi="Cambria Math"/>
                              <w:i/>
                              <w:sz w:val="28"/>
                              <w:szCs w:val="28"/>
                              <w:lang w:val="en-US"/>
                            </w:rPr>
                          </m:ctrlPr>
                        </m:d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p</m:t>
                              </m:r>
                            </m:e>
                            <m:sub>
                              <m:r>
                                <w:rPr>
                                  <w:rFonts w:ascii="Cambria Math" w:eastAsiaTheme="minorEastAsia" w:hAnsi="Cambria Math"/>
                                  <w:sz w:val="28"/>
                                  <w:szCs w:val="28"/>
                                  <w:lang w:val="en-US"/>
                                </w:rPr>
                                <m:t>ij</m:t>
                              </m:r>
                            </m:sub>
                          </m:sSub>
                        </m:e>
                      </m:d>
                    </m:e>
                  </m:func>
                </m:e>
              </m:nary>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3.13</m:t>
                  </m:r>
                </m:e>
              </m:d>
              <m:ctrlPr>
                <w:rPr>
                  <w:rFonts w:ascii="Cambria Math" w:eastAsiaTheme="minorEastAsia" w:hAnsi="Cambria Math"/>
                  <w:i/>
                  <w:sz w:val="28"/>
                  <w:szCs w:val="28"/>
                  <w:lang w:val="uk-UA"/>
                </w:rPr>
              </m:ctrlPr>
            </m:e>
          </m:eqArr>
        </m:oMath>
      </m:oMathPara>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p</m:t>
                  </m:r>
                </m:e>
                <m:sub>
                  <m:r>
                    <w:rPr>
                      <w:rFonts w:ascii="Cambria Math" w:eastAsiaTheme="minorEastAsia" w:hAnsi="Cambria Math"/>
                      <w:sz w:val="28"/>
                      <w:szCs w:val="28"/>
                      <w:lang w:val="en-US"/>
                    </w:rPr>
                    <m:t>ij</m:t>
                  </m:r>
                </m:sub>
              </m:sSub>
              <m:r>
                <w:rPr>
                  <w:rFonts w:ascii="Cambria Math" w:eastAsiaTheme="minorEastAsia" w:hAnsi="Cambria Math"/>
                  <w:sz w:val="28"/>
                  <w:szCs w:val="28"/>
                  <w:lang w:val="en-US"/>
                </w:rPr>
                <m:t xml:space="preserve">= </m:t>
              </m:r>
              <m:f>
                <m:fPr>
                  <m:ctrlPr>
                    <w:rPr>
                      <w:rFonts w:ascii="Cambria Math" w:eastAsiaTheme="minorEastAsia" w:hAnsi="Cambria Math"/>
                      <w:i/>
                      <w:sz w:val="28"/>
                      <w:szCs w:val="28"/>
                      <w:lang w:val="en-US"/>
                    </w:rPr>
                  </m:ctrlPr>
                </m:fPr>
                <m:num>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ij</m:t>
                      </m:r>
                    </m:sub>
                    <m:sup>
                      <m:r>
                        <w:rPr>
                          <w:rFonts w:ascii="Cambria Math" w:eastAsiaTheme="minorEastAsia" w:hAnsi="Cambria Math"/>
                          <w:sz w:val="28"/>
                          <w:szCs w:val="28"/>
                          <w:lang w:val="en-US"/>
                        </w:rPr>
                        <m:t>norm</m:t>
                      </m:r>
                    </m:sup>
                  </m:sSubSup>
                </m:num>
                <m:den>
                  <m:nary>
                    <m:naryPr>
                      <m:chr m:val="∑"/>
                      <m:limLoc m:val="subSup"/>
                      <m:ctrlPr>
                        <w:rPr>
                          <w:rFonts w:ascii="Cambria Math" w:eastAsiaTheme="minorEastAsia" w:hAnsi="Cambria Math"/>
                          <w:i/>
                          <w:sz w:val="28"/>
                          <w:szCs w:val="28"/>
                          <w:lang w:val="en-US"/>
                        </w:rPr>
                      </m:ctrlPr>
                    </m:naryPr>
                    <m:sub>
                      <m:r>
                        <w:rPr>
                          <w:rFonts w:ascii="Cambria Math" w:eastAsiaTheme="minorEastAsia" w:hAnsi="Cambria Math"/>
                          <w:sz w:val="28"/>
                          <w:szCs w:val="28"/>
                          <w:lang w:val="en-US"/>
                        </w:rPr>
                        <m:t>j=1</m:t>
                      </m:r>
                    </m:sub>
                    <m:sup>
                      <m:r>
                        <w:rPr>
                          <w:rFonts w:ascii="Cambria Math" w:eastAsiaTheme="minorEastAsia" w:hAnsi="Cambria Math"/>
                          <w:sz w:val="28"/>
                          <w:szCs w:val="28"/>
                          <w:lang w:val="en-US"/>
                        </w:rPr>
                        <m:t>m</m:t>
                      </m:r>
                    </m:sup>
                    <m:e>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x</m:t>
                          </m:r>
                        </m:e>
                        <m:sub>
                          <m:r>
                            <w:rPr>
                              <w:rFonts w:ascii="Cambria Math" w:eastAsiaTheme="minorEastAsia" w:hAnsi="Cambria Math"/>
                              <w:sz w:val="28"/>
                              <w:szCs w:val="28"/>
                              <w:lang w:val="en-US"/>
                            </w:rPr>
                            <m:t>ij</m:t>
                          </m:r>
                        </m:sub>
                        <m:sup>
                          <m:r>
                            <w:rPr>
                              <w:rFonts w:ascii="Cambria Math" w:eastAsiaTheme="minorEastAsia" w:hAnsi="Cambria Math"/>
                              <w:sz w:val="28"/>
                              <w:szCs w:val="28"/>
                              <w:lang w:val="en-US"/>
                            </w:rPr>
                            <m:t>norm</m:t>
                          </m:r>
                        </m:sup>
                      </m:sSubSup>
                    </m:e>
                  </m:nary>
                </m:den>
              </m:f>
              <m:r>
                <w:rPr>
                  <w:rFonts w:ascii="Cambria Math" w:eastAsiaTheme="minorEastAsia" w:hAnsi="Cambria Math"/>
                  <w:sz w:val="28"/>
                  <w:szCs w:val="28"/>
                  <w:lang w:val="en-US"/>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3.14</m:t>
                  </m:r>
                </m:e>
              </m:d>
            </m:e>
          </m:eqArr>
        </m:oMath>
      </m:oMathPara>
    </w:p>
    <w:p w:rsidR="00B37265" w:rsidRPr="005C38DA" w:rsidRDefault="00B37265" w:rsidP="005C38DA">
      <w:pPr>
        <w:spacing w:after="0" w:line="360" w:lineRule="auto"/>
        <w:ind w:firstLine="708"/>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m:oMath>
        <m:sSub>
          <m:sSubPr>
            <m:ctrlPr>
              <w:rPr>
                <w:rFonts w:ascii="Cambria Math" w:eastAsiaTheme="minorEastAsia" w:hAnsi="Cambria Math"/>
                <w:i/>
                <w:sz w:val="28"/>
                <w:szCs w:val="28"/>
                <w:lang w:val="uk-UA"/>
              </w:rPr>
            </m:ctrlPr>
          </m:sSubPr>
          <m:e>
            <m:r>
              <w:rPr>
                <w:rFonts w:ascii="Cambria Math" w:eastAsiaTheme="minorEastAsia" w:hAnsi="Cambria Math"/>
                <w:sz w:val="28"/>
                <w:szCs w:val="28"/>
                <w:lang w:val="en-US"/>
              </w:rPr>
              <m:t>E</m:t>
            </m:r>
          </m:e>
          <m:sub>
            <m:r>
              <w:rPr>
                <w:rFonts w:ascii="Cambria Math" w:eastAsiaTheme="minorEastAsia" w:hAnsi="Cambria Math"/>
                <w:sz w:val="28"/>
                <w:szCs w:val="28"/>
                <w:lang w:val="uk-UA"/>
              </w:rPr>
              <m:t>i</m:t>
            </m:r>
          </m:sub>
        </m:sSub>
      </m:oMath>
      <w:r w:rsidRPr="005C38DA">
        <w:rPr>
          <w:rFonts w:ascii="Times New Roman" w:eastAsiaTheme="minorEastAsia" w:hAnsi="Times New Roman"/>
          <w:sz w:val="28"/>
          <w:szCs w:val="28"/>
          <w:lang w:val="uk-UA"/>
        </w:rPr>
        <w:t xml:space="preserve"> – ентропійний показник;</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p</m:t>
            </m:r>
          </m:e>
          <m:sub>
            <m:r>
              <w:rPr>
                <w:rFonts w:ascii="Cambria Math" w:eastAsiaTheme="minorEastAsia" w:hAnsi="Cambria Math"/>
                <w:sz w:val="28"/>
                <w:szCs w:val="28"/>
                <w:lang w:val="en-US"/>
              </w:rPr>
              <m:t>ij</m:t>
            </m:r>
          </m:sub>
        </m:sSub>
      </m:oMath>
      <w:r w:rsidRPr="005C38DA">
        <w:rPr>
          <w:rFonts w:ascii="Times New Roman" w:eastAsiaTheme="minorEastAsia" w:hAnsi="Times New Roman"/>
          <w:sz w:val="28"/>
          <w:szCs w:val="28"/>
          <w:lang w:val="uk-UA"/>
        </w:rPr>
        <w:t xml:space="preserve"> – частка і-го показника для </w:t>
      </w:r>
      <w:r w:rsidRPr="005C38DA">
        <w:rPr>
          <w:rFonts w:ascii="Times New Roman" w:eastAsiaTheme="minorEastAsia" w:hAnsi="Times New Roman"/>
          <w:sz w:val="28"/>
          <w:szCs w:val="28"/>
          <w:lang w:val="en-US"/>
        </w:rPr>
        <w:t>j</w:t>
      </w:r>
      <w:r w:rsidRPr="005C38DA">
        <w:rPr>
          <w:rFonts w:ascii="Times New Roman" w:eastAsiaTheme="minorEastAsia" w:hAnsi="Times New Roman"/>
          <w:sz w:val="28"/>
          <w:szCs w:val="28"/>
          <w:lang w:val="uk-UA"/>
        </w:rPr>
        <w:t>-го підприємства;</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m</w:t>
      </w:r>
      <w:r w:rsidRPr="005C38DA">
        <w:rPr>
          <w:rFonts w:ascii="Times New Roman" w:eastAsiaTheme="minorEastAsia" w:hAnsi="Times New Roman"/>
          <w:sz w:val="28"/>
          <w:szCs w:val="28"/>
          <w:lang w:val="uk-UA"/>
        </w:rPr>
        <w:t xml:space="preserve"> – кількість підприємства для аналізу;</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m:oMath>
        <m:r>
          <w:rPr>
            <w:rFonts w:ascii="Cambria Math" w:eastAsiaTheme="minorEastAsia" w:hAnsi="Cambria Math"/>
            <w:sz w:val="28"/>
            <w:szCs w:val="28"/>
            <w:lang w:val="uk-UA"/>
          </w:rPr>
          <m:t>k</m:t>
        </m:r>
        <m:r>
          <w:rPr>
            <w:rFonts w:ascii="Cambria Math" w:eastAsiaTheme="minorEastAsia" w:hAnsi="Cambria Math"/>
            <w:sz w:val="28"/>
            <w:szCs w:val="28"/>
          </w:rPr>
          <m:t>=1/</m:t>
        </m:r>
        <m:r>
          <m:rPr>
            <m:sty m:val="p"/>
          </m:rPr>
          <w:rPr>
            <w:rFonts w:ascii="Cambria Math" w:eastAsiaTheme="minorEastAsia" w:hAnsi="Cambria Math"/>
            <w:sz w:val="28"/>
            <w:szCs w:val="28"/>
            <w:lang w:val="en-US"/>
          </w:rPr>
          <m:t>ln</m:t>
        </m:r>
        <m:r>
          <m:rPr>
            <m:sty m:val="p"/>
          </m:rPr>
          <w:rPr>
            <w:rFonts w:ascii="Cambria Math" w:eastAsiaTheme="minorEastAsia" w:hAnsi="Cambria Math"/>
            <w:sz w:val="28"/>
            <w:szCs w:val="28"/>
          </w:rPr>
          <m:t>⁡</m:t>
        </m:r>
        <m:r>
          <w:rPr>
            <w:rFonts w:ascii="Cambria Math" w:eastAsiaTheme="minorEastAsia" w:hAnsi="Cambria Math"/>
            <w:sz w:val="28"/>
            <w:szCs w:val="28"/>
          </w:rPr>
          <m:t>(</m:t>
        </m:r>
        <m:r>
          <w:rPr>
            <w:rFonts w:ascii="Cambria Math" w:eastAsiaTheme="minorEastAsia" w:hAnsi="Cambria Math"/>
            <w:sz w:val="28"/>
            <w:szCs w:val="28"/>
            <w:lang w:val="en-US"/>
          </w:rPr>
          <m:t>m</m:t>
        </m:r>
        <m:r>
          <w:rPr>
            <w:rFonts w:ascii="Cambria Math" w:eastAsiaTheme="minorEastAsia" w:hAnsi="Cambria Math"/>
            <w:sz w:val="28"/>
            <w:szCs w:val="28"/>
          </w:rPr>
          <m:t>)</m:t>
        </m:r>
      </m:oMath>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нормування коефіцієнту.</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В даному обрахунку чим більшою є кількість показників, тим вищою є його інформативність та вага в загальному обрахунку.</w:t>
      </w:r>
    </w:p>
    <w:p w:rsidR="00B37265" w:rsidRPr="005C38DA" w:rsidRDefault="00B37265" w:rsidP="005C38DA">
      <w:pPr>
        <w:pStyle w:val="a6"/>
        <w:numPr>
          <w:ilvl w:val="1"/>
          <w:numId w:val="17"/>
        </w:numPr>
        <w:spacing w:after="0" w:line="360" w:lineRule="auto"/>
        <w:ind w:left="0" w:firstLine="709"/>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Обрахунок стратегічного потенціалу підприємства визначається:</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S</m:t>
              </m:r>
              <m:r>
                <w:rPr>
                  <w:rFonts w:ascii="Cambria Math" w:eastAsiaTheme="minorEastAsia" w:hAnsi="Cambria Math"/>
                  <w:sz w:val="28"/>
                  <w:szCs w:val="28"/>
                  <w:lang w:val="en-US"/>
                </w:rPr>
                <m:t xml:space="preserve">P= </m:t>
              </m:r>
              <m:nary>
                <m:naryPr>
                  <m:chr m:val="∑"/>
                  <m:limLoc m:val="subSup"/>
                  <m:ctrlPr>
                    <w:rPr>
                      <w:rFonts w:ascii="Cambria Math" w:eastAsiaTheme="minorEastAsia" w:hAnsi="Cambria Math"/>
                      <w:i/>
                      <w:sz w:val="28"/>
                      <w:szCs w:val="28"/>
                      <w:lang w:val="en-US"/>
                    </w:rPr>
                  </m:ctrlPr>
                </m:naryPr>
                <m:sub>
                  <m:r>
                    <w:rPr>
                      <w:rFonts w:ascii="Cambria Math" w:eastAsiaTheme="minorEastAsia" w:hAnsi="Cambria Math"/>
                      <w:sz w:val="28"/>
                      <w:szCs w:val="28"/>
                      <w:lang w:val="en-US"/>
                    </w:rPr>
                    <m:t>j=1</m:t>
                  </m:r>
                </m:sub>
                <m:sup>
                  <m:r>
                    <w:rPr>
                      <w:rFonts w:ascii="Cambria Math" w:eastAsiaTheme="minorEastAsia" w:hAnsi="Cambria Math"/>
                      <w:sz w:val="28"/>
                      <w:szCs w:val="28"/>
                      <w:lang w:val="en-US"/>
                    </w:rPr>
                    <m:t>m</m:t>
                  </m:r>
                </m:sup>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v</m:t>
                      </m:r>
                    </m:e>
                    <m:sub>
                      <m:r>
                        <w:rPr>
                          <w:rFonts w:ascii="Cambria Math" w:eastAsiaTheme="minorEastAsia" w:hAnsi="Cambria Math"/>
                          <w:sz w:val="28"/>
                          <w:szCs w:val="28"/>
                          <w:lang w:val="en-US"/>
                        </w:rPr>
                        <m:t>j</m:t>
                      </m:r>
                    </m:sub>
                  </m:sSub>
                  <m:r>
                    <w:rPr>
                      <w:rFonts w:ascii="Cambria Math" w:eastAsiaTheme="minorEastAsia" w:hAnsi="Cambria Math"/>
                      <w:sz w:val="28"/>
                      <w:szCs w:val="28"/>
                      <w:lang w:val="en-US"/>
                    </w:rPr>
                    <m:t>*</m:t>
                  </m:r>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y</m:t>
                      </m:r>
                    </m:e>
                    <m:sub>
                      <m:r>
                        <w:rPr>
                          <w:rFonts w:ascii="Cambria Math" w:eastAsiaTheme="minorEastAsia" w:hAnsi="Cambria Math"/>
                          <w:sz w:val="28"/>
                          <w:szCs w:val="28"/>
                          <w:lang w:val="en-US"/>
                        </w:rPr>
                        <m:t>j</m:t>
                      </m:r>
                    </m:sub>
                    <m:sup>
                      <m:r>
                        <w:rPr>
                          <w:rFonts w:ascii="Cambria Math" w:eastAsiaTheme="minorEastAsia" w:hAnsi="Cambria Math"/>
                          <w:sz w:val="28"/>
                          <w:szCs w:val="28"/>
                          <w:lang w:val="en-US"/>
                        </w:rPr>
                        <m:t>norm</m:t>
                      </m:r>
                    </m:sup>
                  </m:sSubSup>
                </m:e>
              </m:nary>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3.15</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r w:rsidRPr="005C38DA">
        <w:rPr>
          <w:rFonts w:ascii="Times New Roman" w:eastAsiaTheme="minorEastAsia" w:hAnsi="Times New Roman"/>
          <w:sz w:val="28"/>
          <w:szCs w:val="28"/>
          <w:lang w:val="en-US"/>
        </w:rPr>
        <w:t>SP</w:t>
      </w:r>
      <w:r w:rsidRPr="005C38DA">
        <w:rPr>
          <w:rFonts w:ascii="Times New Roman" w:eastAsiaTheme="minorEastAsia" w:hAnsi="Times New Roman"/>
          <w:sz w:val="28"/>
          <w:szCs w:val="28"/>
          <w:lang w:val="uk-UA"/>
        </w:rPr>
        <w:t xml:space="preserve"> – стратегічний потенціал підприємства;</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v</m:t>
            </m:r>
          </m:e>
          <m:sub>
            <m:r>
              <w:rPr>
                <w:rFonts w:ascii="Cambria Math" w:eastAsiaTheme="minorEastAsia" w:hAnsi="Cambria Math"/>
                <w:sz w:val="28"/>
                <w:szCs w:val="28"/>
                <w:lang w:val="en-US"/>
              </w:rPr>
              <m:t>j</m:t>
            </m:r>
          </m:sub>
        </m:sSub>
      </m:oMath>
      <w:r w:rsidRPr="005C38DA">
        <w:rPr>
          <w:rFonts w:ascii="Times New Roman" w:eastAsiaTheme="minorEastAsia" w:hAnsi="Times New Roman"/>
          <w:sz w:val="28"/>
          <w:szCs w:val="28"/>
        </w:rPr>
        <w:t xml:space="preserve"> - ваговий коефіцієнт </w:t>
      </w:r>
      <w:r w:rsidRPr="005C38DA">
        <w:rPr>
          <w:rFonts w:ascii="Times New Roman" w:eastAsiaTheme="minorEastAsia" w:hAnsi="Times New Roman"/>
          <w:sz w:val="28"/>
          <w:szCs w:val="28"/>
          <w:lang w:val="en-US"/>
        </w:rPr>
        <w:t>j</w:t>
      </w:r>
      <w:r w:rsidRPr="005C38DA">
        <w:rPr>
          <w:rFonts w:ascii="Times New Roman" w:eastAsiaTheme="minorEastAsia" w:hAnsi="Times New Roman"/>
          <w:sz w:val="28"/>
          <w:szCs w:val="28"/>
        </w:rPr>
        <w:t>-</w:t>
      </w:r>
      <w:r w:rsidRPr="005C38DA">
        <w:rPr>
          <w:rFonts w:ascii="Times New Roman" w:eastAsiaTheme="minorEastAsia" w:hAnsi="Times New Roman"/>
          <w:sz w:val="28"/>
          <w:szCs w:val="28"/>
          <w:lang w:val="uk-UA"/>
        </w:rPr>
        <w:t>го складової;</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m:oMath>
        <m:sSubSup>
          <m:sSubSupPr>
            <m:ctrlPr>
              <w:rPr>
                <w:rFonts w:ascii="Cambria Math" w:eastAsiaTheme="minorEastAsia" w:hAnsi="Cambria Math"/>
                <w:i/>
                <w:sz w:val="28"/>
                <w:szCs w:val="28"/>
                <w:lang w:val="en-US"/>
              </w:rPr>
            </m:ctrlPr>
          </m:sSubSupPr>
          <m:e>
            <m:r>
              <w:rPr>
                <w:rFonts w:ascii="Cambria Math" w:eastAsiaTheme="minorEastAsia" w:hAnsi="Cambria Math"/>
                <w:sz w:val="28"/>
                <w:szCs w:val="28"/>
                <w:lang w:val="en-US"/>
              </w:rPr>
              <m:t>y</m:t>
            </m:r>
          </m:e>
          <m:sub>
            <m:r>
              <w:rPr>
                <w:rFonts w:ascii="Cambria Math" w:eastAsiaTheme="minorEastAsia" w:hAnsi="Cambria Math"/>
                <w:sz w:val="28"/>
                <w:szCs w:val="28"/>
                <w:lang w:val="en-US"/>
              </w:rPr>
              <m:t>j</m:t>
            </m:r>
          </m:sub>
          <m:sup>
            <m:r>
              <w:rPr>
                <w:rFonts w:ascii="Cambria Math" w:eastAsiaTheme="minorEastAsia" w:hAnsi="Cambria Math"/>
                <w:sz w:val="28"/>
                <w:szCs w:val="28"/>
                <w:lang w:val="en-US"/>
              </w:rPr>
              <m:t>norm</m:t>
            </m:r>
          </m:sup>
        </m:sSubSup>
      </m:oMath>
      <w:r w:rsidRPr="005C38DA">
        <w:rPr>
          <w:rFonts w:ascii="Times New Roman" w:eastAsiaTheme="minorEastAsia" w:hAnsi="Times New Roman"/>
          <w:sz w:val="28"/>
          <w:szCs w:val="28"/>
          <w:lang w:val="uk-UA"/>
        </w:rPr>
        <w:t xml:space="preserve"> – нормоване значення складової;</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m</w:t>
      </w:r>
      <w:r w:rsidRPr="005C38DA">
        <w:rPr>
          <w:rFonts w:ascii="Times New Roman" w:eastAsiaTheme="minorEastAsia" w:hAnsi="Times New Roman"/>
          <w:sz w:val="28"/>
          <w:szCs w:val="28"/>
          <w:lang w:val="uk-UA"/>
        </w:rPr>
        <w:t xml:space="preserve"> – кількість складових потенціалу.</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З урахуванням ресурсної структури сільськогосподарських підприємств доцільно деталізувати:</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S</m:t>
              </m:r>
              <m:r>
                <w:rPr>
                  <w:rFonts w:ascii="Cambria Math" w:eastAsiaTheme="minorEastAsia" w:hAnsi="Cambria Math"/>
                  <w:sz w:val="28"/>
                  <w:szCs w:val="28"/>
                  <w:lang w:val="en-US"/>
                </w:rPr>
                <m:t>P= αK+βL+γT+δI+θM,</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3.16</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r w:rsidRPr="005C38DA">
        <w:rPr>
          <w:rFonts w:ascii="Times New Roman" w:eastAsiaTheme="minorEastAsia" w:hAnsi="Times New Roman"/>
          <w:sz w:val="28"/>
          <w:szCs w:val="28"/>
          <w:lang w:val="en-US"/>
        </w:rPr>
        <w:t>K</w:t>
      </w:r>
      <w:r w:rsidRPr="00BE5A3A">
        <w:rPr>
          <w:rFonts w:ascii="Times New Roman" w:eastAsiaTheme="minorEastAsia" w:hAnsi="Times New Roman"/>
          <w:sz w:val="28"/>
          <w:szCs w:val="28"/>
        </w:rPr>
        <w:t xml:space="preserve">, </w:t>
      </w:r>
      <w:r w:rsidRPr="005C38DA">
        <w:rPr>
          <w:rFonts w:ascii="Times New Roman" w:eastAsiaTheme="minorEastAsia" w:hAnsi="Times New Roman"/>
          <w:sz w:val="28"/>
          <w:szCs w:val="28"/>
          <w:lang w:val="en-US"/>
        </w:rPr>
        <w:t>L</w:t>
      </w:r>
      <w:r w:rsidRPr="00BE5A3A">
        <w:rPr>
          <w:rFonts w:ascii="Times New Roman" w:eastAsiaTheme="minorEastAsia" w:hAnsi="Times New Roman"/>
          <w:sz w:val="28"/>
          <w:szCs w:val="28"/>
        </w:rPr>
        <w:t xml:space="preserve">, </w:t>
      </w:r>
      <w:r w:rsidRPr="005C38DA">
        <w:rPr>
          <w:rFonts w:ascii="Times New Roman" w:eastAsiaTheme="minorEastAsia" w:hAnsi="Times New Roman"/>
          <w:sz w:val="28"/>
          <w:szCs w:val="28"/>
          <w:lang w:val="en-US"/>
        </w:rPr>
        <w:t>T</w:t>
      </w:r>
      <w:r w:rsidRPr="00BE5A3A">
        <w:rPr>
          <w:rFonts w:ascii="Times New Roman" w:eastAsiaTheme="minorEastAsia" w:hAnsi="Times New Roman"/>
          <w:sz w:val="28"/>
          <w:szCs w:val="28"/>
        </w:rPr>
        <w:t xml:space="preserve">, </w:t>
      </w:r>
      <w:r w:rsidRPr="005C38DA">
        <w:rPr>
          <w:rFonts w:ascii="Times New Roman" w:eastAsiaTheme="minorEastAsia" w:hAnsi="Times New Roman"/>
          <w:sz w:val="28"/>
          <w:szCs w:val="28"/>
          <w:lang w:val="en-US"/>
        </w:rPr>
        <w:t>I</w:t>
      </w:r>
      <w:r w:rsidRPr="00BE5A3A">
        <w:rPr>
          <w:rFonts w:ascii="Times New Roman" w:eastAsiaTheme="minorEastAsia" w:hAnsi="Times New Roman"/>
          <w:sz w:val="28"/>
          <w:szCs w:val="28"/>
        </w:rPr>
        <w:t xml:space="preserve">, </w:t>
      </w:r>
      <w:r w:rsidRPr="005C38DA">
        <w:rPr>
          <w:rFonts w:ascii="Times New Roman" w:eastAsiaTheme="minorEastAsia" w:hAnsi="Times New Roman"/>
          <w:sz w:val="28"/>
          <w:szCs w:val="28"/>
          <w:lang w:val="en-US"/>
        </w:rPr>
        <w:t>M</w:t>
      </w:r>
      <w:r w:rsidRPr="00BE5A3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виробничо-технічний потенціал, земельно – ресурсний потенціал, технологічний рівень, інтелектуальний капітал та управлінський потенціал</w:t>
      </w:r>
      <w:r w:rsidR="004009DE">
        <w:rPr>
          <w:rFonts w:ascii="Times New Roman" w:eastAsiaTheme="minorEastAsia" w:hAnsi="Times New Roman"/>
          <w:sz w:val="28"/>
          <w:szCs w:val="28"/>
          <w:lang w:val="uk-UA"/>
        </w:rPr>
        <w:t xml:space="preserve"> </w:t>
      </w:r>
      <w:r w:rsidR="004009DE">
        <w:rPr>
          <w:rFonts w:ascii="Times New Roman" w:eastAsia="Times New Roman" w:hAnsi="Times New Roman"/>
          <w:sz w:val="28"/>
          <w:szCs w:val="28"/>
          <w:lang w:val="uk-UA"/>
        </w:rPr>
        <w:t>[23, 115]</w:t>
      </w:r>
      <w:r w:rsidRPr="00BE5A3A">
        <w:t>.</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m:oMath>
        <m:r>
          <w:rPr>
            <w:rFonts w:ascii="Cambria Math" w:eastAsiaTheme="minorEastAsia" w:hAnsi="Cambria Math"/>
            <w:sz w:val="28"/>
            <w:szCs w:val="28"/>
            <w:lang w:val="uk-UA"/>
          </w:rPr>
          <m:t>α, β, γ, δ, θ</m:t>
        </m:r>
      </m:oMath>
      <w:r w:rsidRPr="005C38DA">
        <w:rPr>
          <w:rFonts w:ascii="Times New Roman" w:eastAsiaTheme="minorEastAsia" w:hAnsi="Times New Roman"/>
          <w:sz w:val="28"/>
          <w:szCs w:val="28"/>
          <w:lang w:val="uk-UA"/>
        </w:rPr>
        <w:t xml:space="preserve"> – вагові коефіцієнти.</w:t>
      </w:r>
    </w:p>
    <w:p w:rsidR="00B37265" w:rsidRPr="005C38DA" w:rsidRDefault="00B37265" w:rsidP="005C38DA">
      <w:pPr>
        <w:pStyle w:val="a6"/>
        <w:numPr>
          <w:ilvl w:val="1"/>
          <w:numId w:val="17"/>
        </w:numPr>
        <w:spacing w:after="0" w:line="360" w:lineRule="auto"/>
        <w:ind w:left="0" w:firstLine="709"/>
        <w:contextualSpacing w:val="0"/>
        <w:jc w:val="both"/>
        <w:rPr>
          <w:rFonts w:ascii="Times New Roman" w:eastAsiaTheme="minorEastAsia" w:hAnsi="Times New Roman"/>
          <w:sz w:val="32"/>
          <w:szCs w:val="32"/>
          <w:lang w:val="uk-UA"/>
        </w:rPr>
      </w:pPr>
      <w:r w:rsidRPr="005C38DA">
        <w:rPr>
          <w:rFonts w:ascii="Times New Roman" w:eastAsiaTheme="minorEastAsia" w:hAnsi="Times New Roman"/>
          <w:sz w:val="28"/>
          <w:szCs w:val="28"/>
          <w:lang w:val="uk-UA"/>
        </w:rPr>
        <w:t xml:space="preserve">Врахування ризику моделі. </w:t>
      </w:r>
      <w:r w:rsidRPr="005C38DA">
        <w:rPr>
          <w:rFonts w:ascii="Times New Roman" w:hAnsi="Times New Roman"/>
          <w:color w:val="000000"/>
          <w:sz w:val="28"/>
          <w:szCs w:val="28"/>
          <w:lang w:val="uk-UA"/>
        </w:rPr>
        <w:t>З метою підвищення аналітичної точності індекс інвестиційної привабливості коригується на ризик:</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sSup>
                <m:sSupPr>
                  <m:ctrlPr>
                    <w:rPr>
                      <w:rFonts w:ascii="Cambria Math" w:eastAsiaTheme="minorEastAsia" w:hAnsi="Cambria Math"/>
                      <w:i/>
                      <w:sz w:val="28"/>
                      <w:szCs w:val="28"/>
                      <w:lang w:val="uk-UA"/>
                    </w:rPr>
                  </m:ctrlPr>
                </m:sSupPr>
                <m:e>
                  <m:r>
                    <w:rPr>
                      <w:rFonts w:ascii="Cambria Math" w:eastAsiaTheme="minorEastAsia" w:hAnsi="Cambria Math"/>
                      <w:sz w:val="28"/>
                      <w:szCs w:val="28"/>
                      <w:lang w:val="uk-UA"/>
                    </w:rPr>
                    <m:t>ІІ</m:t>
                  </m:r>
                </m:e>
                <m:sup>
                  <m:r>
                    <w:rPr>
                      <w:rFonts w:ascii="Cambria Math" w:eastAsiaTheme="minorEastAsia" w:hAnsi="Cambria Math"/>
                      <w:sz w:val="28"/>
                      <w:szCs w:val="28"/>
                      <w:lang w:val="en-US"/>
                    </w:rPr>
                    <m:t>adj</m:t>
                  </m:r>
                </m:sup>
              </m:sSup>
              <m:r>
                <w:rPr>
                  <w:rFonts w:ascii="Cambria Math" w:eastAsiaTheme="minorEastAsia" w:hAnsi="Cambria Math"/>
                  <w:sz w:val="28"/>
                  <w:szCs w:val="28"/>
                  <w:lang w:val="uk-UA"/>
                </w:rPr>
                <m:t>=</m:t>
              </m:r>
              <m:r>
                <w:rPr>
                  <w:rFonts w:ascii="Cambria Math" w:eastAsiaTheme="minorEastAsia" w:hAnsi="Cambria Math"/>
                  <w:sz w:val="28"/>
                  <w:szCs w:val="28"/>
                  <w:lang w:val="en-US"/>
                </w:rPr>
                <m:t>SS*</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1-R</m:t>
                  </m:r>
                </m:e>
              </m:d>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3.17</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m:oMath>
        <m:sSup>
          <m:sSupPr>
            <m:ctrlPr>
              <w:rPr>
                <w:rFonts w:ascii="Cambria Math" w:eastAsiaTheme="minorEastAsia" w:hAnsi="Cambria Math"/>
                <w:i/>
                <w:sz w:val="28"/>
                <w:szCs w:val="28"/>
                <w:lang w:val="uk-UA"/>
              </w:rPr>
            </m:ctrlPr>
          </m:sSupPr>
          <m:e>
            <m:r>
              <w:rPr>
                <w:rFonts w:ascii="Cambria Math" w:eastAsiaTheme="minorEastAsia" w:hAnsi="Cambria Math"/>
                <w:sz w:val="28"/>
                <w:szCs w:val="28"/>
                <w:lang w:val="uk-UA"/>
              </w:rPr>
              <m:t>ІІ</m:t>
            </m:r>
          </m:e>
          <m:sup>
            <m:r>
              <w:rPr>
                <w:rFonts w:ascii="Cambria Math" w:eastAsiaTheme="minorEastAsia" w:hAnsi="Cambria Math"/>
                <w:sz w:val="28"/>
                <w:szCs w:val="28"/>
                <w:lang w:val="en-US"/>
              </w:rPr>
              <m:t>adj</m:t>
            </m:r>
          </m:sup>
        </m:sSup>
      </m:oMath>
      <w:r w:rsidRPr="005C38DA">
        <w:rPr>
          <w:rFonts w:ascii="Times New Roman" w:eastAsiaTheme="minorEastAsia" w:hAnsi="Times New Roman"/>
          <w:sz w:val="28"/>
          <w:szCs w:val="28"/>
          <w:lang w:val="uk-UA"/>
        </w:rPr>
        <w:t xml:space="preserve"> – скорегований індекс інвестиційної привабливості;</w:t>
      </w:r>
    </w:p>
    <w:p w:rsidR="00B37265" w:rsidRPr="005C38DA" w:rsidRDefault="00B37265" w:rsidP="005C38DA">
      <w:pPr>
        <w:spacing w:after="0" w:line="360" w:lineRule="auto"/>
        <w:ind w:firstLine="709"/>
        <w:jc w:val="both"/>
        <w:rPr>
          <w:rFonts w:ascii="Times New Roman" w:eastAsiaTheme="minorEastAsia" w:hAnsi="Times New Roman"/>
          <w:sz w:val="28"/>
          <w:szCs w:val="28"/>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R</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інтегральний показник ризику (</w:t>
      </w:r>
      <m:oMath>
        <m:r>
          <w:rPr>
            <w:rFonts w:ascii="Cambria Math" w:eastAsiaTheme="minorEastAsia" w:hAnsi="Cambria Math"/>
            <w:sz w:val="28"/>
            <w:szCs w:val="28"/>
            <w:lang w:val="uk-UA"/>
          </w:rPr>
          <m:t>0≤</m:t>
        </m:r>
        <m:r>
          <w:rPr>
            <w:rFonts w:ascii="Cambria Math" w:eastAsiaTheme="minorEastAsia" w:hAnsi="Cambria Math"/>
            <w:sz w:val="28"/>
            <w:szCs w:val="28"/>
            <w:lang w:val="en-US"/>
          </w:rPr>
          <m:t>R</m:t>
        </m:r>
        <m:r>
          <w:rPr>
            <w:rFonts w:ascii="Cambria Math" w:eastAsiaTheme="minorEastAsia" w:hAnsi="Cambria Math"/>
            <w:sz w:val="28"/>
            <w:szCs w:val="28"/>
          </w:rPr>
          <m:t>≤1</m:t>
        </m:r>
      </m:oMath>
      <w:r w:rsidRPr="005C38DA">
        <w:rPr>
          <w:rFonts w:ascii="Times New Roman" w:eastAsiaTheme="minorEastAsia" w:hAnsi="Times New Roman"/>
          <w:sz w:val="28"/>
          <w:szCs w:val="28"/>
          <w:lang w:val="uk-UA"/>
        </w:rPr>
        <w:t>)</w:t>
      </w:r>
      <w:r w:rsidRPr="005C38DA">
        <w:rPr>
          <w:rFonts w:ascii="Times New Roman" w:eastAsiaTheme="minorEastAsia" w:hAnsi="Times New Roman"/>
          <w:sz w:val="28"/>
          <w:szCs w:val="28"/>
        </w:rPr>
        <w:t>.</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Ризик в такому разі визначається наступним чином:</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R</m:t>
              </m:r>
              <m:r>
                <w:rPr>
                  <w:rFonts w:ascii="Cambria Math" w:eastAsiaTheme="minorEastAsia" w:hAnsi="Cambria Math"/>
                  <w:sz w:val="28"/>
                  <w:szCs w:val="28"/>
                  <w:lang w:val="en-US"/>
                </w:rPr>
                <m:t xml:space="preserve">= </m:t>
              </m:r>
              <m:nary>
                <m:naryPr>
                  <m:chr m:val="∑"/>
                  <m:limLoc m:val="subSup"/>
                  <m:ctrlPr>
                    <w:rPr>
                      <w:rFonts w:ascii="Cambria Math" w:eastAsiaTheme="minorEastAsia" w:hAnsi="Cambria Math"/>
                      <w:i/>
                      <w:sz w:val="28"/>
                      <w:szCs w:val="28"/>
                      <w:lang w:val="en-US"/>
                    </w:rPr>
                  </m:ctrlPr>
                </m:naryPr>
                <m:sub>
                  <m:r>
                    <w:rPr>
                      <w:rFonts w:ascii="Cambria Math" w:eastAsiaTheme="minorEastAsia" w:hAnsi="Cambria Math"/>
                      <w:sz w:val="28"/>
                      <w:szCs w:val="28"/>
                      <w:lang w:val="en-US"/>
                    </w:rPr>
                    <m:t>k=1</m:t>
                  </m:r>
                </m:sub>
                <m:sup>
                  <m:r>
                    <w:rPr>
                      <w:rFonts w:ascii="Cambria Math" w:eastAsiaTheme="minorEastAsia" w:hAnsi="Cambria Math"/>
                      <w:sz w:val="28"/>
                      <w:szCs w:val="28"/>
                      <w:lang w:val="en-US"/>
                    </w:rPr>
                    <m:t>p</m:t>
                  </m:r>
                </m:sup>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en-US"/>
                        </w:rPr>
                        <m:t>k</m:t>
                      </m:r>
                    </m:sub>
                  </m:sSub>
                  <m:r>
                    <w:rPr>
                      <w:rFonts w:ascii="Cambria Math" w:eastAsiaTheme="minorEastAsia" w:hAnsi="Cambria Math"/>
                      <w:sz w:val="28"/>
                      <w:szCs w:val="28"/>
                      <w:lang w:val="en-US"/>
                    </w:rPr>
                    <m:t>*</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z</m:t>
                      </m:r>
                    </m:e>
                    <m:sub>
                      <m:r>
                        <w:rPr>
                          <w:rFonts w:ascii="Cambria Math" w:eastAsiaTheme="minorEastAsia" w:hAnsi="Cambria Math"/>
                          <w:sz w:val="28"/>
                          <w:szCs w:val="28"/>
                          <w:lang w:val="en-US"/>
                        </w:rPr>
                        <m:t>k</m:t>
                      </m:r>
                    </m:sub>
                  </m:sSub>
                </m:e>
              </m:nary>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3.18</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lastRenderedPageBreak/>
        <w:t xml:space="preserve">де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r</m:t>
            </m:r>
          </m:e>
          <m:sub>
            <m:r>
              <w:rPr>
                <w:rFonts w:ascii="Cambria Math" w:eastAsiaTheme="minorEastAsia" w:hAnsi="Cambria Math"/>
                <w:sz w:val="28"/>
                <w:szCs w:val="28"/>
                <w:lang w:val="en-US"/>
              </w:rPr>
              <m:t>k</m:t>
            </m:r>
          </m:sub>
        </m:sSub>
      </m:oMath>
      <w:r w:rsidRPr="005C38DA">
        <w:rPr>
          <w:rFonts w:ascii="Times New Roman" w:eastAsiaTheme="minorEastAsia" w:hAnsi="Times New Roman"/>
          <w:sz w:val="28"/>
          <w:szCs w:val="28"/>
          <w:lang w:val="uk-UA"/>
        </w:rPr>
        <w:t xml:space="preserve"> – ймовірність реалізації ризику;</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m:oMath>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z</m:t>
            </m:r>
          </m:e>
          <m:sub>
            <m:r>
              <w:rPr>
                <w:rFonts w:ascii="Cambria Math" w:eastAsiaTheme="minorEastAsia" w:hAnsi="Cambria Math"/>
                <w:sz w:val="28"/>
                <w:szCs w:val="28"/>
                <w:lang w:val="en-US"/>
              </w:rPr>
              <m:t>k</m:t>
            </m:r>
          </m:sub>
        </m:sSub>
      </m:oMath>
      <w:r w:rsidRPr="005C38DA">
        <w:rPr>
          <w:rFonts w:ascii="Times New Roman" w:eastAsiaTheme="minorEastAsia" w:hAnsi="Times New Roman"/>
          <w:sz w:val="28"/>
          <w:szCs w:val="28"/>
          <w:lang w:val="uk-UA"/>
        </w:rPr>
        <w:t xml:space="preserve"> – значущість (вплив) ризику;</w:t>
      </w:r>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 xml:space="preserve">p – </w:t>
      </w:r>
      <w:r w:rsidRPr="005C38DA">
        <w:rPr>
          <w:rFonts w:ascii="Times New Roman" w:eastAsiaTheme="minorEastAsia" w:hAnsi="Times New Roman"/>
          <w:sz w:val="28"/>
          <w:szCs w:val="28"/>
          <w:lang w:val="uk-UA"/>
        </w:rPr>
        <w:t>кількість ризиків.</w:t>
      </w:r>
    </w:p>
    <w:p w:rsidR="00B37265" w:rsidRPr="005C38DA" w:rsidRDefault="00B37265" w:rsidP="005C38DA">
      <w:pPr>
        <w:pStyle w:val="a6"/>
        <w:numPr>
          <w:ilvl w:val="1"/>
          <w:numId w:val="17"/>
        </w:numPr>
        <w:spacing w:after="0" w:line="360" w:lineRule="auto"/>
        <w:ind w:left="0" w:firstLine="709"/>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Визначення координат підприємства. Позиція підприємства визначається як:</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P</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 xml:space="preserve">SP; </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II</m:t>
                      </m:r>
                    </m:e>
                    <m:sup>
                      <m:r>
                        <w:rPr>
                          <w:rFonts w:ascii="Cambria Math" w:eastAsiaTheme="minorEastAsia" w:hAnsi="Cambria Math"/>
                          <w:sz w:val="28"/>
                          <w:szCs w:val="28"/>
                          <w:lang w:val="en-US"/>
                        </w:rPr>
                        <m:t>adj</m:t>
                      </m:r>
                    </m:sup>
                  </m:sSup>
                </m:e>
              </m:d>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3.19</m:t>
                  </m:r>
                </m:e>
              </m:d>
              <m:ctrlPr>
                <w:rPr>
                  <w:rFonts w:ascii="Cambria Math" w:eastAsiaTheme="minorEastAsia" w:hAnsi="Cambria Math"/>
                  <w:i/>
                  <w:sz w:val="28"/>
                  <w:szCs w:val="28"/>
                  <w:lang w:val="uk-UA"/>
                </w:rPr>
              </m:ctrlPr>
            </m:e>
          </m:eqArr>
        </m:oMath>
      </m:oMathPara>
    </w:p>
    <w:p w:rsidR="00B37265" w:rsidRPr="005C38DA" w:rsidRDefault="00B37265" w:rsidP="005C38DA">
      <w:pPr>
        <w:pStyle w:val="a6"/>
        <w:numPr>
          <w:ilvl w:val="1"/>
          <w:numId w:val="17"/>
        </w:numPr>
        <w:spacing w:after="0" w:line="360" w:lineRule="auto"/>
        <w:ind w:left="0" w:firstLine="709"/>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Формалізація належності до стратегічної зони  для кожного підприємства. Для цього треба ввести функцію класифікації:</w:t>
      </w:r>
    </w:p>
    <w:p w:rsidR="00B37265" w:rsidRPr="005C38DA" w:rsidRDefault="00EB5B4E" w:rsidP="005C38DA">
      <w:pPr>
        <w:spacing w:after="0" w:line="360" w:lineRule="auto"/>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Z</m:t>
              </m:r>
              <m:r>
                <w:rPr>
                  <w:rFonts w:ascii="Cambria Math" w:eastAsiaTheme="minorEastAsia" w:hAnsi="Cambria Math"/>
                  <w:sz w:val="28"/>
                  <w:szCs w:val="28"/>
                  <w:lang w:val="en-US"/>
                </w:rPr>
                <m:t>=f</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 xml:space="preserve">SP, </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II</m:t>
                      </m:r>
                    </m:e>
                    <m:sup>
                      <m:r>
                        <w:rPr>
                          <w:rFonts w:ascii="Cambria Math" w:eastAsiaTheme="minorEastAsia" w:hAnsi="Cambria Math"/>
                          <w:sz w:val="28"/>
                          <w:szCs w:val="28"/>
                          <w:lang w:val="en-US"/>
                        </w:rPr>
                        <m:t>adj</m:t>
                      </m:r>
                    </m:sup>
                  </m:sSup>
                </m:e>
              </m:d>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3.20</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p>
    <w:p w:rsidR="00B37265" w:rsidRPr="005C38DA" w:rsidRDefault="00EB5B4E" w:rsidP="005C38DA">
      <w:pPr>
        <w:spacing w:after="0" w:line="360" w:lineRule="auto"/>
        <w:ind w:firstLine="709"/>
        <w:jc w:val="both"/>
        <w:rPr>
          <w:rFonts w:ascii="Times New Roman" w:eastAsiaTheme="minorEastAsia"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Z</m:t>
              </m:r>
              <m:r>
                <w:rPr>
                  <w:rFonts w:ascii="Cambria Math" w:eastAsiaTheme="minorEastAsia" w:hAnsi="Cambria Math"/>
                  <w:sz w:val="28"/>
                  <w:szCs w:val="28"/>
                  <w:lang w:val="en-US"/>
                </w:rPr>
                <m:t xml:space="preserve">= </m:t>
              </m:r>
              <m:d>
                <m:dPr>
                  <m:begChr m:val="{"/>
                  <m:endChr m:val=""/>
                  <m:ctrlPr>
                    <w:rPr>
                      <w:rFonts w:ascii="Cambria Math" w:eastAsiaTheme="minorEastAsia" w:hAnsi="Cambria Math"/>
                      <w:i/>
                      <w:sz w:val="28"/>
                      <w:szCs w:val="28"/>
                      <w:lang w:val="en-US"/>
                    </w:rPr>
                  </m:ctrlPr>
                </m:dPr>
                <m:e>
                  <m:eqArr>
                    <m:eqArrPr>
                      <m:ctrlPr>
                        <w:rPr>
                          <w:rFonts w:ascii="Cambria Math" w:eastAsiaTheme="minorEastAsia" w:hAnsi="Cambria Math"/>
                          <w:i/>
                          <w:sz w:val="28"/>
                          <w:szCs w:val="28"/>
                          <w:lang w:val="en-US"/>
                        </w:rPr>
                      </m:ctrlPr>
                    </m:eqArrPr>
                    <m:e>
                      <m:r>
                        <w:rPr>
                          <w:rFonts w:ascii="Cambria Math" w:eastAsiaTheme="minorEastAsia" w:hAnsi="Cambria Math"/>
                          <w:sz w:val="28"/>
                          <w:szCs w:val="28"/>
                          <w:lang w:val="en-US"/>
                        </w:rPr>
                        <m:t>1,  S</m:t>
                      </m:r>
                      <m:r>
                        <w:rPr>
                          <w:rFonts w:ascii="Cambria Math" w:eastAsiaTheme="minorEastAsia" w:hAnsi="Cambria Math"/>
                          <w:sz w:val="28"/>
                          <w:szCs w:val="28"/>
                          <w:lang w:val="en-US"/>
                        </w:rPr>
                        <m:t xml:space="preserve">P&lt;0,33; </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II</m:t>
                          </m:r>
                        </m:e>
                        <m:sup>
                          <m:r>
                            <w:rPr>
                              <w:rFonts w:ascii="Cambria Math" w:eastAsiaTheme="minorEastAsia" w:hAnsi="Cambria Math"/>
                              <w:sz w:val="28"/>
                              <w:szCs w:val="28"/>
                              <w:lang w:val="en-US"/>
                            </w:rPr>
                            <m:t>adj</m:t>
                          </m:r>
                        </m:sup>
                      </m:sSup>
                      <m:r>
                        <w:rPr>
                          <w:rFonts w:ascii="Cambria Math" w:eastAsiaTheme="minorEastAsia" w:hAnsi="Cambria Math"/>
                          <w:sz w:val="28"/>
                          <w:szCs w:val="28"/>
                          <w:lang w:val="en-US"/>
                        </w:rPr>
                        <m:t>&lt;0,33</m:t>
                      </m:r>
                    </m:e>
                    <m:e>
                      <m:r>
                        <w:rPr>
                          <w:rFonts w:ascii="Cambria Math" w:eastAsiaTheme="minorEastAsia" w:hAnsi="Cambria Math"/>
                          <w:sz w:val="28"/>
                          <w:szCs w:val="28"/>
                          <w:lang w:val="en-US"/>
                        </w:rPr>
                        <m:t>2, SP&lt;0,33;0,33≤</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II</m:t>
                          </m:r>
                        </m:e>
                        <m:sup>
                          <m:r>
                            <w:rPr>
                              <w:rFonts w:ascii="Cambria Math" w:eastAsiaTheme="minorEastAsia" w:hAnsi="Cambria Math"/>
                              <w:sz w:val="28"/>
                              <w:szCs w:val="28"/>
                              <w:lang w:val="en-US"/>
                            </w:rPr>
                            <m:t>adj</m:t>
                          </m:r>
                        </m:sup>
                      </m:sSup>
                      <m:r>
                        <w:rPr>
                          <w:rFonts w:ascii="Cambria Math" w:eastAsiaTheme="minorEastAsia" w:hAnsi="Cambria Math"/>
                          <w:sz w:val="28"/>
                          <w:szCs w:val="28"/>
                          <w:lang w:val="en-US"/>
                        </w:rPr>
                        <m:t>&lt;0.66</m:t>
                      </m:r>
                    </m:e>
                    <m:e>
                      <m:r>
                        <w:rPr>
                          <w:rFonts w:ascii="Cambria Math" w:eastAsiaTheme="minorEastAsia" w:hAnsi="Cambria Math"/>
                          <w:sz w:val="28"/>
                          <w:szCs w:val="28"/>
                          <w:lang w:val="en-US"/>
                        </w:rPr>
                        <m:t xml:space="preserve">3,SP&lt;0,33; </m:t>
                      </m:r>
                      <m:sSup>
                        <m:sSupPr>
                          <m:ctrlPr>
                            <w:rPr>
                              <w:rFonts w:ascii="Cambria Math" w:eastAsiaTheme="minorEastAsia" w:hAnsi="Cambria Math"/>
                              <w:i/>
                              <w:sz w:val="28"/>
                              <w:szCs w:val="28"/>
                              <w:lang w:val="en-US"/>
                            </w:rPr>
                          </m:ctrlPr>
                        </m:sSupPr>
                        <m:e>
                          <m:r>
                            <w:rPr>
                              <w:rFonts w:ascii="Cambria Math" w:eastAsiaTheme="minorEastAsia" w:hAnsi="Cambria Math"/>
                              <w:sz w:val="28"/>
                              <w:szCs w:val="28"/>
                              <w:lang w:val="en-US"/>
                            </w:rPr>
                            <m:t>II</m:t>
                          </m:r>
                        </m:e>
                        <m:sup>
                          <m:r>
                            <w:rPr>
                              <w:rFonts w:ascii="Cambria Math" w:eastAsiaTheme="minorEastAsia" w:hAnsi="Cambria Math"/>
                              <w:sz w:val="28"/>
                              <w:szCs w:val="28"/>
                              <w:lang w:val="en-US"/>
                            </w:rPr>
                            <m:t>adj</m:t>
                          </m:r>
                        </m:sup>
                      </m:sSup>
                      <m:r>
                        <w:rPr>
                          <w:rFonts w:ascii="Cambria Math" w:eastAsiaTheme="minorEastAsia" w:hAnsi="Cambria Math"/>
                          <w:sz w:val="28"/>
                          <w:szCs w:val="28"/>
                          <w:lang w:val="en-US"/>
                        </w:rPr>
                        <m:t>≥0,66</m:t>
                      </m:r>
                      <m:ctrlPr>
                        <w:rPr>
                          <w:rFonts w:ascii="Cambria Math" w:eastAsia="Cambria Math" w:hAnsi="Cambria Math"/>
                          <w:i/>
                          <w:sz w:val="28"/>
                          <w:szCs w:val="28"/>
                          <w:lang w:val="en-US"/>
                        </w:rPr>
                      </m:ctrlPr>
                    </m:e>
                    <m:e>
                      <m:r>
                        <w:rPr>
                          <w:rFonts w:ascii="Cambria Math" w:eastAsia="Cambria Math" w:hAnsi="Cambria Math"/>
                          <w:sz w:val="28"/>
                          <w:szCs w:val="28"/>
                          <w:lang w:val="en-US"/>
                        </w:rPr>
                        <m:t>…</m:t>
                      </m:r>
                      <m:ctrlPr>
                        <w:rPr>
                          <w:rFonts w:ascii="Cambria Math" w:eastAsia="Cambria Math" w:hAnsi="Cambria Math"/>
                          <w:i/>
                          <w:sz w:val="28"/>
                          <w:szCs w:val="28"/>
                          <w:lang w:val="en-US"/>
                        </w:rPr>
                      </m:ctrlPr>
                    </m:e>
                    <m:e>
                      <m:r>
                        <w:rPr>
                          <w:rFonts w:ascii="Cambria Math" w:eastAsia="Cambria Math" w:hAnsi="Cambria Math"/>
                          <w:sz w:val="28"/>
                          <w:szCs w:val="28"/>
                          <w:lang w:val="en-US"/>
                        </w:rPr>
                        <m:t xml:space="preserve">9, SP≥0,66; </m:t>
                      </m:r>
                      <m:sSup>
                        <m:sSupPr>
                          <m:ctrlPr>
                            <w:rPr>
                              <w:rFonts w:ascii="Cambria Math" w:eastAsia="Cambria Math" w:hAnsi="Cambria Math"/>
                              <w:i/>
                              <w:sz w:val="28"/>
                              <w:szCs w:val="28"/>
                              <w:lang w:val="en-US"/>
                            </w:rPr>
                          </m:ctrlPr>
                        </m:sSupPr>
                        <m:e>
                          <m:r>
                            <w:rPr>
                              <w:rFonts w:ascii="Cambria Math" w:eastAsia="Cambria Math" w:hAnsi="Cambria Math"/>
                              <w:sz w:val="28"/>
                              <w:szCs w:val="28"/>
                              <w:lang w:val="en-US"/>
                            </w:rPr>
                            <m:t>II</m:t>
                          </m:r>
                        </m:e>
                        <m:sup>
                          <m:r>
                            <w:rPr>
                              <w:rFonts w:ascii="Cambria Math" w:eastAsia="Cambria Math" w:hAnsi="Cambria Math"/>
                              <w:sz w:val="28"/>
                              <w:szCs w:val="28"/>
                              <w:lang w:val="en-US"/>
                            </w:rPr>
                            <m:t>adj</m:t>
                          </m:r>
                        </m:sup>
                      </m:sSup>
                      <m:r>
                        <w:rPr>
                          <w:rFonts w:ascii="Cambria Math" w:eastAsia="Cambria Math" w:hAnsi="Cambria Math"/>
                          <w:sz w:val="28"/>
                          <w:szCs w:val="28"/>
                          <w:lang w:val="en-US"/>
                        </w:rPr>
                        <m:t>≥0,66</m:t>
                      </m:r>
                    </m:e>
                  </m:eqArr>
                </m:e>
              </m:d>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3.21</m:t>
                  </m:r>
                </m:e>
              </m:d>
              <m:ctrlPr>
                <w:rPr>
                  <w:rFonts w:ascii="Cambria Math" w:eastAsiaTheme="minorEastAsia" w:hAnsi="Cambria Math"/>
                  <w:i/>
                  <w:sz w:val="28"/>
                  <w:szCs w:val="28"/>
                  <w:lang w:val="uk-UA"/>
                </w:rPr>
              </m:ctrlPr>
            </m:e>
          </m:eqArr>
        </m:oMath>
      </m:oMathPara>
    </w:p>
    <w:p w:rsidR="00B37265" w:rsidRPr="005C38DA" w:rsidRDefault="00B37265" w:rsidP="005C38DA">
      <w:pPr>
        <w:spacing w:after="0" w:line="360" w:lineRule="auto"/>
        <w:ind w:firstLine="709"/>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w:r w:rsidRPr="005C38DA">
        <w:rPr>
          <w:rFonts w:ascii="Times New Roman" w:eastAsiaTheme="minorEastAsia" w:hAnsi="Times New Roman"/>
          <w:sz w:val="28"/>
          <w:szCs w:val="28"/>
          <w:lang w:val="en-US"/>
        </w:rPr>
        <w:t>Z</w:t>
      </w:r>
      <w:r w:rsidRPr="005C38DA">
        <w:rPr>
          <w:rFonts w:ascii="Times New Roman" w:eastAsiaTheme="minorEastAsia" w:hAnsi="Times New Roman"/>
          <w:sz w:val="28"/>
          <w:szCs w:val="28"/>
          <w:lang w:val="uk-UA"/>
        </w:rPr>
        <w:t xml:space="preserve"> – стратегічні зони.</w:t>
      </w:r>
    </w:p>
    <w:p w:rsidR="00B37265" w:rsidRPr="005C38DA" w:rsidRDefault="00B37265" w:rsidP="005C38DA">
      <w:pPr>
        <w:pStyle w:val="a6"/>
        <w:numPr>
          <w:ilvl w:val="1"/>
          <w:numId w:val="17"/>
        </w:numPr>
        <w:spacing w:after="0" w:line="360" w:lineRule="auto"/>
        <w:ind w:left="0" w:firstLine="709"/>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Динамічна оцінка позиції підприємства дозволяє оцінити рух підприємства в матриці. </w:t>
      </w:r>
      <w:r w:rsidRPr="005C38DA">
        <w:rPr>
          <w:rFonts w:ascii="Times New Roman" w:hAnsi="Times New Roman"/>
          <w:color w:val="000000"/>
          <w:sz w:val="28"/>
          <w:szCs w:val="28"/>
        </w:rPr>
        <w:t>Для врахування часової динаміки доцільно використовувати</w:t>
      </w:r>
      <w:r w:rsidRPr="005C38DA">
        <w:rPr>
          <w:rFonts w:ascii="Times New Roman" w:hAnsi="Times New Roman"/>
          <w:color w:val="000000"/>
          <w:sz w:val="28"/>
          <w:szCs w:val="28"/>
          <w:lang w:val="uk-UA"/>
        </w:rPr>
        <w:t>:</w:t>
      </w:r>
    </w:p>
    <w:p w:rsidR="00B37265" w:rsidRPr="005C38DA" w:rsidRDefault="00EB5B4E" w:rsidP="005C38DA">
      <w:pPr>
        <w:pStyle w:val="a6"/>
        <w:spacing w:after="0" w:line="360" w:lineRule="auto"/>
        <w:ind w:left="0"/>
        <w:contextualSpacing w:val="0"/>
        <w:jc w:val="both"/>
        <w:rPr>
          <w:rFonts w:ascii="Times New Roman" w:eastAsiaTheme="minorEastAsia" w:hAnsi="Times New Roman"/>
          <w:sz w:val="28"/>
          <w:szCs w:val="28"/>
          <w:lang w:val="uk-UA"/>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m:t>
              </m:r>
              <m:r>
                <w:rPr>
                  <w:rFonts w:ascii="Cambria Math" w:eastAsiaTheme="minorEastAsia" w:hAnsi="Cambria Math"/>
                  <w:sz w:val="28"/>
                  <w:szCs w:val="28"/>
                  <w:lang w:val="en-US"/>
                </w:rPr>
                <m:t>P=</m:t>
              </m:r>
              <m:d>
                <m:dPr>
                  <m:ctrlPr>
                    <w:rPr>
                      <w:rFonts w:ascii="Cambria Math" w:eastAsiaTheme="minorEastAsia" w:hAnsi="Cambria Math"/>
                      <w:i/>
                      <w:sz w:val="28"/>
                      <w:szCs w:val="28"/>
                      <w:lang w:val="en-US"/>
                    </w:rPr>
                  </m:ctrlPr>
                </m:dPr>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SP</m:t>
                      </m:r>
                    </m:e>
                    <m:sub>
                      <m:r>
                        <w:rPr>
                          <w:rFonts w:ascii="Cambria Math" w:eastAsiaTheme="minorEastAsia" w:hAnsi="Cambria Math"/>
                          <w:sz w:val="28"/>
                          <w:szCs w:val="28"/>
                          <w:lang w:val="en-US"/>
                        </w:rPr>
                        <m:t>t</m:t>
                      </m:r>
                    </m:sub>
                  </m:sSub>
                  <m:r>
                    <w:rPr>
                      <w:rFonts w:ascii="Cambria Math" w:eastAsiaTheme="minorEastAsia" w:hAnsi="Cambria Math"/>
                      <w:sz w:val="28"/>
                      <w:szCs w:val="28"/>
                      <w:lang w:val="en-US"/>
                    </w:rPr>
                    <m:t>-</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SP</m:t>
                      </m:r>
                    </m:e>
                    <m:sub>
                      <m:r>
                        <w:rPr>
                          <w:rFonts w:ascii="Cambria Math" w:eastAsiaTheme="minorEastAsia" w:hAnsi="Cambria Math"/>
                          <w:sz w:val="28"/>
                          <w:szCs w:val="28"/>
                          <w:lang w:val="en-US"/>
                        </w:rPr>
                        <m:t>t-1</m:t>
                      </m:r>
                    </m:sub>
                  </m:sSub>
                  <m:r>
                    <w:rPr>
                      <w:rFonts w:ascii="Cambria Math" w:eastAsiaTheme="minorEastAsia" w:hAnsi="Cambria Math"/>
                      <w:sz w:val="28"/>
                      <w:szCs w:val="28"/>
                      <w:lang w:val="en-US"/>
                    </w:rPr>
                    <m:t xml:space="preserve">; </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II</m:t>
                      </m:r>
                    </m:e>
                    <m:sub>
                      <m:r>
                        <w:rPr>
                          <w:rFonts w:ascii="Cambria Math" w:eastAsiaTheme="minorEastAsia" w:hAnsi="Cambria Math"/>
                          <w:sz w:val="28"/>
                          <w:szCs w:val="28"/>
                          <w:lang w:val="en-US"/>
                        </w:rPr>
                        <m:t>t</m:t>
                      </m:r>
                    </m:sub>
                  </m:sSub>
                  <m:r>
                    <w:rPr>
                      <w:rFonts w:ascii="Cambria Math" w:eastAsiaTheme="minorEastAsia" w:hAnsi="Cambria Math"/>
                      <w:sz w:val="28"/>
                      <w:szCs w:val="28"/>
                      <w:lang w:val="en-US"/>
                    </w:rPr>
                    <m:t>-</m:t>
                  </m:r>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II</m:t>
                      </m:r>
                    </m:e>
                    <m:sub>
                      <m:r>
                        <w:rPr>
                          <w:rFonts w:ascii="Cambria Math" w:eastAsiaTheme="minorEastAsia" w:hAnsi="Cambria Math"/>
                          <w:sz w:val="28"/>
                          <w:szCs w:val="28"/>
                          <w:lang w:val="en-US"/>
                        </w:rPr>
                        <m:t>t-1</m:t>
                      </m:r>
                    </m:sub>
                  </m:sSub>
                </m:e>
              </m:d>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3.22</m:t>
                  </m:r>
                </m:e>
              </m:d>
              <m:ctrlPr>
                <w:rPr>
                  <w:rFonts w:ascii="Cambria Math" w:eastAsiaTheme="minorEastAsia" w:hAnsi="Cambria Math"/>
                  <w:i/>
                  <w:sz w:val="28"/>
                  <w:szCs w:val="28"/>
                  <w:lang w:val="uk-UA"/>
                </w:rPr>
              </m:ctrlPr>
            </m:e>
          </m:eqArr>
        </m:oMath>
      </m:oMathPara>
    </w:p>
    <w:p w:rsidR="00B37265" w:rsidRPr="005C38DA" w:rsidRDefault="00B37265" w:rsidP="005C38DA">
      <w:pPr>
        <w:pStyle w:val="a6"/>
        <w:spacing w:after="0" w:line="360" w:lineRule="auto"/>
        <w:ind w:left="0"/>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де </w:t>
      </w:r>
      <m:oMath>
        <m:r>
          <w:rPr>
            <w:rFonts w:ascii="Cambria Math" w:eastAsiaTheme="minorEastAsia" w:hAnsi="Cambria Math"/>
            <w:sz w:val="28"/>
            <w:szCs w:val="28"/>
            <w:lang w:val="uk-UA"/>
          </w:rPr>
          <m:t>∆</m:t>
        </m:r>
        <m:r>
          <w:rPr>
            <w:rFonts w:ascii="Cambria Math" w:eastAsiaTheme="minorEastAsia" w:hAnsi="Cambria Math"/>
            <w:sz w:val="28"/>
            <w:szCs w:val="28"/>
            <w:lang w:val="en-US"/>
          </w:rPr>
          <m:t>P</m:t>
        </m:r>
      </m:oMath>
      <w:r w:rsidRPr="005C38DA">
        <w:rPr>
          <w:rFonts w:ascii="Times New Roman" w:eastAsiaTheme="minorEastAsia" w:hAnsi="Times New Roman"/>
          <w:sz w:val="28"/>
          <w:szCs w:val="28"/>
          <w:lang w:val="uk-UA"/>
        </w:rPr>
        <w:t xml:space="preserve"> – вектор зміни позиції підприємства;</w:t>
      </w:r>
    </w:p>
    <w:p w:rsidR="00B37265" w:rsidRPr="005C38DA" w:rsidRDefault="00B37265" w:rsidP="005C38DA">
      <w:pPr>
        <w:pStyle w:val="a6"/>
        <w:spacing w:after="0" w:line="360" w:lineRule="auto"/>
        <w:ind w:left="0"/>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t</w:t>
      </w:r>
      <w:r w:rsidRPr="005C38DA">
        <w:rPr>
          <w:rFonts w:ascii="Times New Roman" w:eastAsiaTheme="minorEastAsia" w:hAnsi="Times New Roman"/>
          <w:sz w:val="28"/>
          <w:szCs w:val="28"/>
        </w:rPr>
        <w:t xml:space="preserve"> - </w:t>
      </w:r>
      <w:r w:rsidRPr="005C38DA">
        <w:rPr>
          <w:rFonts w:ascii="Times New Roman" w:eastAsiaTheme="minorEastAsia" w:hAnsi="Times New Roman"/>
          <w:sz w:val="28"/>
          <w:szCs w:val="28"/>
          <w:lang w:val="uk-UA"/>
        </w:rPr>
        <w:t>поточний період;</w:t>
      </w:r>
    </w:p>
    <w:p w:rsidR="00B37265" w:rsidRPr="005C38DA" w:rsidRDefault="00B37265" w:rsidP="005C38DA">
      <w:pPr>
        <w:pStyle w:val="a6"/>
        <w:spacing w:after="0" w:line="360" w:lineRule="auto"/>
        <w:ind w:left="0"/>
        <w:contextualSpacing w:val="0"/>
        <w:jc w:val="both"/>
        <w:rPr>
          <w:rFonts w:ascii="Times New Roman" w:eastAsiaTheme="minorEastAsia" w:hAnsi="Times New Roman"/>
          <w:sz w:val="28"/>
          <w:szCs w:val="28"/>
          <w:lang w:val="uk-UA"/>
        </w:rPr>
      </w:pPr>
      <w:r w:rsidRPr="005C38DA">
        <w:rPr>
          <w:rFonts w:ascii="Times New Roman" w:eastAsiaTheme="minorEastAsia" w:hAnsi="Times New Roman"/>
          <w:sz w:val="28"/>
          <w:szCs w:val="28"/>
          <w:lang w:val="uk-UA"/>
        </w:rPr>
        <w:t xml:space="preserve">    </w:t>
      </w:r>
      <w:r w:rsidRPr="005C38DA">
        <w:rPr>
          <w:rFonts w:ascii="Times New Roman" w:eastAsiaTheme="minorEastAsia" w:hAnsi="Times New Roman"/>
          <w:sz w:val="28"/>
          <w:szCs w:val="28"/>
          <w:lang w:val="en-US"/>
        </w:rPr>
        <w:t>t</w:t>
      </w:r>
      <w:r w:rsidRPr="005C38DA">
        <w:rPr>
          <w:rFonts w:ascii="Times New Roman" w:eastAsiaTheme="minorEastAsia" w:hAnsi="Times New Roman"/>
          <w:sz w:val="28"/>
          <w:szCs w:val="28"/>
          <w:lang w:val="uk-UA"/>
        </w:rPr>
        <w:t>-1 – попередній період.</w:t>
      </w:r>
    </w:p>
    <w:p w:rsidR="00B37265" w:rsidRPr="005C38DA" w:rsidRDefault="00B37265" w:rsidP="005C38DA">
      <w:pPr>
        <w:pStyle w:val="a5"/>
        <w:spacing w:before="0" w:beforeAutospacing="0" w:after="0" w:afterAutospacing="0" w:line="360" w:lineRule="auto"/>
        <w:ind w:firstLine="709"/>
        <w:jc w:val="both"/>
        <w:rPr>
          <w:color w:val="000000"/>
          <w:sz w:val="28"/>
          <w:szCs w:val="28"/>
        </w:rPr>
      </w:pPr>
      <w:r w:rsidRPr="005C38DA">
        <w:rPr>
          <w:color w:val="000000"/>
          <w:sz w:val="28"/>
          <w:szCs w:val="28"/>
          <w:lang w:val="uk-UA"/>
        </w:rPr>
        <w:t xml:space="preserve">Розроблений методичний інструментарій забезпечує багаторівневу формалізацію процесу визначення позиції підприємства у стратегічній матриці інвестиційної привабливості. </w:t>
      </w:r>
      <w:r w:rsidRPr="005C38DA">
        <w:rPr>
          <w:color w:val="000000"/>
          <w:sz w:val="28"/>
          <w:szCs w:val="28"/>
        </w:rPr>
        <w:t>Його ключовою перевагою є інтеграція статичного та динамічного аналізу, урахування ризикового фактору та можливість адаптації до галузевих умов. Використання альтернативних форм агрегування (адитивної та мультиплікативної) дозволяє підвищити робастність результатів, а застосування ентропійного підходу — мінімізувати суб’єктивність оцінювання.</w:t>
      </w:r>
    </w:p>
    <w:p w:rsidR="00B37265" w:rsidRPr="005C38DA" w:rsidRDefault="00B37265" w:rsidP="005C38DA">
      <w:pPr>
        <w:pStyle w:val="a5"/>
        <w:spacing w:before="0" w:beforeAutospacing="0" w:after="0" w:afterAutospacing="0" w:line="360" w:lineRule="auto"/>
        <w:ind w:firstLine="709"/>
        <w:jc w:val="both"/>
        <w:rPr>
          <w:color w:val="000000"/>
          <w:sz w:val="28"/>
          <w:szCs w:val="28"/>
          <w:lang w:val="uk-UA"/>
        </w:rPr>
      </w:pPr>
      <w:r w:rsidRPr="005C38DA">
        <w:rPr>
          <w:color w:val="000000"/>
          <w:sz w:val="28"/>
          <w:szCs w:val="28"/>
        </w:rPr>
        <w:lastRenderedPageBreak/>
        <w:t>У сукупності це формує науково обґрунтований інструмент стратегічної діагностики, який забезпечує не лише ідентифікацію позиції підприємства, але й створює аналітичну основу для прийняття ефективних управлінських рішень щодо підвищення його інвестиційної привабливості.</w:t>
      </w:r>
    </w:p>
    <w:p w:rsidR="00B37265" w:rsidRPr="005C38DA" w:rsidRDefault="00B37265" w:rsidP="005C38DA">
      <w:pPr>
        <w:pStyle w:val="a6"/>
        <w:spacing w:after="0" w:line="360" w:lineRule="auto"/>
        <w:ind w:left="0" w:firstLine="709"/>
        <w:contextualSpacing w:val="0"/>
        <w:jc w:val="both"/>
        <w:rPr>
          <w:rFonts w:ascii="Times New Roman" w:hAnsi="Times New Roman"/>
          <w:color w:val="000000"/>
          <w:sz w:val="28"/>
          <w:szCs w:val="28"/>
          <w:lang w:val="uk-UA"/>
        </w:rPr>
      </w:pPr>
      <w:r w:rsidRPr="005C38DA">
        <w:rPr>
          <w:rFonts w:ascii="Times New Roman" w:hAnsi="Times New Roman"/>
          <w:color w:val="000000"/>
          <w:sz w:val="28"/>
          <w:szCs w:val="28"/>
          <w:lang w:val="uk-UA"/>
        </w:rPr>
        <w:t>Застосування розробленого методичного підходу передбачає послідовне обчислення інтегрального індексу інвестиційної привабливості (ІІ), стратегічного потенціалу (</w:t>
      </w:r>
      <w:r w:rsidRPr="005C38DA">
        <w:rPr>
          <w:rFonts w:ascii="Times New Roman" w:hAnsi="Times New Roman"/>
          <w:color w:val="000000"/>
          <w:sz w:val="28"/>
          <w:szCs w:val="28"/>
        </w:rPr>
        <w:t>SP</w:t>
      </w:r>
      <w:r w:rsidRPr="005C38DA">
        <w:rPr>
          <w:rFonts w:ascii="Times New Roman" w:hAnsi="Times New Roman"/>
          <w:color w:val="000000"/>
          <w:sz w:val="28"/>
          <w:szCs w:val="28"/>
          <w:lang w:val="uk-UA"/>
        </w:rPr>
        <w:t xml:space="preserve">), їх коригування на ризик та подальше визначення координат підприємств у матричному просторі. Розрахунки здійснено на основі узагальнених фінансово-економічних показників, нормованих у діапазоні </w:t>
      </w:r>
      <w:r w:rsidRPr="005C38DA">
        <w:rPr>
          <w:rFonts w:ascii="Times New Roman" w:eastAsia="Times New Roman" w:hAnsi="Times New Roman"/>
          <w:color w:val="000000"/>
          <w:sz w:val="28"/>
          <w:szCs w:val="28"/>
          <w:lang w:val="uk-UA"/>
        </w:rPr>
        <w:t>[0, 3]</w:t>
      </w:r>
      <w:r w:rsidRPr="005C38DA">
        <w:rPr>
          <w:rFonts w:ascii="Times New Roman" w:hAnsi="Times New Roman"/>
          <w:color w:val="000000"/>
          <w:sz w:val="28"/>
          <w:szCs w:val="28"/>
          <w:lang w:val="uk-UA"/>
        </w:rPr>
        <w:t xml:space="preserve">, з використанням вагових коефіцієнтів, визначених за ентропійним підходом для досліджуваних підприємств: </w:t>
      </w:r>
      <w:r w:rsidRPr="005C38DA">
        <w:rPr>
          <w:rFonts w:ascii="Times New Roman" w:hAnsi="Times New Roman"/>
          <w:color w:val="000000"/>
          <w:sz w:val="28"/>
          <w:szCs w:val="28"/>
        </w:rPr>
        <w:t>Kernel</w:t>
      </w:r>
      <w:r w:rsidRPr="005C38DA">
        <w:rPr>
          <w:rFonts w:ascii="Times New Roman" w:hAnsi="Times New Roman"/>
          <w:color w:val="000000"/>
          <w:sz w:val="28"/>
          <w:szCs w:val="28"/>
          <w:lang w:val="uk-UA"/>
        </w:rPr>
        <w:t xml:space="preserve">, МХП та </w:t>
      </w:r>
      <w:r w:rsidRPr="005C38DA">
        <w:rPr>
          <w:rFonts w:ascii="Times New Roman" w:hAnsi="Times New Roman"/>
          <w:color w:val="000000"/>
          <w:sz w:val="28"/>
          <w:szCs w:val="28"/>
        </w:rPr>
        <w:t>Astarta</w:t>
      </w:r>
      <w:r w:rsidRPr="005670E0">
        <w:rPr>
          <w:rFonts w:ascii="Times New Roman" w:hAnsi="Times New Roman"/>
          <w:color w:val="000000"/>
          <w:sz w:val="28"/>
          <w:szCs w:val="28"/>
          <w:lang w:val="uk-UA"/>
        </w:rPr>
        <w:t>-</w:t>
      </w:r>
      <w:r w:rsidRPr="005C38DA">
        <w:rPr>
          <w:rFonts w:ascii="Times New Roman" w:hAnsi="Times New Roman"/>
          <w:color w:val="000000"/>
          <w:sz w:val="28"/>
          <w:szCs w:val="28"/>
        </w:rPr>
        <w:t>Kyiv</w:t>
      </w:r>
      <w:r w:rsidRPr="005C38DA">
        <w:rPr>
          <w:rFonts w:ascii="Times New Roman" w:hAnsi="Times New Roman"/>
          <w:color w:val="000000"/>
          <w:sz w:val="28"/>
          <w:szCs w:val="28"/>
          <w:lang w:val="uk-UA"/>
        </w:rPr>
        <w:t xml:space="preserve"> за 2021 – 2025 рр</w:t>
      </w:r>
      <w:r w:rsidR="004009DE">
        <w:rPr>
          <w:rFonts w:ascii="Times New Roman" w:hAnsi="Times New Roman"/>
          <w:color w:val="000000"/>
          <w:sz w:val="28"/>
          <w:szCs w:val="28"/>
          <w:lang w:val="uk-UA"/>
        </w:rPr>
        <w:t xml:space="preserve"> </w:t>
      </w:r>
      <w:r w:rsidR="004009DE">
        <w:rPr>
          <w:rFonts w:ascii="Times New Roman" w:eastAsia="Times New Roman" w:hAnsi="Times New Roman"/>
          <w:color w:val="000000"/>
          <w:sz w:val="28"/>
          <w:szCs w:val="28"/>
          <w:lang w:val="uk-UA"/>
        </w:rPr>
        <w:t>[</w:t>
      </w:r>
      <w:r w:rsidRPr="005670E0">
        <w:rPr>
          <w:rFonts w:ascii="Times New Roman" w:eastAsia="Times New Roman" w:hAnsi="Times New Roman"/>
          <w:sz w:val="28"/>
          <w:szCs w:val="28"/>
          <w:lang w:val="uk-UA"/>
        </w:rPr>
        <w:t>69]</w:t>
      </w:r>
      <w:r w:rsidRPr="005670E0">
        <w:rPr>
          <w:lang w:val="uk-UA"/>
        </w:rPr>
        <w:t>.</w:t>
      </w:r>
    </w:p>
    <w:p w:rsidR="00B37265" w:rsidRDefault="00B37265" w:rsidP="005C38DA">
      <w:pPr>
        <w:pStyle w:val="a6"/>
        <w:spacing w:after="0" w:line="360" w:lineRule="auto"/>
        <w:ind w:left="0" w:firstLine="709"/>
        <w:contextualSpacing w:val="0"/>
        <w:jc w:val="both"/>
        <w:rPr>
          <w:rFonts w:ascii="Times New Roman" w:hAnsi="Times New Roman"/>
          <w:color w:val="000000"/>
          <w:sz w:val="28"/>
          <w:szCs w:val="28"/>
          <w:lang w:val="uk-UA"/>
        </w:rPr>
      </w:pPr>
      <w:r w:rsidRPr="005C38DA">
        <w:rPr>
          <w:rFonts w:ascii="Times New Roman" w:hAnsi="Times New Roman"/>
          <w:color w:val="000000"/>
          <w:sz w:val="28"/>
          <w:szCs w:val="28"/>
          <w:lang w:val="uk-UA"/>
        </w:rPr>
        <w:t>За поданим вище методичним підходом первісно було здійснено обрахунок інтегрального індексу інвестиційної привабливості підприємств (табл. 3.4).</w:t>
      </w:r>
    </w:p>
    <w:p w:rsidR="005714C9" w:rsidRDefault="005714C9" w:rsidP="005714C9">
      <w:pPr>
        <w:pStyle w:val="a6"/>
        <w:spacing w:after="0" w:line="360" w:lineRule="auto"/>
        <w:ind w:left="0" w:firstLine="709"/>
        <w:jc w:val="both"/>
        <w:rPr>
          <w:rFonts w:ascii="Times New Roman" w:hAnsi="Times New Roman"/>
          <w:color w:val="000000"/>
          <w:sz w:val="28"/>
          <w:szCs w:val="28"/>
          <w:lang w:val="uk-UA"/>
        </w:rPr>
      </w:pPr>
      <w:r w:rsidRPr="00B647A6">
        <w:rPr>
          <w:rFonts w:ascii="Times New Roman" w:hAnsi="Times New Roman"/>
          <w:color w:val="000000"/>
          <w:sz w:val="28"/>
          <w:szCs w:val="28"/>
        </w:rPr>
        <w:t xml:space="preserve">Отримані результати свідчать про загальну тенденцію відновлення інвестиційної привабливості після </w:t>
      </w:r>
      <w:r>
        <w:rPr>
          <w:rFonts w:ascii="Times New Roman" w:hAnsi="Times New Roman"/>
          <w:color w:val="000000"/>
          <w:sz w:val="28"/>
          <w:szCs w:val="28"/>
          <w:lang w:val="uk-UA"/>
        </w:rPr>
        <w:t xml:space="preserve">кризового </w:t>
      </w:r>
      <w:r w:rsidRPr="00B647A6">
        <w:rPr>
          <w:rFonts w:ascii="Times New Roman" w:hAnsi="Times New Roman"/>
          <w:color w:val="000000"/>
          <w:sz w:val="28"/>
          <w:szCs w:val="28"/>
        </w:rPr>
        <w:t xml:space="preserve">впливу 2022 року. Найбільш стійку динаміку демонструє МХП, що обумовлено диверсифікованою бізнес-моделлю та високим рівнем експортної орієнтації. Kernel характеризується більшою </w:t>
      </w:r>
      <w:r>
        <w:rPr>
          <w:rFonts w:ascii="Times New Roman" w:hAnsi="Times New Roman"/>
          <w:color w:val="000000"/>
          <w:sz w:val="28"/>
          <w:szCs w:val="28"/>
          <w:lang w:val="uk-UA"/>
        </w:rPr>
        <w:t>змінністю</w:t>
      </w:r>
      <w:r w:rsidRPr="00B647A6">
        <w:rPr>
          <w:rFonts w:ascii="Times New Roman" w:hAnsi="Times New Roman"/>
          <w:color w:val="000000"/>
          <w:sz w:val="28"/>
          <w:szCs w:val="28"/>
        </w:rPr>
        <w:t>, що пов’язано з логістичними ризиками, тоді як Astarta демонструє найвищі темпи відносного зростання, що свідчить про ефективну адаптацію до кризових умов.</w:t>
      </w:r>
    </w:p>
    <w:p w:rsidR="00B37265" w:rsidRPr="00212E70" w:rsidRDefault="00B37265" w:rsidP="00B37265">
      <w:pPr>
        <w:pStyle w:val="a6"/>
        <w:keepNext/>
        <w:spacing w:after="0" w:line="360" w:lineRule="auto"/>
        <w:ind w:left="0" w:firstLine="709"/>
        <w:jc w:val="right"/>
        <w:rPr>
          <w:rFonts w:ascii="Times New Roman" w:hAnsi="Times New Roman"/>
          <w:color w:val="000000"/>
          <w:sz w:val="28"/>
          <w:szCs w:val="28"/>
          <w:lang w:val="uk-UA"/>
        </w:rPr>
      </w:pPr>
      <w:r w:rsidRPr="00212E70">
        <w:rPr>
          <w:rFonts w:ascii="Times New Roman" w:hAnsi="Times New Roman"/>
          <w:color w:val="000000"/>
          <w:sz w:val="28"/>
          <w:szCs w:val="28"/>
          <w:lang w:val="uk-UA"/>
        </w:rPr>
        <w:t>Таблиця 3.4</w:t>
      </w:r>
    </w:p>
    <w:p w:rsidR="00B37265" w:rsidRDefault="00B37265" w:rsidP="00B37265">
      <w:pPr>
        <w:pStyle w:val="a6"/>
        <w:spacing w:after="0" w:line="360" w:lineRule="auto"/>
        <w:ind w:left="0"/>
        <w:jc w:val="center"/>
        <w:rPr>
          <w:rFonts w:ascii="Times New Roman" w:hAnsi="Times New Roman"/>
          <w:b/>
          <w:bCs/>
          <w:color w:val="000000"/>
          <w:sz w:val="28"/>
          <w:szCs w:val="28"/>
          <w:lang w:val="uk-UA"/>
        </w:rPr>
      </w:pPr>
      <w:r w:rsidRPr="00B37265">
        <w:rPr>
          <w:rFonts w:ascii="Times New Roman" w:hAnsi="Times New Roman"/>
          <w:b/>
          <w:bCs/>
          <w:color w:val="000000"/>
          <w:sz w:val="28"/>
          <w:szCs w:val="28"/>
          <w:lang w:val="uk-UA"/>
        </w:rPr>
        <w:t xml:space="preserve">Динаміка інтегрального індексу інвестиційної привабливості </w:t>
      </w:r>
    </w:p>
    <w:p w:rsidR="00B37265" w:rsidRDefault="00B37265" w:rsidP="00B37265">
      <w:pPr>
        <w:pStyle w:val="a6"/>
        <w:spacing w:after="0" w:line="240" w:lineRule="auto"/>
        <w:ind w:left="0"/>
        <w:jc w:val="center"/>
        <w:rPr>
          <w:rFonts w:ascii="Times New Roman" w:hAnsi="Times New Roman"/>
          <w:b/>
          <w:bCs/>
          <w:color w:val="000000"/>
          <w:sz w:val="28"/>
          <w:szCs w:val="28"/>
          <w:lang w:val="uk-UA"/>
        </w:rPr>
      </w:pPr>
      <w:r w:rsidRPr="00DB08D6">
        <w:rPr>
          <w:rFonts w:ascii="Times New Roman" w:hAnsi="Times New Roman"/>
          <w:b/>
          <w:bCs/>
          <w:color w:val="000000"/>
          <w:sz w:val="28"/>
          <w:szCs w:val="28"/>
        </w:rPr>
        <w:t>Kernel</w:t>
      </w:r>
      <w:r w:rsidRPr="00B37265">
        <w:rPr>
          <w:rFonts w:ascii="Times New Roman" w:hAnsi="Times New Roman"/>
          <w:b/>
          <w:bCs/>
          <w:color w:val="000000"/>
          <w:sz w:val="28"/>
          <w:szCs w:val="28"/>
          <w:lang w:val="uk-UA"/>
        </w:rPr>
        <w:t>,</w:t>
      </w:r>
      <w:r w:rsidRPr="00DB08D6">
        <w:rPr>
          <w:rFonts w:ascii="Times New Roman" w:hAnsi="Times New Roman"/>
          <w:b/>
          <w:bCs/>
          <w:color w:val="000000"/>
          <w:sz w:val="28"/>
          <w:szCs w:val="28"/>
          <w:lang w:val="uk-UA"/>
        </w:rPr>
        <w:t xml:space="preserve"> МХП</w:t>
      </w:r>
      <w:r w:rsidRPr="00B37265">
        <w:rPr>
          <w:rFonts w:ascii="Times New Roman" w:hAnsi="Times New Roman"/>
          <w:b/>
          <w:bCs/>
          <w:color w:val="000000"/>
          <w:sz w:val="28"/>
          <w:szCs w:val="28"/>
          <w:lang w:val="uk-UA"/>
        </w:rPr>
        <w:t xml:space="preserve"> </w:t>
      </w:r>
      <w:r w:rsidRPr="00DB08D6">
        <w:rPr>
          <w:rFonts w:ascii="Times New Roman" w:hAnsi="Times New Roman"/>
          <w:b/>
          <w:bCs/>
          <w:color w:val="000000"/>
          <w:sz w:val="28"/>
          <w:szCs w:val="28"/>
          <w:lang w:val="uk-UA"/>
        </w:rPr>
        <w:t xml:space="preserve">та </w:t>
      </w:r>
      <w:r w:rsidRPr="00DB08D6">
        <w:rPr>
          <w:rFonts w:ascii="Times New Roman" w:hAnsi="Times New Roman"/>
          <w:b/>
          <w:bCs/>
          <w:color w:val="000000"/>
          <w:sz w:val="28"/>
          <w:szCs w:val="28"/>
        </w:rPr>
        <w:t>Astarta</w:t>
      </w:r>
      <w:r w:rsidRPr="005670E0">
        <w:rPr>
          <w:rFonts w:ascii="Times New Roman" w:hAnsi="Times New Roman"/>
          <w:b/>
          <w:bCs/>
          <w:color w:val="000000"/>
          <w:sz w:val="28"/>
          <w:szCs w:val="28"/>
          <w:lang w:val="uk-UA"/>
        </w:rPr>
        <w:t>-</w:t>
      </w:r>
      <w:r w:rsidRPr="00DB08D6">
        <w:rPr>
          <w:rFonts w:ascii="Times New Roman" w:hAnsi="Times New Roman"/>
          <w:b/>
          <w:bCs/>
          <w:color w:val="000000"/>
          <w:sz w:val="28"/>
          <w:szCs w:val="28"/>
        </w:rPr>
        <w:t>Kyiv</w:t>
      </w:r>
      <w:r w:rsidRPr="00DB08D6">
        <w:rPr>
          <w:rFonts w:ascii="Times New Roman" w:hAnsi="Times New Roman"/>
          <w:b/>
          <w:bCs/>
          <w:color w:val="000000"/>
          <w:sz w:val="28"/>
          <w:szCs w:val="28"/>
          <w:lang w:val="uk-UA"/>
        </w:rPr>
        <w:t xml:space="preserve"> за 2021 – 2025 рр</w:t>
      </w:r>
      <w:r w:rsidRPr="00B37265">
        <w:rPr>
          <w:rFonts w:ascii="Times New Roman" w:hAnsi="Times New Roman"/>
          <w:b/>
          <w:bCs/>
          <w:color w:val="000000"/>
          <w:sz w:val="28"/>
          <w:szCs w:val="28"/>
          <w:lang w:val="uk-UA"/>
        </w:rPr>
        <w:t>.</w:t>
      </w:r>
    </w:p>
    <w:tbl>
      <w:tblPr>
        <w:tblStyle w:val="a4"/>
        <w:tblW w:w="0" w:type="auto"/>
        <w:tblLook w:val="04A0" w:firstRow="1" w:lastRow="0" w:firstColumn="1" w:lastColumn="0" w:noHBand="0" w:noVBand="1"/>
      </w:tblPr>
      <w:tblGrid>
        <w:gridCol w:w="1656"/>
        <w:gridCol w:w="1046"/>
        <w:gridCol w:w="1046"/>
        <w:gridCol w:w="1046"/>
        <w:gridCol w:w="1046"/>
        <w:gridCol w:w="1046"/>
        <w:gridCol w:w="1060"/>
        <w:gridCol w:w="1070"/>
      </w:tblGrid>
      <w:tr w:rsidR="00B37265" w:rsidRPr="00865026" w:rsidTr="00212E70">
        <w:trPr>
          <w:cantSplit/>
          <w:tblHeader/>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Підприємство</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2021</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2024</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2025</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Абс. зміна</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Відн. зміна, %</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Kernel</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0.68</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0.61</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0.66</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0.75</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+0.07</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+10.3</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МХП</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0.70</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0.64</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0.69</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0.74</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0.78</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+0.08</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+11.4</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Astarta</w:t>
            </w:r>
            <w:r w:rsidRPr="00865026">
              <w:rPr>
                <w:rFonts w:ascii="Times New Roman" w:hAnsi="Times New Roman"/>
                <w:color w:val="000000"/>
                <w:lang w:val="uk-UA"/>
              </w:rPr>
              <w:t xml:space="preserve">- </w:t>
            </w:r>
            <w:r w:rsidRPr="00865026">
              <w:rPr>
                <w:rFonts w:ascii="Times New Roman" w:hAnsi="Times New Roman"/>
                <w:color w:val="000000"/>
              </w:rPr>
              <w:t>Kiyv</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0.58</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0.68</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0.71</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+0.09</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+14.5</w:t>
            </w:r>
          </w:p>
        </w:tc>
      </w:tr>
    </w:tbl>
    <w:p w:rsidR="00B37265" w:rsidRDefault="00B37265" w:rsidP="00B37265">
      <w:pPr>
        <w:pStyle w:val="a6"/>
        <w:spacing w:after="0" w:line="240" w:lineRule="auto"/>
        <w:ind w:left="0" w:firstLine="709"/>
        <w:jc w:val="both"/>
        <w:rPr>
          <w:rFonts w:ascii="Times New Roman" w:hAnsi="Times New Roman"/>
          <w:i/>
          <w:iCs/>
          <w:color w:val="000000"/>
          <w:lang w:val="uk-UA"/>
        </w:rPr>
      </w:pPr>
      <w:r>
        <w:rPr>
          <w:rFonts w:ascii="Times New Roman" w:hAnsi="Times New Roman"/>
          <w:i/>
          <w:iCs/>
          <w:color w:val="000000"/>
          <w:lang w:val="uk-UA"/>
        </w:rPr>
        <w:t>Джерело: обраховано автором за даними підприємств</w:t>
      </w: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lastRenderedPageBreak/>
        <w:t>Наступним показником обрахунку стало визначення стратегічного потенціалу досліджуваних сільськогосподарських підприємств (табл. 3.5).</w:t>
      </w:r>
    </w:p>
    <w:p w:rsidR="00B37265" w:rsidRPr="00212E70" w:rsidRDefault="00B37265" w:rsidP="00B37265">
      <w:pPr>
        <w:pStyle w:val="a6"/>
        <w:keepNext/>
        <w:spacing w:after="0" w:line="360" w:lineRule="auto"/>
        <w:ind w:left="0" w:firstLine="709"/>
        <w:jc w:val="right"/>
        <w:rPr>
          <w:rFonts w:ascii="Times New Roman" w:hAnsi="Times New Roman"/>
          <w:color w:val="000000"/>
          <w:sz w:val="28"/>
          <w:szCs w:val="28"/>
          <w:lang w:val="uk-UA"/>
        </w:rPr>
      </w:pPr>
      <w:r w:rsidRPr="00212E70">
        <w:rPr>
          <w:rFonts w:ascii="Times New Roman" w:hAnsi="Times New Roman"/>
          <w:color w:val="000000"/>
          <w:sz w:val="28"/>
          <w:szCs w:val="28"/>
          <w:lang w:val="uk-UA"/>
        </w:rPr>
        <w:t>Таблиця 3.5</w:t>
      </w:r>
    </w:p>
    <w:p w:rsidR="00B37265" w:rsidRDefault="00B37265" w:rsidP="00B37265">
      <w:pPr>
        <w:pStyle w:val="a6"/>
        <w:spacing w:after="0" w:line="240" w:lineRule="auto"/>
        <w:ind w:left="0"/>
        <w:jc w:val="center"/>
        <w:rPr>
          <w:rFonts w:ascii="Times New Roman" w:hAnsi="Times New Roman"/>
          <w:b/>
          <w:bCs/>
          <w:color w:val="000000"/>
          <w:sz w:val="28"/>
          <w:szCs w:val="28"/>
          <w:lang w:val="uk-UA"/>
        </w:rPr>
      </w:pPr>
      <w:r w:rsidRPr="00B37265">
        <w:rPr>
          <w:rFonts w:ascii="Times New Roman" w:hAnsi="Times New Roman"/>
          <w:b/>
          <w:bCs/>
          <w:color w:val="000000"/>
          <w:sz w:val="28"/>
          <w:szCs w:val="28"/>
          <w:lang w:val="uk-UA"/>
        </w:rPr>
        <w:t>Динаміка стратегічного потенціалу</w:t>
      </w:r>
      <w:r w:rsidRPr="00B37265">
        <w:rPr>
          <w:rFonts w:ascii="-webkit-standard" w:hAnsi="-webkit-standard"/>
          <w:color w:val="000000"/>
          <w:sz w:val="29"/>
          <w:szCs w:val="28"/>
          <w:lang w:val="uk-UA"/>
        </w:rPr>
        <w:t xml:space="preserve"> </w:t>
      </w:r>
      <w:r w:rsidRPr="00DB08D6">
        <w:rPr>
          <w:rFonts w:ascii="Times New Roman" w:hAnsi="Times New Roman"/>
          <w:b/>
          <w:bCs/>
          <w:color w:val="000000"/>
          <w:sz w:val="28"/>
          <w:szCs w:val="28"/>
        </w:rPr>
        <w:t>Kernel</w:t>
      </w:r>
      <w:r w:rsidRPr="00B37265">
        <w:rPr>
          <w:rFonts w:ascii="Times New Roman" w:hAnsi="Times New Roman"/>
          <w:b/>
          <w:bCs/>
          <w:color w:val="000000"/>
          <w:sz w:val="28"/>
          <w:szCs w:val="28"/>
          <w:lang w:val="uk-UA"/>
        </w:rPr>
        <w:t>,</w:t>
      </w:r>
      <w:r w:rsidRPr="00DB08D6">
        <w:rPr>
          <w:rFonts w:ascii="Times New Roman" w:hAnsi="Times New Roman"/>
          <w:b/>
          <w:bCs/>
          <w:color w:val="000000"/>
          <w:sz w:val="28"/>
          <w:szCs w:val="28"/>
          <w:lang w:val="uk-UA"/>
        </w:rPr>
        <w:t xml:space="preserve"> МХП</w:t>
      </w:r>
      <w:r w:rsidRPr="00B37265">
        <w:rPr>
          <w:rFonts w:ascii="Times New Roman" w:hAnsi="Times New Roman"/>
          <w:b/>
          <w:bCs/>
          <w:color w:val="000000"/>
          <w:sz w:val="28"/>
          <w:szCs w:val="28"/>
          <w:lang w:val="uk-UA"/>
        </w:rPr>
        <w:t xml:space="preserve"> </w:t>
      </w:r>
      <w:r w:rsidRPr="00DB08D6">
        <w:rPr>
          <w:rFonts w:ascii="Times New Roman" w:hAnsi="Times New Roman"/>
          <w:b/>
          <w:bCs/>
          <w:color w:val="000000"/>
          <w:sz w:val="28"/>
          <w:szCs w:val="28"/>
          <w:lang w:val="uk-UA"/>
        </w:rPr>
        <w:t xml:space="preserve">та </w:t>
      </w:r>
      <w:r w:rsidRPr="00DB08D6">
        <w:rPr>
          <w:rFonts w:ascii="Times New Roman" w:hAnsi="Times New Roman"/>
          <w:b/>
          <w:bCs/>
          <w:color w:val="000000"/>
          <w:sz w:val="28"/>
          <w:szCs w:val="28"/>
        </w:rPr>
        <w:t>Astarta</w:t>
      </w:r>
      <w:r w:rsidRPr="005670E0">
        <w:rPr>
          <w:rFonts w:ascii="Times New Roman" w:hAnsi="Times New Roman"/>
          <w:b/>
          <w:bCs/>
          <w:color w:val="000000"/>
          <w:sz w:val="28"/>
          <w:szCs w:val="28"/>
          <w:lang w:val="uk-UA"/>
        </w:rPr>
        <w:t>-</w:t>
      </w:r>
      <w:r w:rsidRPr="00DB08D6">
        <w:rPr>
          <w:rFonts w:ascii="Times New Roman" w:hAnsi="Times New Roman"/>
          <w:b/>
          <w:bCs/>
          <w:color w:val="000000"/>
          <w:sz w:val="28"/>
          <w:szCs w:val="28"/>
        </w:rPr>
        <w:t>Kyiv</w:t>
      </w:r>
      <w:r w:rsidRPr="00DB08D6">
        <w:rPr>
          <w:rFonts w:ascii="Times New Roman" w:hAnsi="Times New Roman"/>
          <w:b/>
          <w:bCs/>
          <w:color w:val="000000"/>
          <w:sz w:val="28"/>
          <w:szCs w:val="28"/>
          <w:lang w:val="uk-UA"/>
        </w:rPr>
        <w:t xml:space="preserve"> за 2021 – 2025 рр</w:t>
      </w:r>
      <w:r w:rsidRPr="00B37265">
        <w:rPr>
          <w:rFonts w:ascii="Times New Roman" w:hAnsi="Times New Roman"/>
          <w:b/>
          <w:bCs/>
          <w:color w:val="000000"/>
          <w:sz w:val="28"/>
          <w:szCs w:val="28"/>
          <w:lang w:val="uk-UA"/>
        </w:rPr>
        <w:t>.</w:t>
      </w:r>
    </w:p>
    <w:tbl>
      <w:tblPr>
        <w:tblStyle w:val="a4"/>
        <w:tblW w:w="0" w:type="auto"/>
        <w:tblLook w:val="04A0" w:firstRow="1" w:lastRow="0" w:firstColumn="1" w:lastColumn="0" w:noHBand="0" w:noVBand="1"/>
      </w:tblPr>
      <w:tblGrid>
        <w:gridCol w:w="1656"/>
        <w:gridCol w:w="1046"/>
        <w:gridCol w:w="1046"/>
        <w:gridCol w:w="1046"/>
        <w:gridCol w:w="1046"/>
        <w:gridCol w:w="1046"/>
        <w:gridCol w:w="1060"/>
        <w:gridCol w:w="1070"/>
      </w:tblGrid>
      <w:tr w:rsidR="00B37265" w:rsidRPr="00865026" w:rsidTr="00212E70">
        <w:trPr>
          <w:cantSplit/>
          <w:tblHeader/>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Підприємство</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2021</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2024</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2025</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Абс. зміна</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Відн. зміна, %</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Kernel</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0.70</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0.76</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0.79</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+0.07</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+9.7</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МХП</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0.75</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0.76</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0.79</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0.82</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+0.07</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+9.3</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Astarta</w:t>
            </w:r>
            <w:r w:rsidRPr="00865026">
              <w:rPr>
                <w:rFonts w:ascii="Times New Roman" w:hAnsi="Times New Roman"/>
                <w:color w:val="000000"/>
                <w:lang w:val="uk-UA"/>
              </w:rPr>
              <w:t xml:space="preserve">- </w:t>
            </w:r>
            <w:r w:rsidRPr="00865026">
              <w:rPr>
                <w:rFonts w:ascii="Times New Roman" w:hAnsi="Times New Roman"/>
                <w:color w:val="000000"/>
              </w:rPr>
              <w:t>Kiyv</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0.68</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0.66</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0.70</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0.76</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+0.08</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+11.8</w:t>
            </w:r>
          </w:p>
        </w:tc>
      </w:tr>
    </w:tbl>
    <w:p w:rsidR="00B37265" w:rsidRDefault="00B37265" w:rsidP="00B37265">
      <w:pPr>
        <w:pStyle w:val="a6"/>
        <w:spacing w:after="0" w:line="240" w:lineRule="auto"/>
        <w:ind w:left="0" w:firstLine="709"/>
        <w:jc w:val="both"/>
        <w:rPr>
          <w:rFonts w:ascii="Times New Roman" w:hAnsi="Times New Roman"/>
          <w:i/>
          <w:iCs/>
          <w:color w:val="000000"/>
          <w:lang w:val="uk-UA"/>
        </w:rPr>
      </w:pPr>
      <w:r>
        <w:rPr>
          <w:rFonts w:ascii="Times New Roman" w:hAnsi="Times New Roman"/>
          <w:i/>
          <w:iCs/>
          <w:color w:val="000000"/>
          <w:lang w:val="uk-UA"/>
        </w:rPr>
        <w:t>Джерело: обраховано автором за даними підприємств</w:t>
      </w:r>
    </w:p>
    <w:p w:rsidR="00B37265" w:rsidRDefault="00B37265" w:rsidP="00B37265">
      <w:pPr>
        <w:pStyle w:val="a6"/>
        <w:spacing w:after="0" w:line="360" w:lineRule="auto"/>
        <w:ind w:left="0" w:firstLine="709"/>
        <w:jc w:val="both"/>
        <w:rPr>
          <w:rFonts w:ascii="Times New Roman" w:eastAsiaTheme="minorEastAsia" w:hAnsi="Times New Roman"/>
          <w:sz w:val="28"/>
          <w:szCs w:val="28"/>
          <w:lang w:val="uk-UA"/>
        </w:rPr>
      </w:pP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sidRPr="00B37265">
        <w:rPr>
          <w:rFonts w:ascii="Times New Roman" w:hAnsi="Times New Roman"/>
          <w:color w:val="000000"/>
          <w:sz w:val="28"/>
          <w:szCs w:val="28"/>
          <w:lang w:val="uk-UA"/>
        </w:rPr>
        <w:t xml:space="preserve">Стратегічний потенціал усіх підприємств залишається на високому рівні, що підтверджує значну ресурсну базу та виробничі можливості. </w:t>
      </w:r>
      <w:r w:rsidRPr="00290DEA">
        <w:rPr>
          <w:rFonts w:ascii="Times New Roman" w:hAnsi="Times New Roman"/>
          <w:color w:val="000000"/>
          <w:sz w:val="28"/>
          <w:szCs w:val="28"/>
        </w:rPr>
        <w:t>Найвищі значення характерні для МХП, що пояснюється високим рівнем вертикальної інтеграції. Водночас Astarta демонструє динамічніше зростання, що може бути інтерпретовано як результат активної модернізації та впровадження інноваційних технологій.</w:t>
      </w:r>
      <w:r>
        <w:rPr>
          <w:rFonts w:ascii="Times New Roman" w:hAnsi="Times New Roman"/>
          <w:color w:val="000000"/>
          <w:sz w:val="28"/>
          <w:szCs w:val="28"/>
          <w:lang w:val="uk-UA"/>
        </w:rPr>
        <w:t xml:space="preserve"> Але варто додати корегування на ризик (табл. 3.6), що відповідає поданій методології та відповідно кроку 5 алгоритму визначення позиціонування підприємств в матриці інвестиційної привабливості.</w:t>
      </w:r>
    </w:p>
    <w:p w:rsidR="005714C9" w:rsidRDefault="005714C9" w:rsidP="005714C9">
      <w:pPr>
        <w:pStyle w:val="a6"/>
        <w:spacing w:after="0" w:line="360" w:lineRule="auto"/>
        <w:ind w:left="0" w:firstLine="709"/>
        <w:jc w:val="both"/>
        <w:rPr>
          <w:rFonts w:ascii="Times New Roman" w:hAnsi="Times New Roman"/>
          <w:color w:val="000000"/>
          <w:sz w:val="28"/>
          <w:szCs w:val="28"/>
          <w:lang w:val="uk-UA"/>
        </w:rPr>
      </w:pPr>
      <w:r w:rsidRPr="00B37265">
        <w:rPr>
          <w:rFonts w:ascii="Times New Roman" w:hAnsi="Times New Roman"/>
          <w:color w:val="000000"/>
          <w:sz w:val="28"/>
          <w:szCs w:val="28"/>
          <w:lang w:val="uk-UA"/>
        </w:rPr>
        <w:t>Урахування ризику суттєво знижує рівень інвестиційної привабливості у 2022 році</w:t>
      </w:r>
      <w:r>
        <w:rPr>
          <w:rFonts w:ascii="Times New Roman" w:hAnsi="Times New Roman"/>
          <w:color w:val="000000"/>
          <w:sz w:val="28"/>
          <w:szCs w:val="28"/>
          <w:lang w:val="uk-UA"/>
        </w:rPr>
        <w:t xml:space="preserve"> для всіх підприємств</w:t>
      </w:r>
      <w:r w:rsidRPr="00B37265">
        <w:rPr>
          <w:rFonts w:ascii="Times New Roman" w:hAnsi="Times New Roman"/>
          <w:color w:val="000000"/>
          <w:sz w:val="28"/>
          <w:szCs w:val="28"/>
          <w:lang w:val="uk-UA"/>
        </w:rPr>
        <w:t xml:space="preserve">, що підтверджує адекватність моделі до кризових факторів. Найбільше падіння зафіксовано у </w:t>
      </w:r>
      <w:r w:rsidRPr="00870AB9">
        <w:rPr>
          <w:rFonts w:ascii="Times New Roman" w:hAnsi="Times New Roman"/>
          <w:color w:val="000000"/>
          <w:sz w:val="28"/>
          <w:szCs w:val="28"/>
        </w:rPr>
        <w:t>Astarta</w:t>
      </w:r>
      <w:r w:rsidRPr="00B37265">
        <w:rPr>
          <w:rFonts w:ascii="Times New Roman" w:hAnsi="Times New Roman"/>
          <w:color w:val="000000"/>
          <w:lang w:val="uk-UA"/>
        </w:rPr>
        <w:t xml:space="preserve"> </w:t>
      </w:r>
      <w:r w:rsidRPr="00870AB9">
        <w:rPr>
          <w:rFonts w:ascii="Times New Roman" w:hAnsi="Times New Roman"/>
          <w:color w:val="000000"/>
          <w:sz w:val="28"/>
          <w:szCs w:val="28"/>
          <w:lang w:val="uk-UA"/>
        </w:rPr>
        <w:t>-</w:t>
      </w:r>
      <w:r w:rsidRPr="00870AB9">
        <w:rPr>
          <w:rFonts w:ascii="Times New Roman" w:hAnsi="Times New Roman"/>
          <w:color w:val="000000"/>
          <w:sz w:val="28"/>
          <w:szCs w:val="28"/>
        </w:rPr>
        <w:t>Kiyv</w:t>
      </w:r>
      <w:r w:rsidRPr="00B37265">
        <w:rPr>
          <w:rFonts w:ascii="Times New Roman" w:hAnsi="Times New Roman"/>
          <w:color w:val="000000"/>
          <w:sz w:val="32"/>
          <w:szCs w:val="32"/>
          <w:lang w:val="uk-UA"/>
        </w:rPr>
        <w:t xml:space="preserve">, </w:t>
      </w:r>
      <w:r w:rsidRPr="00B37265">
        <w:rPr>
          <w:rFonts w:ascii="Times New Roman" w:hAnsi="Times New Roman"/>
          <w:color w:val="000000"/>
          <w:sz w:val="28"/>
          <w:szCs w:val="28"/>
          <w:lang w:val="uk-UA"/>
        </w:rPr>
        <w:t>що свідчить про більшу чутливість до ризиків. Водночас саме це підприємство демонструє найшвидше відновлення.</w:t>
      </w:r>
    </w:p>
    <w:p w:rsidR="00B37265" w:rsidRPr="00212E70" w:rsidRDefault="00B37265" w:rsidP="00B37265">
      <w:pPr>
        <w:pStyle w:val="a6"/>
        <w:keepNext/>
        <w:spacing w:after="0" w:line="360" w:lineRule="auto"/>
        <w:ind w:left="0" w:firstLine="709"/>
        <w:jc w:val="right"/>
        <w:rPr>
          <w:rFonts w:ascii="Times New Roman" w:hAnsi="Times New Roman"/>
          <w:color w:val="000000"/>
          <w:sz w:val="28"/>
          <w:szCs w:val="28"/>
          <w:lang w:val="uk-UA"/>
        </w:rPr>
      </w:pPr>
      <w:r w:rsidRPr="00212E70">
        <w:rPr>
          <w:rFonts w:ascii="Times New Roman" w:hAnsi="Times New Roman"/>
          <w:color w:val="000000"/>
          <w:sz w:val="28"/>
          <w:szCs w:val="28"/>
          <w:lang w:val="uk-UA"/>
        </w:rPr>
        <w:t>Таблиця 3.6</w:t>
      </w:r>
    </w:p>
    <w:p w:rsidR="00B37265" w:rsidRDefault="00B37265" w:rsidP="00B37265">
      <w:pPr>
        <w:pStyle w:val="a6"/>
        <w:spacing w:after="0" w:line="240" w:lineRule="auto"/>
        <w:ind w:left="0"/>
        <w:jc w:val="center"/>
        <w:rPr>
          <w:rFonts w:ascii="Times New Roman" w:hAnsi="Times New Roman"/>
          <w:b/>
          <w:bCs/>
          <w:color w:val="000000"/>
          <w:sz w:val="28"/>
          <w:szCs w:val="28"/>
          <w:lang w:val="uk-UA"/>
        </w:rPr>
      </w:pPr>
      <w:r w:rsidRPr="00B37265">
        <w:rPr>
          <w:rFonts w:ascii="Times New Roman" w:hAnsi="Times New Roman"/>
          <w:b/>
          <w:bCs/>
          <w:color w:val="000000"/>
          <w:sz w:val="28"/>
          <w:szCs w:val="28"/>
          <w:lang w:val="uk-UA"/>
        </w:rPr>
        <w:t xml:space="preserve">Динаміка </w:t>
      </w:r>
      <w:r>
        <w:rPr>
          <w:rFonts w:ascii="Times New Roman" w:hAnsi="Times New Roman"/>
          <w:b/>
          <w:bCs/>
          <w:color w:val="000000"/>
          <w:sz w:val="28"/>
          <w:szCs w:val="28"/>
          <w:lang w:val="uk-UA"/>
        </w:rPr>
        <w:t xml:space="preserve">скоригованого </w:t>
      </w:r>
      <w:r w:rsidRPr="00B37265">
        <w:rPr>
          <w:rFonts w:ascii="Times New Roman" w:hAnsi="Times New Roman"/>
          <w:b/>
          <w:bCs/>
          <w:color w:val="000000"/>
          <w:sz w:val="28"/>
          <w:szCs w:val="28"/>
          <w:lang w:val="uk-UA"/>
        </w:rPr>
        <w:t xml:space="preserve">стратегічного потенціалу </w:t>
      </w:r>
      <w:r w:rsidRPr="002D1D8A">
        <w:rPr>
          <w:rFonts w:ascii="Times New Roman" w:hAnsi="Times New Roman"/>
          <w:b/>
          <w:bCs/>
          <w:color w:val="000000"/>
          <w:sz w:val="28"/>
          <w:szCs w:val="28"/>
          <w:lang w:val="uk-UA"/>
        </w:rPr>
        <w:t>з врахуванням ризиків</w:t>
      </w:r>
      <w:r>
        <w:rPr>
          <w:rFonts w:ascii="-webkit-standard" w:hAnsi="-webkit-standard"/>
          <w:color w:val="000000"/>
          <w:sz w:val="29"/>
          <w:szCs w:val="28"/>
          <w:lang w:val="uk-UA"/>
        </w:rPr>
        <w:t xml:space="preserve"> </w:t>
      </w:r>
      <w:r w:rsidRPr="00DB08D6">
        <w:rPr>
          <w:rFonts w:ascii="Times New Roman" w:hAnsi="Times New Roman"/>
          <w:b/>
          <w:bCs/>
          <w:color w:val="000000"/>
          <w:sz w:val="28"/>
          <w:szCs w:val="28"/>
        </w:rPr>
        <w:t>Kernel</w:t>
      </w:r>
      <w:r w:rsidRPr="00B37265">
        <w:rPr>
          <w:rFonts w:ascii="Times New Roman" w:hAnsi="Times New Roman"/>
          <w:b/>
          <w:bCs/>
          <w:color w:val="000000"/>
          <w:sz w:val="28"/>
          <w:szCs w:val="28"/>
          <w:lang w:val="uk-UA"/>
        </w:rPr>
        <w:t>,</w:t>
      </w:r>
      <w:r w:rsidRPr="00DB08D6">
        <w:rPr>
          <w:rFonts w:ascii="Times New Roman" w:hAnsi="Times New Roman"/>
          <w:b/>
          <w:bCs/>
          <w:color w:val="000000"/>
          <w:sz w:val="28"/>
          <w:szCs w:val="28"/>
          <w:lang w:val="uk-UA"/>
        </w:rPr>
        <w:t xml:space="preserve"> МХП</w:t>
      </w:r>
      <w:r w:rsidRPr="00B37265">
        <w:rPr>
          <w:rFonts w:ascii="Times New Roman" w:hAnsi="Times New Roman"/>
          <w:b/>
          <w:bCs/>
          <w:color w:val="000000"/>
          <w:sz w:val="28"/>
          <w:szCs w:val="28"/>
          <w:lang w:val="uk-UA"/>
        </w:rPr>
        <w:t xml:space="preserve"> </w:t>
      </w:r>
      <w:r w:rsidRPr="00DB08D6">
        <w:rPr>
          <w:rFonts w:ascii="Times New Roman" w:hAnsi="Times New Roman"/>
          <w:b/>
          <w:bCs/>
          <w:color w:val="000000"/>
          <w:sz w:val="28"/>
          <w:szCs w:val="28"/>
          <w:lang w:val="uk-UA"/>
        </w:rPr>
        <w:t xml:space="preserve">та </w:t>
      </w:r>
      <w:r w:rsidRPr="00DB08D6">
        <w:rPr>
          <w:rFonts w:ascii="Times New Roman" w:hAnsi="Times New Roman"/>
          <w:b/>
          <w:bCs/>
          <w:color w:val="000000"/>
          <w:sz w:val="28"/>
          <w:szCs w:val="28"/>
        </w:rPr>
        <w:t>Astarta</w:t>
      </w:r>
      <w:r w:rsidRPr="005670E0">
        <w:rPr>
          <w:rFonts w:ascii="Times New Roman" w:hAnsi="Times New Roman"/>
          <w:b/>
          <w:bCs/>
          <w:color w:val="000000"/>
          <w:sz w:val="28"/>
          <w:szCs w:val="28"/>
          <w:lang w:val="uk-UA"/>
        </w:rPr>
        <w:t>-</w:t>
      </w:r>
      <w:r w:rsidRPr="00DB08D6">
        <w:rPr>
          <w:rFonts w:ascii="Times New Roman" w:hAnsi="Times New Roman"/>
          <w:b/>
          <w:bCs/>
          <w:color w:val="000000"/>
          <w:sz w:val="28"/>
          <w:szCs w:val="28"/>
        </w:rPr>
        <w:t>Kyiv</w:t>
      </w:r>
      <w:r w:rsidRPr="00DB08D6">
        <w:rPr>
          <w:rFonts w:ascii="Times New Roman" w:hAnsi="Times New Roman"/>
          <w:b/>
          <w:bCs/>
          <w:color w:val="000000"/>
          <w:sz w:val="28"/>
          <w:szCs w:val="28"/>
          <w:lang w:val="uk-UA"/>
        </w:rPr>
        <w:t xml:space="preserve"> за 2021 – 2025 рр</w:t>
      </w:r>
      <w:r w:rsidRPr="00B37265">
        <w:rPr>
          <w:rFonts w:ascii="Times New Roman" w:hAnsi="Times New Roman"/>
          <w:b/>
          <w:bCs/>
          <w:color w:val="000000"/>
          <w:sz w:val="28"/>
          <w:szCs w:val="28"/>
          <w:lang w:val="uk-UA"/>
        </w:rPr>
        <w:t>.</w:t>
      </w:r>
    </w:p>
    <w:tbl>
      <w:tblPr>
        <w:tblStyle w:val="a4"/>
        <w:tblW w:w="0" w:type="auto"/>
        <w:tblLook w:val="04A0" w:firstRow="1" w:lastRow="0" w:firstColumn="1" w:lastColumn="0" w:noHBand="0" w:noVBand="1"/>
      </w:tblPr>
      <w:tblGrid>
        <w:gridCol w:w="1656"/>
        <w:gridCol w:w="1046"/>
        <w:gridCol w:w="1046"/>
        <w:gridCol w:w="1046"/>
        <w:gridCol w:w="1046"/>
        <w:gridCol w:w="1046"/>
        <w:gridCol w:w="1060"/>
        <w:gridCol w:w="1070"/>
      </w:tblGrid>
      <w:tr w:rsidR="00B37265" w:rsidRPr="00865026" w:rsidTr="00212E70">
        <w:trPr>
          <w:cantSplit/>
          <w:tblHeader/>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Підприємство</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2021</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2022</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2024</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2025</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Абс. зміна</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Відн. зміна, %</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Kernel</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0.60</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0.49</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0.57</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0.65</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0.69</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+0.09</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+15.0</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МХП</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0.53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0.61</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0.68</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0.72</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+0.09</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+14.3</w:t>
            </w:r>
          </w:p>
        </w:tc>
      </w:tr>
      <w:tr w:rsidR="00B37265" w:rsidRPr="00865026" w:rsidTr="00212E70">
        <w:trPr>
          <w:cantSplit/>
        </w:trPr>
        <w:tc>
          <w:tcPr>
            <w:tcW w:w="165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Astarta</w:t>
            </w:r>
            <w:r w:rsidRPr="00865026">
              <w:rPr>
                <w:rFonts w:ascii="Times New Roman" w:hAnsi="Times New Roman"/>
                <w:color w:val="000000"/>
                <w:lang w:val="uk-UA"/>
              </w:rPr>
              <w:t xml:space="preserve">- </w:t>
            </w:r>
            <w:r w:rsidRPr="00865026">
              <w:rPr>
                <w:rFonts w:ascii="Times New Roman" w:hAnsi="Times New Roman"/>
                <w:color w:val="000000"/>
              </w:rPr>
              <w:t>Kiyv</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0.55</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0.47</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0.56</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0.63</w:t>
            </w:r>
          </w:p>
        </w:tc>
        <w:tc>
          <w:tcPr>
            <w:tcW w:w="1046"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0.67</w:t>
            </w:r>
          </w:p>
        </w:tc>
        <w:tc>
          <w:tcPr>
            <w:tcW w:w="106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+0.12</w:t>
            </w:r>
          </w:p>
        </w:tc>
        <w:tc>
          <w:tcPr>
            <w:tcW w:w="1070" w:type="dxa"/>
          </w:tcPr>
          <w:p w:rsidR="00B37265" w:rsidRPr="00865026" w:rsidRDefault="00B37265" w:rsidP="00B37265">
            <w:pPr>
              <w:pStyle w:val="a6"/>
              <w:spacing w:after="0" w:line="240" w:lineRule="auto"/>
              <w:ind w:left="0"/>
              <w:jc w:val="center"/>
              <w:rPr>
                <w:rFonts w:ascii="Times New Roman" w:hAnsi="Times New Roman"/>
                <w:color w:val="000000"/>
                <w:lang w:val="uk-UA"/>
              </w:rPr>
            </w:pPr>
            <w:r w:rsidRPr="00865026">
              <w:rPr>
                <w:rFonts w:ascii="Times New Roman" w:hAnsi="Times New Roman"/>
                <w:color w:val="000000"/>
              </w:rPr>
              <w:t>+21.8</w:t>
            </w:r>
          </w:p>
        </w:tc>
      </w:tr>
    </w:tbl>
    <w:p w:rsidR="00B37265" w:rsidRDefault="00B37265" w:rsidP="00B37265">
      <w:pPr>
        <w:pStyle w:val="a6"/>
        <w:spacing w:after="0" w:line="240" w:lineRule="auto"/>
        <w:ind w:left="0" w:firstLine="709"/>
        <w:jc w:val="both"/>
        <w:rPr>
          <w:rFonts w:ascii="Times New Roman" w:hAnsi="Times New Roman"/>
          <w:i/>
          <w:iCs/>
          <w:color w:val="000000"/>
          <w:lang w:val="uk-UA"/>
        </w:rPr>
      </w:pPr>
      <w:r>
        <w:rPr>
          <w:rFonts w:ascii="Times New Roman" w:hAnsi="Times New Roman"/>
          <w:i/>
          <w:iCs/>
          <w:color w:val="000000"/>
          <w:lang w:val="uk-UA"/>
        </w:rPr>
        <w:t>Джерело: обраховано автором за даними підприємств</w:t>
      </w:r>
    </w:p>
    <w:p w:rsidR="00B37265" w:rsidRPr="00290DEA" w:rsidRDefault="00B37265" w:rsidP="00B37265">
      <w:pPr>
        <w:pStyle w:val="a6"/>
        <w:spacing w:after="0" w:line="360" w:lineRule="auto"/>
        <w:ind w:left="0" w:firstLine="709"/>
        <w:jc w:val="both"/>
        <w:rPr>
          <w:rFonts w:ascii="Times New Roman" w:eastAsiaTheme="minorEastAsia" w:hAnsi="Times New Roman"/>
          <w:sz w:val="28"/>
          <w:szCs w:val="28"/>
          <w:lang w:val="uk-UA"/>
        </w:rPr>
      </w:pP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sidRPr="00B37265">
        <w:rPr>
          <w:rFonts w:ascii="Times New Roman" w:hAnsi="Times New Roman"/>
          <w:color w:val="000000"/>
          <w:sz w:val="28"/>
          <w:szCs w:val="28"/>
          <w:lang w:val="uk-UA"/>
        </w:rPr>
        <w:lastRenderedPageBreak/>
        <w:t>З метою практичної апробації запропонованого методичного підходу здійснено визначення координат сільськогосподарських підприємств у стратегічній матриці інвестиційної привабливості за 2021–2025 рр. Розрахунок базується на інтегральному індексі інвестиційної привабливості, скоригованому з урахуванням ризикової компоненти, та інтегральному показнику стратегічного потенціалу, що відображає ресурсно-функціональні можливості підприємств. Отримані значення дозволяють формалізувати позицію кожного підприємства у двовимірному координатному просторі «стратегічний потенціал – інвестиційна привабливість» та здійснити їх класифікацію за відповідними зонами матриці</w:t>
      </w:r>
      <w:r>
        <w:rPr>
          <w:rFonts w:ascii="Times New Roman" w:hAnsi="Times New Roman"/>
          <w:color w:val="000000"/>
          <w:sz w:val="28"/>
          <w:szCs w:val="28"/>
          <w:lang w:val="uk-UA"/>
        </w:rPr>
        <w:t xml:space="preserve"> (табл. Ц.1 (додаток Ц))</w:t>
      </w:r>
      <w:r w:rsidRPr="0045536A">
        <w:rPr>
          <w:rFonts w:ascii="Times New Roman" w:hAnsi="Times New Roman"/>
          <w:color w:val="000000"/>
          <w:sz w:val="28"/>
          <w:szCs w:val="28"/>
        </w:rPr>
        <w:t>. Узагальнені результати розрахунків подано в таблиці, що відображає динаміку координат підприємств, а також їх просторове зміщення в межах матричної моделі</w:t>
      </w:r>
      <w:r>
        <w:rPr>
          <w:rFonts w:ascii="Times New Roman" w:hAnsi="Times New Roman"/>
          <w:color w:val="000000"/>
          <w:sz w:val="28"/>
          <w:szCs w:val="28"/>
          <w:lang w:val="uk-UA"/>
        </w:rPr>
        <w:t>.</w:t>
      </w:r>
    </w:p>
    <w:p w:rsidR="005714C9" w:rsidRPr="0045536A" w:rsidRDefault="005714C9" w:rsidP="005714C9">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Отримані координати підприємств формують аналітичну основу для їх подальшої візуалізації у стратегічній матриці інвестиційної привабливості, що дозволяє перейти від числового представлення результатів до їх графічної інтерпретації</w:t>
      </w:r>
      <w:r>
        <w:rPr>
          <w:color w:val="000000"/>
          <w:sz w:val="28"/>
          <w:szCs w:val="28"/>
          <w:lang w:val="uk-UA"/>
        </w:rPr>
        <w:t xml:space="preserve">. </w:t>
      </w:r>
      <w:r w:rsidRPr="00B37265">
        <w:rPr>
          <w:color w:val="000000"/>
          <w:sz w:val="28"/>
          <w:szCs w:val="28"/>
          <w:lang w:val="uk-UA"/>
        </w:rPr>
        <w:t>Побудова відповідних матриць для кожного підприємства забезпечує наочне відображення не лише поточної позиції, але й траєкторії її зміни у часовому вимірі, що є критично важливим для стратегічного аналізу.</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Особливістю запропоненого підходу є можливість одночасного відображення динаміки двох ключових параметрів — інвестиційної привабливості та стратегічного потенціалу, що дозволяє оцінити ступінь їх збалансованості та виявити структурні диспропорції розвитку. Графічна інтерпретація результатів у вигляді стратегічних матриць дозволяє ідентифікувати напрями руху підприємств між зонами, визначити швидкість їх адаптації до змін зовнішнього середовища та оцінити ефективність реалізованих управлінських рішень.</w:t>
      </w:r>
    </w:p>
    <w:p w:rsidR="00B37265" w:rsidRPr="0045536A"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У подальшому для кожного підприємства побудовано окремі стратегічні матриці позиціонування, на яких відображено координати за 2021–2025 рр., диференційовані за часовою ознакою, а також вектори їх </w:t>
      </w:r>
      <w:r w:rsidRPr="00B37265">
        <w:rPr>
          <w:color w:val="000000"/>
          <w:sz w:val="28"/>
          <w:szCs w:val="28"/>
          <w:lang w:val="uk-UA"/>
        </w:rPr>
        <w:lastRenderedPageBreak/>
        <w:t>переміщення, що відображають еволюцію інвестиційної привабливості у взаємозв’язку зі стратегічним потенціалом</w:t>
      </w:r>
      <w:r>
        <w:rPr>
          <w:color w:val="000000"/>
          <w:sz w:val="28"/>
          <w:szCs w:val="28"/>
          <w:lang w:val="uk-UA"/>
        </w:rPr>
        <w:t xml:space="preserve"> (рис. М.1 (додаток М))</w:t>
      </w:r>
      <w:r w:rsidRPr="00B37265">
        <w:rPr>
          <w:color w:val="000000"/>
          <w:sz w:val="28"/>
          <w:szCs w:val="28"/>
          <w:lang w:val="uk-UA"/>
        </w:rPr>
        <w:t>.</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Побудовані стратегічні матриці позиціонування інвестиційної привабливості підприємств дозволяють здійснити комплексний аналіз динаміки їх розвитку у координатному просторі «стратегічний потенціал – інвестиційна привабливість» та виявити закономірності трансформації їх економічного стану в умовах нестабільного зовнішнього середовища</w:t>
      </w:r>
      <w:r w:rsidR="004009DE">
        <w:rPr>
          <w:color w:val="000000"/>
          <w:sz w:val="28"/>
          <w:szCs w:val="28"/>
          <w:lang w:val="uk-UA"/>
        </w:rPr>
        <w:t xml:space="preserve"> [81, 134]</w:t>
      </w:r>
      <w:r w:rsidRPr="005670E0">
        <w:rPr>
          <w:lang w:val="uk-UA"/>
        </w:rPr>
        <w:t>.</w:t>
      </w:r>
    </w:p>
    <w:p w:rsidR="005714C9" w:rsidRPr="00F346C3" w:rsidRDefault="00B37265" w:rsidP="00212E70">
      <w:pPr>
        <w:pStyle w:val="a6"/>
        <w:spacing w:after="0" w:line="360" w:lineRule="auto"/>
        <w:ind w:left="0" w:firstLine="709"/>
        <w:jc w:val="both"/>
        <w:rPr>
          <w:color w:val="000000"/>
          <w:sz w:val="28"/>
          <w:szCs w:val="28"/>
          <w:lang w:val="uk-UA"/>
        </w:rPr>
      </w:pPr>
      <w:r w:rsidRPr="00B37265">
        <w:rPr>
          <w:rFonts w:ascii="Times New Roman" w:hAnsi="Times New Roman"/>
          <w:color w:val="000000"/>
          <w:sz w:val="28"/>
          <w:szCs w:val="28"/>
          <w:lang w:val="uk-UA"/>
        </w:rPr>
        <w:t xml:space="preserve">Аналіз траєкторії руху підприємства </w:t>
      </w:r>
      <w:r w:rsidRPr="0045536A">
        <w:rPr>
          <w:rFonts w:ascii="Times New Roman" w:hAnsi="Times New Roman"/>
          <w:color w:val="000000"/>
          <w:sz w:val="28"/>
          <w:szCs w:val="28"/>
        </w:rPr>
        <w:t>Kernel</w:t>
      </w:r>
      <w:r w:rsidRPr="00B37265">
        <w:rPr>
          <w:rFonts w:ascii="Times New Roman" w:hAnsi="Times New Roman"/>
          <w:color w:val="000000"/>
          <w:sz w:val="28"/>
          <w:szCs w:val="28"/>
          <w:lang w:val="uk-UA"/>
        </w:rPr>
        <w:t xml:space="preserve"> свідчить про наявність циклічної динаміки, обумовленої впливом екзогенних</w:t>
      </w:r>
      <w:r w:rsidRPr="0045536A">
        <w:rPr>
          <w:rFonts w:ascii="Times New Roman" w:hAnsi="Times New Roman"/>
          <w:color w:val="000000"/>
          <w:sz w:val="28"/>
          <w:szCs w:val="28"/>
          <w:lang w:val="uk-UA"/>
        </w:rPr>
        <w:t xml:space="preserve"> (зовнішніх)</w:t>
      </w:r>
      <w:r w:rsidRPr="00B37265">
        <w:rPr>
          <w:rFonts w:ascii="Times New Roman" w:hAnsi="Times New Roman"/>
          <w:color w:val="000000"/>
          <w:sz w:val="28"/>
          <w:szCs w:val="28"/>
          <w:lang w:val="uk-UA"/>
        </w:rPr>
        <w:t xml:space="preserve"> факторів, зокрема логістичних обмежень та коливань зовнішніх ринків. </w:t>
      </w:r>
    </w:p>
    <w:p w:rsidR="00435FDC" w:rsidRDefault="00EB5B4E">
      <w:r>
        <w:rPr>
          <w:rFonts w:ascii="Times New Roman" w:eastAsia="Times New Roman" w:hAnsi="Times New Roman"/>
          <w:sz w:val="28"/>
        </w:rPr>
        <w:t>Матриці позиціонування досліджуваних підприємств наведено в додатку М (рис. М.1).</w:t>
      </w:r>
    </w:p>
    <w:p w:rsidR="00212E70" w:rsidRPr="00B37265" w:rsidRDefault="00BE5A3A" w:rsidP="00212E70">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У 2021 році підприємство перебувало у зоні ризику, що відображало певну диспропорцію між наявним стратегічним потенціалом та рівнем його реалізації у формі інвестиційної привабливості. </w:t>
      </w:r>
      <w:r w:rsidRPr="00BE5A3A">
        <w:rPr>
          <w:color w:val="000000"/>
          <w:sz w:val="28"/>
          <w:szCs w:val="28"/>
          <w:lang w:val="uk-UA"/>
        </w:rPr>
        <w:t xml:space="preserve">У 2022 році спостерігається поглиблення цієї диспропорції, що пов’язано із загальноекономічними </w:t>
      </w:r>
      <w:r w:rsidRPr="0045536A">
        <w:rPr>
          <w:color w:val="000000"/>
          <w:sz w:val="28"/>
          <w:szCs w:val="28"/>
          <w:lang w:val="uk-UA"/>
        </w:rPr>
        <w:t>ризиками</w:t>
      </w:r>
      <w:r w:rsidRPr="00BE5A3A">
        <w:rPr>
          <w:color w:val="000000"/>
          <w:sz w:val="28"/>
          <w:szCs w:val="28"/>
          <w:lang w:val="uk-UA"/>
        </w:rPr>
        <w:t>.</w:t>
      </w:r>
      <w:r>
        <w:rPr>
          <w:color w:val="000000"/>
          <w:sz w:val="28"/>
          <w:szCs w:val="28"/>
          <w:lang w:val="uk-UA"/>
        </w:rPr>
        <w:t xml:space="preserve"> </w:t>
      </w:r>
      <w:r w:rsidR="00212E70" w:rsidRPr="00B37265">
        <w:rPr>
          <w:color w:val="000000"/>
          <w:sz w:val="28"/>
          <w:szCs w:val="28"/>
          <w:lang w:val="uk-UA"/>
        </w:rPr>
        <w:t>Водночас у 2023–2025 рр. відбувається поступове зміщення підприємства у напрямі зон стабільності та лідерства, що свідчить про підвищення ефективності використання ресурсів та адаптивність управлінської системи</w:t>
      </w:r>
      <w:r w:rsidR="004009DE">
        <w:rPr>
          <w:color w:val="000000"/>
          <w:sz w:val="28"/>
          <w:szCs w:val="28"/>
          <w:lang w:val="uk-UA"/>
        </w:rPr>
        <w:t xml:space="preserve"> [145]</w:t>
      </w:r>
      <w:r w:rsidR="00212E70" w:rsidRPr="005670E0">
        <w:rPr>
          <w:lang w:val="uk-UA"/>
        </w:rPr>
        <w:t>.</w:t>
      </w:r>
    </w:p>
    <w:p w:rsidR="00212E70" w:rsidRDefault="00212E70" w:rsidP="00212E70">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Позиціонування МХП характеризується більш стабільною та передбачуваною траєкторією розвитку. </w:t>
      </w:r>
      <w:r w:rsidRPr="005670E0">
        <w:rPr>
          <w:color w:val="000000"/>
          <w:sz w:val="28"/>
          <w:szCs w:val="28"/>
          <w:lang w:val="uk-UA"/>
        </w:rPr>
        <w:t>Незважаючи на тимчасове зниження показників у 2022 році, підприємство демонструє швидке відновлення та перехід до лідерської зони вже у 2024 році. Така динаміка свідчить про високий рівень організаційної стійкості, диверсифікацію діяльності та ефективність стратегічного управління. Важливим є те, що рух підприємства має спрямований характер, без значних коливань, що вказує на системність реалізації інвестиційної політики.</w:t>
      </w:r>
    </w:p>
    <w:p w:rsidR="00B37265" w:rsidRPr="0045536A" w:rsidRDefault="00B37265" w:rsidP="00212E70">
      <w:pPr>
        <w:pStyle w:val="a5"/>
        <w:spacing w:before="0" w:beforeAutospacing="0" w:after="0" w:afterAutospacing="0" w:line="360" w:lineRule="auto"/>
        <w:ind w:firstLine="709"/>
        <w:jc w:val="both"/>
        <w:rPr>
          <w:color w:val="000000"/>
          <w:sz w:val="28"/>
          <w:szCs w:val="28"/>
        </w:rPr>
      </w:pPr>
      <w:r w:rsidRPr="005714C9">
        <w:rPr>
          <w:color w:val="000000"/>
          <w:sz w:val="28"/>
          <w:szCs w:val="28"/>
          <w:lang w:val="uk-UA"/>
        </w:rPr>
        <w:lastRenderedPageBreak/>
        <w:t xml:space="preserve">Аналіз позиціонування </w:t>
      </w:r>
      <w:r w:rsidRPr="0045536A">
        <w:rPr>
          <w:color w:val="000000"/>
          <w:sz w:val="28"/>
          <w:szCs w:val="28"/>
        </w:rPr>
        <w:t>Astarta</w:t>
      </w:r>
      <w:r w:rsidRPr="005714C9">
        <w:rPr>
          <w:color w:val="000000"/>
          <w:sz w:val="28"/>
          <w:szCs w:val="28"/>
          <w:lang w:val="uk-UA"/>
        </w:rPr>
        <w:t>-</w:t>
      </w:r>
      <w:r w:rsidRPr="0045536A">
        <w:rPr>
          <w:color w:val="000000"/>
          <w:sz w:val="28"/>
          <w:szCs w:val="28"/>
        </w:rPr>
        <w:t>Kyiv</w:t>
      </w:r>
      <w:r w:rsidRPr="005714C9">
        <w:rPr>
          <w:color w:val="000000"/>
          <w:sz w:val="28"/>
          <w:szCs w:val="28"/>
          <w:lang w:val="uk-UA"/>
        </w:rPr>
        <w:t xml:space="preserve"> дозволяє ідентифікувати більш поступовий характер трансформації. </w:t>
      </w:r>
      <w:r w:rsidRPr="0045536A">
        <w:rPr>
          <w:color w:val="000000"/>
          <w:sz w:val="28"/>
          <w:szCs w:val="28"/>
        </w:rPr>
        <w:t>Підприємство тривалий час перебуває у зоні ризику, що свідчить про наявність внутрішніх обмежень у реалізації стратегічного потенціалу. Однак починаючи з 2023 року спостерігається позитивна динаміка, яка проявляється у послідовному переміщенні до зон стабільності та подальшому наближенні до лідерської позиції у 2025 році. Така траєкторія свідчить про поступове усунення структурних диспропорцій та підвищення ефективності управління.</w:t>
      </w:r>
    </w:p>
    <w:p w:rsidR="00B37265" w:rsidRPr="0045536A" w:rsidRDefault="00B37265" w:rsidP="00B37265">
      <w:pPr>
        <w:pStyle w:val="a5"/>
        <w:spacing w:before="0" w:beforeAutospacing="0" w:after="0" w:afterAutospacing="0" w:line="360" w:lineRule="auto"/>
        <w:ind w:firstLine="709"/>
        <w:jc w:val="both"/>
        <w:rPr>
          <w:color w:val="000000"/>
          <w:sz w:val="28"/>
          <w:szCs w:val="28"/>
          <w:lang w:val="uk-UA"/>
        </w:rPr>
      </w:pPr>
      <w:r w:rsidRPr="0045536A">
        <w:rPr>
          <w:color w:val="000000"/>
          <w:sz w:val="28"/>
          <w:szCs w:val="28"/>
        </w:rPr>
        <w:t>Узагальнюючи результати, слід зазначити, що всі досліджувані підприємства демонструють тенденцію до покращення позицій у стратегічній матриці після кризового періоду, що підтверджує їх адаптаційний потенціал. Водночас відмінності у траєкторіях руху відображають специфіку бізнес-моделей, рівень диверсифікації та якість управління. Таким чином, використання стратегічної матриці дозволяє не лише фіксувати поточний стан підприємств, але й оцінювати їх динаміку розвитку, що формує підґрунтя для обґрунтування стратегічних управлінських рішень у контексті підвищення інвестиційної привабливості.</w:t>
      </w:r>
      <w:r>
        <w:rPr>
          <w:color w:val="000000"/>
          <w:sz w:val="28"/>
          <w:szCs w:val="28"/>
          <w:lang w:val="uk-UA"/>
        </w:rPr>
        <w:t xml:space="preserve"> </w:t>
      </w:r>
    </w:p>
    <w:p w:rsidR="005714C9" w:rsidRDefault="005714C9" w:rsidP="00B37265">
      <w:pPr>
        <w:pStyle w:val="a6"/>
        <w:spacing w:after="0" w:line="360" w:lineRule="auto"/>
        <w:ind w:left="0" w:firstLine="709"/>
        <w:jc w:val="both"/>
        <w:rPr>
          <w:rFonts w:ascii="Times New Roman" w:eastAsiaTheme="minorEastAsia" w:hAnsi="Times New Roman"/>
          <w:b/>
          <w:bCs/>
          <w:sz w:val="28"/>
          <w:szCs w:val="28"/>
          <w:lang w:val="uk-UA"/>
        </w:rPr>
      </w:pPr>
    </w:p>
    <w:p w:rsidR="00B37265" w:rsidRPr="00212E70" w:rsidRDefault="00B37265" w:rsidP="00B37265">
      <w:pPr>
        <w:pStyle w:val="a6"/>
        <w:spacing w:after="0" w:line="360" w:lineRule="auto"/>
        <w:ind w:left="0" w:firstLine="709"/>
        <w:jc w:val="both"/>
        <w:rPr>
          <w:rFonts w:ascii="Times New Roman" w:hAnsi="Times New Roman"/>
          <w:b/>
          <w:color w:val="000000"/>
          <w:sz w:val="28"/>
          <w:szCs w:val="28"/>
          <w:lang w:val="uk-UA"/>
        </w:rPr>
      </w:pPr>
      <w:r>
        <w:rPr>
          <w:rFonts w:ascii="Times New Roman" w:eastAsiaTheme="minorEastAsia" w:hAnsi="Times New Roman"/>
          <w:b/>
          <w:bCs/>
          <w:sz w:val="28"/>
          <w:szCs w:val="28"/>
          <w:lang w:val="uk-UA"/>
        </w:rPr>
        <w:t xml:space="preserve">3.3 </w:t>
      </w:r>
      <w:r w:rsidR="00212E70" w:rsidRPr="00212E70">
        <w:rPr>
          <w:rStyle w:val="docdata"/>
          <w:rFonts w:ascii="Times New Roman" w:eastAsia="Aptos" w:hAnsi="Times New Roman"/>
          <w:b/>
          <w:kern w:val="2"/>
          <w:sz w:val="28"/>
          <w:szCs w:val="28"/>
          <w:lang w:val="uk-UA"/>
        </w:rPr>
        <w:t>Функціонально – економічний механізм підвищення інвестиційної привабливості сільськогосподарських підприємств</w:t>
      </w: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Підвищення інвестиційної привабливості сільськогосподарських підприємств у сучасних умовах господарювання набуває системного характеру та виходить за межі традиційних підходів, орієнтованих виключно на покращення фінансових результатів. У контексті сформованого в попередніх підрозділах економічного механізму та результатів позиціонування підприємств у стратегічній матриці інвестиційної привабливості стає очевидним, що ключовим обмеженням розвитку є не стільки дефіцит ресурсів, скільки недостатня ефективність їх трансформації у вартість. Це обумовлює необхідність зміщення акцентів управління у бік </w:t>
      </w:r>
      <w:r w:rsidRPr="00B37265">
        <w:rPr>
          <w:color w:val="000000"/>
          <w:sz w:val="28"/>
          <w:szCs w:val="28"/>
          <w:lang w:val="uk-UA"/>
        </w:rPr>
        <w:lastRenderedPageBreak/>
        <w:t>інструментального забезпечення, здатного забезпечити якісне підсилення дії економічного механізму за рахунок впливу на фундаментальні параметри формування інвестиційної привабливості. У цьому контексті особливого значення набувають інструменти, що дозволяють цілеспрямовано впливати на співвідношення «дохідність – ризик – вартість капіталу», формуючи передумови для зростання ринкової вартості підприємства як інтегрального критерію його інвестиційної привабливості. Відтак, логіка подальшого дослідження полягає у розробці та обґрунтуванні комплексу сучасних економічних інструментів, які, будучи інтегрованими у відповідні підсистеми економічного механізму, забезпечують підвищення ефективності управлінських рішень та сприяють переходу підприємств до більш вигідних позицій у стратегічній матриці. При цьому принципово важливою є відмова від фрагментарного підходу до використання окремих інструментів на користь їх системної інтеграції, що забезпечує кумулятивний ефект та дозволяє досягти синергії між різними напрямами управлінського впливу</w:t>
      </w:r>
      <w:r w:rsidR="004009DE">
        <w:rPr>
          <w:color w:val="000000"/>
          <w:sz w:val="28"/>
          <w:szCs w:val="28"/>
          <w:lang w:val="uk-UA"/>
        </w:rPr>
        <w:t xml:space="preserve"> [</w:t>
      </w:r>
      <w:r w:rsidRPr="005670E0">
        <w:rPr>
          <w:sz w:val="28"/>
          <w:szCs w:val="28"/>
          <w:lang w:val="uk-UA"/>
        </w:rPr>
        <w:t>67]</w:t>
      </w:r>
      <w:r w:rsidRPr="005670E0">
        <w:rPr>
          <w:lang w:val="uk-UA"/>
        </w:rPr>
        <w:t>.</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У межах даного підрозділу ключова увага зосереджена на інструментах управління вартістю, які формують концептуальну основу підвищення інвестиційної привабливості підприємств. Їх застосування обумовлено необхідністю переходу від традиційних моделей управління, орієнтованих на показники прибутковості, до вартісно-орієнтованої парадигми, в якій визначальним критерієм ефективності виступає здатність підприємства генерувати економічну додану вартість та забезпечувати зростання капіталізації. Такий підхід дозволяє інтегрувати фінансові та операційні рішення у єдину систему координат, орієнтовану на інтереси інвестора, що, у свою чергу, підвищує прозорість діяльності підприємства та знижує інформаційну асиметрію. Особливістю інструментів управління вартістю є їх спрямованість на управління ключовими драйверами формування інвестиційної привабливості, зокрема грошовими потоками, структурою капіталу та вартістю фінансових ресурсів. Саме ці параметри визначають </w:t>
      </w:r>
      <w:r w:rsidRPr="00B37265">
        <w:rPr>
          <w:color w:val="000000"/>
          <w:sz w:val="28"/>
          <w:szCs w:val="28"/>
          <w:lang w:val="uk-UA"/>
        </w:rPr>
        <w:lastRenderedPageBreak/>
        <w:t>здатність підприємства забезпечувати стабільний рівень доходності за прийнятного рівня ризику, що є базовою вимогою інвесторів у сучасних умовах. Водночас результати аналізу, проведеного у підрозділі 3.2, свідчать про наявність суттєвих диспропорцій між стратегічним потенціалом підприємств та рівнем його реалізації у формі інвестиційної привабливості, що обумовлює необхідність впровадження інструментів, спрямованих на підвищення ефективності використання наявних ресурсів</w:t>
      </w:r>
      <w:r w:rsidR="004009DE">
        <w:rPr>
          <w:color w:val="000000"/>
          <w:sz w:val="28"/>
          <w:szCs w:val="28"/>
          <w:lang w:val="uk-UA"/>
        </w:rPr>
        <w:t xml:space="preserve"> [98, 129, 136, 161]</w:t>
      </w:r>
      <w:r w:rsidRPr="005670E0">
        <w:rPr>
          <w:lang w:val="uk-UA"/>
        </w:rPr>
        <w:t>.</w:t>
      </w:r>
    </w:p>
    <w:p w:rsidR="00B37265" w:rsidRPr="00A648EC"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 xml:space="preserve">У цьому контексті управління через грошові потоки виступає базовим елементом формування вартості підприємства, оскільки саме здатність генерувати стабільні та прогнозовані фінансові результати визначає рівень довіри інвесторів. Перехід до </w:t>
      </w:r>
      <w:r w:rsidRPr="00A648EC">
        <w:rPr>
          <w:color w:val="000000"/>
          <w:sz w:val="28"/>
          <w:szCs w:val="28"/>
        </w:rPr>
        <w:t>cash</w:t>
      </w:r>
      <w:r w:rsidRPr="00B37265">
        <w:rPr>
          <w:color w:val="000000"/>
          <w:sz w:val="28"/>
          <w:szCs w:val="28"/>
          <w:lang w:val="uk-UA"/>
        </w:rPr>
        <w:t>-</w:t>
      </w:r>
      <w:r w:rsidRPr="00A648EC">
        <w:rPr>
          <w:color w:val="000000"/>
          <w:sz w:val="28"/>
          <w:szCs w:val="28"/>
        </w:rPr>
        <w:t>flow</w:t>
      </w:r>
      <w:r w:rsidRPr="00B37265">
        <w:rPr>
          <w:color w:val="000000"/>
          <w:sz w:val="28"/>
          <w:szCs w:val="28"/>
          <w:lang w:val="uk-UA"/>
        </w:rPr>
        <w:t xml:space="preserve"> орієнтованої моделі управління дозволяє змістити акцент з бухгалтерського прибутку на реальні фінансові потоки, що забезпечують фінансову стійкість та ліквідність підприємства. Водночас ефективність реалізації такого підходу значною мірою залежить від структури капіталу, яка визначає вартість фінансових ресурсів та рівень фінансового ризику. Оптимізація співвідношення між власним і позиковим капіталом дозволяє досягти балансу між дохідністю та ризиком, забезпечуючи мінімізацію середньозваженої вартості капіталу та, відповідно, підвищення вартості підприємства. </w:t>
      </w:r>
      <w:r w:rsidRPr="00A648EC">
        <w:rPr>
          <w:color w:val="000000"/>
          <w:sz w:val="28"/>
          <w:szCs w:val="28"/>
        </w:rPr>
        <w:t>У цьому контексті управління структурою капіталу набуває стратегічного характеру, оскільки впливає не лише на фінансові результати, але й на сприйняття підприємства з боку інвесторів та кредиторів</w:t>
      </w:r>
      <w:r w:rsidR="004009DE">
        <w:rPr>
          <w:color w:val="000000"/>
          <w:sz w:val="28"/>
          <w:szCs w:val="28"/>
        </w:rPr>
        <w:t xml:space="preserve"> [11, 47, 97, 135]</w:t>
      </w:r>
      <w:r>
        <w:t>.</w:t>
      </w:r>
    </w:p>
    <w:p w:rsidR="00B37265" w:rsidRPr="00387045" w:rsidRDefault="00B37265" w:rsidP="00B37265">
      <w:pPr>
        <w:pStyle w:val="a5"/>
        <w:spacing w:before="0" w:beforeAutospacing="0" w:after="0" w:afterAutospacing="0" w:line="360" w:lineRule="auto"/>
        <w:ind w:firstLine="709"/>
        <w:jc w:val="both"/>
        <w:rPr>
          <w:color w:val="000000"/>
          <w:sz w:val="28"/>
          <w:szCs w:val="28"/>
          <w:lang w:val="uk-UA"/>
        </w:rPr>
      </w:pPr>
      <w:r w:rsidRPr="00A648EC">
        <w:rPr>
          <w:color w:val="000000"/>
          <w:sz w:val="28"/>
          <w:szCs w:val="28"/>
        </w:rPr>
        <w:t>Застосування концепції вартісно-орієнтованого управління забезпечує системну інтеграцію зазначених інструментів у єдиний механізм, що дозволяє узгодити стратегічні та операційні цілі підприємства</w:t>
      </w:r>
      <w:r>
        <w:rPr>
          <w:color w:val="000000"/>
          <w:sz w:val="28"/>
          <w:szCs w:val="28"/>
          <w:lang w:val="uk-UA"/>
        </w:rPr>
        <w:t xml:space="preserve"> (рис. 3.3)</w:t>
      </w:r>
      <w:r w:rsidRPr="00A648EC">
        <w:rPr>
          <w:color w:val="000000"/>
          <w:sz w:val="28"/>
          <w:szCs w:val="28"/>
        </w:rPr>
        <w:t xml:space="preserve">. </w:t>
      </w:r>
    </w:p>
    <w:p w:rsidR="00E238D8"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Важливим елементом такого підходу є використання показників, що відображають ефективність створення вартості, зокрема економічної доданої вартості, яка дозволяє оцінити реальний внесок підприємства у формування доходності інвестованого капіталу. Це створює передумови для більш </w:t>
      </w:r>
      <w:r w:rsidRPr="00B37265">
        <w:rPr>
          <w:color w:val="000000"/>
          <w:sz w:val="28"/>
          <w:szCs w:val="28"/>
          <w:lang w:val="uk-UA"/>
        </w:rPr>
        <w:lastRenderedPageBreak/>
        <w:t xml:space="preserve">обґрунтованого прийняття управлінських рішень та підвищує прозорість діяльності підприємства. </w:t>
      </w:r>
    </w:p>
    <w:p w:rsidR="00E238D8" w:rsidRPr="00387045" w:rsidRDefault="00E238D8" w:rsidP="00E238D8">
      <w:pPr>
        <w:pStyle w:val="a6"/>
        <w:keepNext/>
        <w:spacing w:line="360" w:lineRule="auto"/>
        <w:ind w:left="0" w:firstLine="709"/>
        <w:jc w:val="both"/>
        <w:rPr>
          <w:rFonts w:ascii="Times New Roman" w:eastAsiaTheme="minorEastAsia" w:hAnsi="Times New Roman"/>
          <w:sz w:val="28"/>
          <w:szCs w:val="28"/>
          <w:lang w:val="uk-UA"/>
        </w:rPr>
      </w:pPr>
      <w:r w:rsidRPr="00387045">
        <w:rPr>
          <w:rFonts w:ascii="Times New Roman" w:eastAsiaTheme="minorEastAsia" w:hAnsi="Times New Roman"/>
          <w:noProof/>
          <w:sz w:val="28"/>
          <w:szCs w:val="28"/>
          <w:lang w:val="uk-UA" w:eastAsia="uk-UA"/>
        </w:rPr>
        <w:drawing>
          <wp:inline distT="0" distB="0" distL="0" distR="0">
            <wp:extent cx="5731510" cy="2877820"/>
            <wp:effectExtent l="0" t="0" r="2540" b="0"/>
            <wp:docPr id="1472337042" name="Рисунок 1" descr="Изображение выглядит как текст, снимок экрана, Шрифт, числ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37042" name="Рисунок 1" descr="Изображение выглядит как текст, снимок экрана, Шрифт, число&#10;&#10;Содержимое, созданное искусственным интеллектом, может быть неверным."/>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inline>
        </w:drawing>
      </w:r>
      <w:r>
        <w:rPr>
          <w:rFonts w:ascii="Times New Roman" w:eastAsiaTheme="minorEastAsia" w:hAnsi="Times New Roman"/>
          <w:b/>
          <w:bCs/>
          <w:sz w:val="28"/>
          <w:szCs w:val="28"/>
          <w:lang w:val="uk-UA"/>
        </w:rPr>
        <w:t>Рис. 3.3 Механізм впливу вартісно – орієнтованого управління на інвестиційну привабливість підприємства</w:t>
      </w:r>
    </w:p>
    <w:p w:rsidR="00E238D8" w:rsidRPr="00387045" w:rsidRDefault="00E238D8" w:rsidP="00E238D8">
      <w:pPr>
        <w:pStyle w:val="a6"/>
        <w:spacing w:after="0" w:line="360" w:lineRule="auto"/>
        <w:ind w:left="0" w:firstLine="709"/>
        <w:jc w:val="both"/>
        <w:rPr>
          <w:rFonts w:ascii="Times New Roman" w:eastAsiaTheme="minorEastAsia" w:hAnsi="Times New Roman"/>
          <w:i/>
          <w:iCs/>
          <w:lang w:val="uk-UA"/>
        </w:rPr>
      </w:pPr>
      <w:r>
        <w:rPr>
          <w:rFonts w:ascii="Times New Roman" w:eastAsiaTheme="minorEastAsia" w:hAnsi="Times New Roman"/>
          <w:i/>
          <w:iCs/>
          <w:lang w:val="uk-UA"/>
        </w:rPr>
        <w:t>Джерело: розробка автора</w:t>
      </w:r>
    </w:p>
    <w:p w:rsidR="00E238D8" w:rsidRDefault="00E238D8" w:rsidP="00B37265">
      <w:pPr>
        <w:pStyle w:val="a5"/>
        <w:spacing w:before="0" w:beforeAutospacing="0" w:after="0" w:afterAutospacing="0" w:line="360" w:lineRule="auto"/>
        <w:ind w:firstLine="709"/>
        <w:jc w:val="both"/>
        <w:rPr>
          <w:color w:val="000000"/>
          <w:sz w:val="28"/>
          <w:szCs w:val="28"/>
          <w:lang w:val="uk-UA"/>
        </w:rPr>
      </w:pP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У сукупності впровадження інструментів управління вартістю дозволяє не лише підвищити рівень інвестиційної привабливості, але й забезпечити стійке зростання вартості підприємства, що відображається у його переміщенні до більш вигідних зон стратегічної матриці. Таким чином, інструментальне забезпечення виступає ключовим елементом підсилення економічного механізму розвитку інвестиційної привабливості, забезпечуючи трансформацію потенційних можливостей підприємства у реальні економічні результати.</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Представлений механізм відображає логіку трансформації інструментів вартісно-орієнтованого управління у зростання інвестиційної привабливості підприємства через вплив на ключові параметри формування вартості. Його структурна побудова базується на ієрархічному поєднанні вхідних характеристик діяльності підприємства, драйверів вартості, інструментального забезпечення та кінцевих економічних результатів, що забезпечує цілісність аналітичного підходу</w:t>
      </w:r>
      <w:r w:rsidR="004009DE">
        <w:rPr>
          <w:color w:val="000000"/>
          <w:sz w:val="28"/>
          <w:szCs w:val="28"/>
          <w:lang w:val="uk-UA"/>
        </w:rPr>
        <w:t xml:space="preserve"> [89]</w:t>
      </w:r>
      <w:r w:rsidRPr="005670E0">
        <w:rPr>
          <w:lang w:val="uk-UA"/>
        </w:rPr>
        <w:t>.</w:t>
      </w:r>
    </w:p>
    <w:p w:rsidR="00B37265" w:rsidRPr="00283FBC"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lastRenderedPageBreak/>
        <w:t xml:space="preserve">Вхідний контур механізму формується сукупністю операційної, інвестиційної та фінансової діяльності, які визначають базові умови функціонування підприємства. </w:t>
      </w:r>
      <w:r w:rsidRPr="00283FBC">
        <w:rPr>
          <w:color w:val="000000"/>
          <w:sz w:val="28"/>
          <w:szCs w:val="28"/>
        </w:rPr>
        <w:t>Саме на цьому рівні закладаються передумови формування грошових потоків, вартості капіталу та ризикового профілю, що виступають ключовими драйверами вартості. Їх взаємозв’язок визначає здатність підприємства генерувати економічну додану вартість та формувати інвестиційну привабливість.</w:t>
      </w:r>
    </w:p>
    <w:p w:rsidR="00B37265" w:rsidRPr="00283FBC" w:rsidRDefault="00B37265" w:rsidP="00B37265">
      <w:pPr>
        <w:pStyle w:val="a5"/>
        <w:spacing w:before="0" w:beforeAutospacing="0" w:after="0" w:afterAutospacing="0" w:line="360" w:lineRule="auto"/>
        <w:ind w:firstLine="709"/>
        <w:jc w:val="both"/>
        <w:rPr>
          <w:color w:val="000000"/>
          <w:sz w:val="28"/>
          <w:szCs w:val="28"/>
        </w:rPr>
      </w:pPr>
      <w:r w:rsidRPr="00283FBC">
        <w:rPr>
          <w:color w:val="000000"/>
          <w:sz w:val="28"/>
          <w:szCs w:val="28"/>
        </w:rPr>
        <w:t>Інструментальний контур управління спрямований на цілеспрямований вплив на зазначені драйвери. Управління грошовими потоками забезпечує підвищення їх обсягу та стабільності, що безпосередньо впливає на зростання вартості підприємства. Управління структурою капіталу дозволяє оптимізувати співвідношення між власними та позиковими ресурсами, що сприяє зниженню вартості капіталу та підвищенню ефективності фінансування. Управління ризиком, у свою чергу, спрямоване на мінімізацію невизначеності та зниження волатильності результатів діяльності, що підвищує прогнозованість грошових потоків.</w:t>
      </w:r>
    </w:p>
    <w:p w:rsidR="00B37265" w:rsidRPr="00283FBC" w:rsidRDefault="00B37265" w:rsidP="00B37265">
      <w:pPr>
        <w:pStyle w:val="a5"/>
        <w:spacing w:before="0" w:beforeAutospacing="0" w:after="0" w:afterAutospacing="0" w:line="360" w:lineRule="auto"/>
        <w:ind w:firstLine="709"/>
        <w:jc w:val="both"/>
        <w:rPr>
          <w:color w:val="000000"/>
          <w:sz w:val="28"/>
          <w:szCs w:val="28"/>
        </w:rPr>
      </w:pPr>
      <w:r w:rsidRPr="00283FBC">
        <w:rPr>
          <w:color w:val="000000"/>
          <w:sz w:val="28"/>
          <w:szCs w:val="28"/>
        </w:rPr>
        <w:t>Інтеграція цих інструментів здійснюється на основі концепцій вартісно-орієнтованого управління, що забезпечує їх узгоджене застосування. Внаслідок цього відбувається трансформація ключових параметрів: зростання грошових потоків, зниження вартості капіталу та ризику, а також підвищення стабільності діяльності підприємства. Сукупний ефект проявляється у зростанні вартості підприємства та покращенні показників інвестиційної привабливості.</w:t>
      </w:r>
    </w:p>
    <w:p w:rsidR="00B37265" w:rsidRPr="00283FBC" w:rsidRDefault="00B37265" w:rsidP="00B37265">
      <w:pPr>
        <w:pStyle w:val="a5"/>
        <w:spacing w:before="0" w:beforeAutospacing="0" w:after="0" w:afterAutospacing="0" w:line="360" w:lineRule="auto"/>
        <w:ind w:firstLine="709"/>
        <w:jc w:val="both"/>
        <w:rPr>
          <w:color w:val="000000"/>
          <w:sz w:val="28"/>
          <w:szCs w:val="28"/>
        </w:rPr>
      </w:pPr>
      <w:r w:rsidRPr="00283FBC">
        <w:rPr>
          <w:color w:val="000000"/>
          <w:sz w:val="28"/>
          <w:szCs w:val="28"/>
        </w:rPr>
        <w:t xml:space="preserve">Для більш детального розкриття механізму доцільно узагальнити вплив окремих інструментів на ключові параметри </w:t>
      </w:r>
      <w:r>
        <w:rPr>
          <w:color w:val="000000"/>
          <w:sz w:val="28"/>
          <w:szCs w:val="28"/>
          <w:lang w:val="uk-UA"/>
        </w:rPr>
        <w:t>(табл. 3.7)</w:t>
      </w:r>
      <w:r w:rsidRPr="00283FBC">
        <w:rPr>
          <w:color w:val="000000"/>
          <w:sz w:val="28"/>
          <w:szCs w:val="28"/>
        </w:rPr>
        <w:t>.</w:t>
      </w: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sidRPr="00283FBC">
        <w:rPr>
          <w:rFonts w:ascii="Times New Roman" w:hAnsi="Times New Roman"/>
          <w:color w:val="000000"/>
          <w:sz w:val="28"/>
          <w:szCs w:val="28"/>
        </w:rPr>
        <w:t xml:space="preserve">Таким чином, запропонований механізм демонструє, що підвищення інвестиційної привабливості є результатом не окремих управлінських дій, а системного впливу інструментів на ключові драйвери вартості підприємства. Його застосування забезпечує не лише покращення поточних показників діяльності, але й формує довгострокові передумови для зміцнення ринкових </w:t>
      </w:r>
      <w:r w:rsidRPr="00283FBC">
        <w:rPr>
          <w:rFonts w:ascii="Times New Roman" w:hAnsi="Times New Roman"/>
          <w:color w:val="000000"/>
          <w:sz w:val="28"/>
          <w:szCs w:val="28"/>
        </w:rPr>
        <w:lastRenderedPageBreak/>
        <w:t>позицій підприємства та його переміщення до стратегічно вигідних зон матриці позиціонування.</w:t>
      </w:r>
    </w:p>
    <w:p w:rsidR="00D638FA" w:rsidRPr="004C1519" w:rsidRDefault="00D638FA" w:rsidP="00D638FA">
      <w:pPr>
        <w:pStyle w:val="a6"/>
        <w:keepNext/>
        <w:spacing w:after="0" w:line="360" w:lineRule="auto"/>
        <w:ind w:left="0" w:firstLine="709"/>
        <w:jc w:val="right"/>
        <w:rPr>
          <w:rFonts w:ascii="Times New Roman" w:eastAsiaTheme="minorEastAsia" w:hAnsi="Times New Roman"/>
          <w:sz w:val="28"/>
          <w:szCs w:val="28"/>
          <w:lang w:val="uk-UA"/>
        </w:rPr>
      </w:pPr>
      <w:r w:rsidRPr="004C1519">
        <w:rPr>
          <w:rFonts w:ascii="Times New Roman" w:eastAsiaTheme="minorEastAsia" w:hAnsi="Times New Roman"/>
          <w:sz w:val="28"/>
          <w:szCs w:val="28"/>
          <w:lang w:val="uk-UA"/>
        </w:rPr>
        <w:t>Таблиця 3.7</w:t>
      </w:r>
    </w:p>
    <w:p w:rsidR="00D638FA" w:rsidRDefault="00D638FA" w:rsidP="00D638FA">
      <w:pPr>
        <w:pStyle w:val="a6"/>
        <w:spacing w:after="0" w:line="240" w:lineRule="auto"/>
        <w:ind w:left="0"/>
        <w:jc w:val="center"/>
        <w:rPr>
          <w:rFonts w:ascii="Times New Roman" w:hAnsi="Times New Roman"/>
          <w:b/>
          <w:bCs/>
          <w:color w:val="000000"/>
          <w:sz w:val="28"/>
          <w:szCs w:val="28"/>
          <w:lang w:val="uk-UA"/>
        </w:rPr>
      </w:pPr>
      <w:r w:rsidRPr="00283FBC">
        <w:rPr>
          <w:rFonts w:ascii="Times New Roman" w:hAnsi="Times New Roman"/>
          <w:b/>
          <w:bCs/>
          <w:color w:val="000000"/>
          <w:sz w:val="28"/>
          <w:szCs w:val="28"/>
        </w:rPr>
        <w:t>Вплив інструментів на ключові драйвери вартості та позицію підприємства у стратегічній матриці</w:t>
      </w:r>
    </w:p>
    <w:tbl>
      <w:tblPr>
        <w:tblStyle w:val="a4"/>
        <w:tblW w:w="0" w:type="auto"/>
        <w:tblLook w:val="04A0" w:firstRow="1" w:lastRow="0" w:firstColumn="1" w:lastColumn="0" w:noHBand="0" w:noVBand="1"/>
      </w:tblPr>
      <w:tblGrid>
        <w:gridCol w:w="3005"/>
        <w:gridCol w:w="3086"/>
        <w:gridCol w:w="2925"/>
      </w:tblGrid>
      <w:tr w:rsidR="00D638FA" w:rsidRPr="00865026" w:rsidTr="00DF10C3">
        <w:trPr>
          <w:cantSplit/>
          <w:tblHeader/>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Інструмент</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Вплив на FCFF / WACC / R</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Ефект у матриці</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Управління грошовими потоками</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 FCFF, ↓ волатильність</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Перехід із зони ризику до стабільності</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Оптимізація структури капіталу</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 WACC, ↑ фінансова ефективність</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Зміщення до зони зростання</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Управління ризиками</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 R, ↑ прогнозованість</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Закріплення у стабільних позиціях</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VBM</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комплексний вплив на всі параметри</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Системне покращення позиції</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EVA</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 ефективність капіталу</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Перехід до лідерських зон</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Cash-flow management</w:t>
            </w:r>
          </w:p>
        </w:tc>
        <w:tc>
          <w:tcPr>
            <w:tcW w:w="3086"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 ліквідність, ↑ стабільність</w:t>
            </w:r>
          </w:p>
        </w:tc>
        <w:tc>
          <w:tcPr>
            <w:tcW w:w="2925" w:type="dxa"/>
          </w:tcPr>
          <w:p w:rsidR="00D638FA" w:rsidRPr="00865026" w:rsidRDefault="00D638FA" w:rsidP="00DF10C3">
            <w:pPr>
              <w:pStyle w:val="a6"/>
              <w:spacing w:after="0" w:line="240" w:lineRule="auto"/>
              <w:ind w:left="0"/>
              <w:jc w:val="center"/>
              <w:rPr>
                <w:rFonts w:ascii="Times New Roman" w:eastAsiaTheme="minorEastAsia" w:hAnsi="Times New Roman"/>
                <w:lang w:val="uk-UA"/>
              </w:rPr>
            </w:pPr>
            <w:r w:rsidRPr="00865026">
              <w:rPr>
                <w:rFonts w:ascii="Times New Roman" w:hAnsi="Times New Roman"/>
                <w:color w:val="000000"/>
              </w:rPr>
              <w:t>Зниження ризиковості позиції</w:t>
            </w:r>
          </w:p>
        </w:tc>
      </w:tr>
    </w:tbl>
    <w:p w:rsidR="00D638FA" w:rsidRPr="00283FBC" w:rsidRDefault="00D638FA" w:rsidP="00D638FA">
      <w:pPr>
        <w:pStyle w:val="a6"/>
        <w:spacing w:after="0" w:line="240" w:lineRule="auto"/>
        <w:ind w:left="0" w:firstLine="709"/>
        <w:jc w:val="both"/>
        <w:rPr>
          <w:rFonts w:ascii="Times New Roman" w:eastAsiaTheme="minorEastAsia" w:hAnsi="Times New Roman"/>
          <w:i/>
          <w:iCs/>
          <w:lang w:val="uk-UA"/>
        </w:rPr>
      </w:pPr>
      <w:r>
        <w:rPr>
          <w:rFonts w:ascii="Times New Roman" w:eastAsiaTheme="minorEastAsia" w:hAnsi="Times New Roman"/>
          <w:i/>
          <w:iCs/>
          <w:lang w:val="uk-UA"/>
        </w:rPr>
        <w:t>Джерело: розробка автора</w:t>
      </w:r>
    </w:p>
    <w:p w:rsidR="00D638FA" w:rsidRDefault="00D638FA" w:rsidP="00D638FA">
      <w:pPr>
        <w:pStyle w:val="a6"/>
        <w:spacing w:after="0" w:line="360" w:lineRule="auto"/>
        <w:ind w:left="0" w:firstLine="709"/>
        <w:jc w:val="both"/>
        <w:rPr>
          <w:rFonts w:ascii="Times New Roman" w:eastAsiaTheme="minorEastAsia" w:hAnsi="Times New Roman"/>
          <w:sz w:val="28"/>
          <w:szCs w:val="28"/>
          <w:lang w:val="uk-UA"/>
        </w:rPr>
      </w:pP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Розвиток інструментального забезпечення підвищення інвестиційної привабливості підприємств в аграрному секторі потребує переходу від традиційного, статичного розуміння ризик-менеджменту до його інтегрованої, вартісно-орієнтованої моделі, яка безпосередньо вбудовується у загальний економічний механізм формування вартості. У межах запропонованого підходу ризик перестає розглядатися як ізольована характеристика діяльності підприємства та трансформується у динамічний параметр, що взаємодіє з грошовими потоками та вартістю капіталу, формуючи скориговану інвестиційну привабливість. Така трансформація є принциповою, оскільки дозволяє перейти від описового аналізу ризиків до їх кількісної інтеграції у процес прийняття управлінських рішень</w:t>
      </w:r>
      <w:r w:rsidR="004009DE">
        <w:rPr>
          <w:color w:val="000000"/>
          <w:sz w:val="28"/>
          <w:szCs w:val="28"/>
          <w:lang w:val="uk-UA"/>
        </w:rPr>
        <w:t xml:space="preserve"> [</w:t>
      </w:r>
      <w:r w:rsidRPr="005670E0">
        <w:rPr>
          <w:sz w:val="28"/>
          <w:szCs w:val="28"/>
          <w:lang w:val="uk-UA"/>
        </w:rPr>
        <w:t>24]</w:t>
      </w:r>
      <w:r w:rsidRPr="005670E0">
        <w:rPr>
          <w:lang w:val="uk-UA"/>
        </w:rPr>
        <w:t>.</w:t>
      </w:r>
    </w:p>
    <w:p w:rsidR="00B37265" w:rsidRPr="0010171C"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 xml:space="preserve">У сучасних умовах господарювання особливого значення набуває концепція інтегрованого ризик-профілю підприємства, яка передбачає агрегування всіх ключових джерел невизначеності в єдину аналітичну систему. </w:t>
      </w:r>
      <w:r w:rsidRPr="0010171C">
        <w:rPr>
          <w:color w:val="000000"/>
          <w:sz w:val="28"/>
          <w:szCs w:val="28"/>
        </w:rPr>
        <w:t xml:space="preserve">Такий підхід дозволяє не лише ідентифікувати ризики, але й оцінювати їхній вплив на фінансові результати через призму вартості підприємства. У цьому контексті принципово важливим є впровадження </w:t>
      </w:r>
      <w:r w:rsidRPr="0010171C">
        <w:rPr>
          <w:color w:val="000000"/>
          <w:sz w:val="28"/>
          <w:szCs w:val="28"/>
        </w:rPr>
        <w:lastRenderedPageBreak/>
        <w:t xml:space="preserve">механізмів stress-testing, які забезпечують моделювання поведінки підприємства в умовах екстремальних змін зовнішнього середовища. На відміну від традиційного аналізу чутливості, stress-testing дозволяє оцінити стійкість економічного механізму до комплексних </w:t>
      </w:r>
      <w:r>
        <w:rPr>
          <w:color w:val="000000"/>
          <w:sz w:val="28"/>
          <w:szCs w:val="28"/>
          <w:lang w:val="uk-UA"/>
        </w:rPr>
        <w:t>викликів та ризиків</w:t>
      </w:r>
      <w:r w:rsidRPr="0010171C">
        <w:rPr>
          <w:color w:val="000000"/>
          <w:sz w:val="28"/>
          <w:szCs w:val="28"/>
        </w:rPr>
        <w:t>, включаючи одночасні зміни цін, обсягів виробництва, вартості ресурсів та фінансових умов</w:t>
      </w:r>
      <w:r w:rsidR="004009DE">
        <w:rPr>
          <w:color w:val="000000"/>
          <w:sz w:val="28"/>
          <w:szCs w:val="28"/>
        </w:rPr>
        <w:t xml:space="preserve"> [107, 127, 131]</w:t>
      </w:r>
      <w:r>
        <w:t>.</w:t>
      </w:r>
    </w:p>
    <w:p w:rsidR="00B37265" w:rsidRPr="0010171C" w:rsidRDefault="00B37265" w:rsidP="00B37265">
      <w:pPr>
        <w:pStyle w:val="a5"/>
        <w:spacing w:before="0" w:beforeAutospacing="0" w:after="0" w:afterAutospacing="0" w:line="360" w:lineRule="auto"/>
        <w:ind w:firstLine="709"/>
        <w:jc w:val="both"/>
        <w:rPr>
          <w:color w:val="000000"/>
          <w:sz w:val="28"/>
          <w:szCs w:val="28"/>
        </w:rPr>
      </w:pPr>
      <w:r w:rsidRPr="0010171C">
        <w:rPr>
          <w:color w:val="000000"/>
          <w:sz w:val="28"/>
          <w:szCs w:val="28"/>
        </w:rPr>
        <w:t>Важливим елементом удосконаленого ризик-менеджменту виступає сценарне моделювання, яке базується на побудові альтернативних траєкторій розвитку підприємства за різних комбінацій макроекономічних та внутрішніх факторів. У межах даного підходу доцільно виокремлювати базовий, оптимістичний та песимістичний сценарії, що дозволяє формувати діапазон можливих значень ключових фінансових показників та оцінювати варіативність інвестиційної привабливості. Такий інструментарій забезпечує підвищення обґрунтованості управлінських рішень та зниження рівня інформаційної асиметрії для потенційних інвесторів.</w:t>
      </w:r>
    </w:p>
    <w:p w:rsidR="00B37265" w:rsidRPr="0010171C" w:rsidRDefault="00B37265" w:rsidP="00B37265">
      <w:pPr>
        <w:pStyle w:val="a5"/>
        <w:spacing w:before="0" w:beforeAutospacing="0" w:after="0" w:afterAutospacing="0" w:line="360" w:lineRule="auto"/>
        <w:ind w:firstLine="709"/>
        <w:jc w:val="both"/>
        <w:rPr>
          <w:color w:val="000000"/>
          <w:sz w:val="28"/>
          <w:szCs w:val="28"/>
        </w:rPr>
      </w:pPr>
      <w:r w:rsidRPr="0010171C">
        <w:rPr>
          <w:color w:val="000000"/>
          <w:sz w:val="28"/>
          <w:szCs w:val="28"/>
        </w:rPr>
        <w:t>Ключовим елементом інтегрованого ризик-орієнтованого підходу є використання показника скоригованої до ризику доходності, який дозволяє поєднати оцінку прибутковості та ризику в єдину аналітичну величину. У цьому контексті особливого значення набуває концепція RAROC (Risk-Adjusted Return on Capital), яка визначає ефективність використання капіталу з урахуванням прийнятого рівня ризику. Базова формалізація показника може бути представлена наступним чином:</w:t>
      </w:r>
      <w:r>
        <w:t xml:space="preserve"> </w:t>
      </w:r>
      <w:r>
        <w:rPr>
          <w:sz w:val="28"/>
          <w:szCs w:val="28"/>
        </w:rPr>
        <w:t>[185]</w:t>
      </w:r>
      <w:r>
        <w:t>.</w:t>
      </w:r>
    </w:p>
    <w:p w:rsidR="00B37265" w:rsidRPr="0010171C" w:rsidRDefault="00EB5B4E" w:rsidP="00B37265">
      <w:pPr>
        <w:pStyle w:val="a6"/>
        <w:spacing w:after="0" w:line="360" w:lineRule="auto"/>
        <w:ind w:left="0" w:firstLine="709"/>
        <w:jc w:val="both"/>
        <w:rPr>
          <w:rFonts w:ascii="Times New Roman" w:eastAsia="Times New Roman" w:hAnsi="Times New Roman"/>
          <w:sz w:val="28"/>
          <w:szCs w:val="28"/>
          <w:lang w:val="en-US"/>
        </w:rPr>
      </w:pPr>
      <m:oMathPara>
        <m:oMath>
          <m:eqArr>
            <m:eqArrPr>
              <m:maxDist m:val="1"/>
              <m:ctrlPr>
                <w:rPr>
                  <w:rFonts w:ascii="Cambria Math" w:eastAsiaTheme="minorEastAsia" w:hAnsi="Cambria Math"/>
                  <w:i/>
                  <w:sz w:val="28"/>
                  <w:szCs w:val="28"/>
                  <w:lang w:val="en-US"/>
                </w:rPr>
              </m:ctrlPr>
            </m:eqArrPr>
            <m:e>
              <m:r>
                <w:rPr>
                  <w:rFonts w:ascii="Cambria Math" w:eastAsiaTheme="minorEastAsia" w:hAnsi="Cambria Math"/>
                  <w:sz w:val="28"/>
                  <w:szCs w:val="28"/>
                  <w:lang w:val="uk-UA"/>
                </w:rPr>
                <m:t>R</m:t>
              </m:r>
              <m:r>
                <w:rPr>
                  <w:rFonts w:ascii="Cambria Math" w:eastAsiaTheme="minorEastAsia" w:hAnsi="Cambria Math"/>
                  <w:sz w:val="28"/>
                  <w:szCs w:val="28"/>
                  <w:lang w:val="en-US"/>
                </w:rPr>
                <m:t xml:space="preserve">AROC= </m:t>
              </m:r>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E</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R</m:t>
                      </m:r>
                    </m:e>
                  </m:d>
                </m:num>
                <m:den>
                  <m:r>
                    <w:rPr>
                      <w:rFonts w:ascii="Cambria Math" w:eastAsiaTheme="minorEastAsia" w:hAnsi="Cambria Math"/>
                      <w:sz w:val="28"/>
                      <w:szCs w:val="28"/>
                      <w:lang w:val="en-US"/>
                    </w:rPr>
                    <m:t>VaR</m:t>
                  </m:r>
                </m:den>
              </m:f>
              <m:r>
                <w:rPr>
                  <w:rFonts w:ascii="Cambria Math" w:eastAsiaTheme="minorEastAsia" w:hAnsi="Cambria Math"/>
                  <w:sz w:val="28"/>
                  <w:szCs w:val="28"/>
                  <w:lang w:val="en-US"/>
                </w:rPr>
                <m:t>,</m:t>
              </m:r>
              <m:r>
                <w:rPr>
                  <w:rFonts w:ascii="Cambria Math" w:eastAsiaTheme="minorEastAsia" w:hAnsi="Cambria Math"/>
                  <w:sz w:val="28"/>
                  <w:szCs w:val="28"/>
                  <w:lang w:val="uk-UA"/>
                </w:rPr>
                <m:t>#</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3.23</m:t>
                  </m:r>
                </m:e>
              </m:d>
              <m:ctrlPr>
                <w:rPr>
                  <w:rFonts w:ascii="Cambria Math" w:eastAsiaTheme="minorEastAsia" w:hAnsi="Cambria Math"/>
                  <w:i/>
                  <w:sz w:val="28"/>
                  <w:szCs w:val="28"/>
                  <w:lang w:val="uk-UA"/>
                </w:rPr>
              </m:ctrlPr>
            </m:e>
          </m:eqArr>
        </m:oMath>
      </m:oMathPara>
    </w:p>
    <w:p w:rsidR="00B37265" w:rsidRDefault="00B37265" w:rsidP="00B37265">
      <w:pPr>
        <w:pStyle w:val="a6"/>
        <w:spacing w:after="0" w:line="360" w:lineRule="auto"/>
        <w:ind w:left="0"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де </w:t>
      </w:r>
      <w:r>
        <w:rPr>
          <w:rFonts w:ascii="Times New Roman" w:eastAsia="Times New Roman" w:hAnsi="Times New Roman"/>
          <w:sz w:val="28"/>
          <w:szCs w:val="28"/>
          <w:lang w:val="en-US"/>
        </w:rPr>
        <w:t>E</w:t>
      </w:r>
      <w:r w:rsidRPr="0010171C">
        <w:rPr>
          <w:rFonts w:ascii="Times New Roman" w:eastAsia="Times New Roman" w:hAnsi="Times New Roman"/>
          <w:sz w:val="28"/>
          <w:szCs w:val="28"/>
          <w:lang w:val="en-US"/>
        </w:rPr>
        <w:t>(</w:t>
      </w:r>
      <w:r>
        <w:rPr>
          <w:rFonts w:ascii="Times New Roman" w:eastAsia="Times New Roman" w:hAnsi="Times New Roman"/>
          <w:sz w:val="28"/>
          <w:szCs w:val="28"/>
          <w:lang w:val="en-US"/>
        </w:rPr>
        <w:t>R</w:t>
      </w:r>
      <w:r w:rsidRPr="0010171C">
        <w:rPr>
          <w:rFonts w:ascii="Times New Roman" w:eastAsia="Times New Roman" w:hAnsi="Times New Roman"/>
          <w:sz w:val="28"/>
          <w:szCs w:val="28"/>
          <w:lang w:val="en-US"/>
        </w:rPr>
        <w:t xml:space="preserve">) – </w:t>
      </w:r>
      <w:r>
        <w:rPr>
          <w:rFonts w:ascii="Times New Roman" w:eastAsia="Times New Roman" w:hAnsi="Times New Roman"/>
          <w:sz w:val="28"/>
          <w:szCs w:val="28"/>
          <w:lang w:val="uk-UA"/>
        </w:rPr>
        <w:t>очікувана дохідність інвестиційного портфелю підприємства;</w:t>
      </w:r>
    </w:p>
    <w:p w:rsidR="00B37265" w:rsidRDefault="00B37265" w:rsidP="00B37265">
      <w:pPr>
        <w:pStyle w:val="a6"/>
        <w:spacing w:after="0" w:line="360" w:lineRule="auto"/>
        <w:ind w:left="0" w:firstLine="709"/>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Pr>
          <w:rFonts w:ascii="Times New Roman" w:eastAsia="Times New Roman" w:hAnsi="Times New Roman"/>
          <w:sz w:val="28"/>
          <w:szCs w:val="28"/>
          <w:lang w:val="en-US"/>
        </w:rPr>
        <w:t>VaR</w:t>
      </w:r>
      <w:r>
        <w:rPr>
          <w:rFonts w:ascii="Times New Roman" w:eastAsia="Times New Roman" w:hAnsi="Times New Roman"/>
          <w:sz w:val="28"/>
          <w:szCs w:val="28"/>
          <w:lang w:val="uk-UA"/>
        </w:rPr>
        <w:t xml:space="preserve"> – вартісна оцінка ризику, що відображає потенційні витрати за заданого рівня довіри.</w:t>
      </w:r>
    </w:p>
    <w:p w:rsidR="00B37265" w:rsidRPr="0010171C" w:rsidRDefault="00B37265" w:rsidP="00B37265">
      <w:pPr>
        <w:pStyle w:val="a6"/>
        <w:spacing w:after="0" w:line="360" w:lineRule="auto"/>
        <w:ind w:left="0" w:firstLine="709"/>
        <w:jc w:val="both"/>
        <w:rPr>
          <w:rFonts w:ascii="Times New Roman" w:eastAsia="Times New Roman" w:hAnsi="Times New Roman"/>
          <w:sz w:val="32"/>
          <w:szCs w:val="32"/>
          <w:lang w:val="uk-UA"/>
        </w:rPr>
      </w:pPr>
      <w:r w:rsidRPr="00B37265">
        <w:rPr>
          <w:rFonts w:ascii="Times New Roman" w:hAnsi="Times New Roman"/>
          <w:color w:val="000000"/>
          <w:sz w:val="28"/>
          <w:szCs w:val="28"/>
          <w:lang w:val="uk-UA"/>
        </w:rPr>
        <w:t xml:space="preserve">Економічний зміст </w:t>
      </w:r>
      <w:r w:rsidRPr="0010171C">
        <w:rPr>
          <w:rFonts w:ascii="Times New Roman" w:hAnsi="Times New Roman"/>
          <w:color w:val="000000"/>
          <w:sz w:val="28"/>
          <w:szCs w:val="28"/>
        </w:rPr>
        <w:t>RAROC</w:t>
      </w:r>
      <w:r w:rsidRPr="00B37265">
        <w:rPr>
          <w:rFonts w:ascii="Times New Roman" w:hAnsi="Times New Roman"/>
          <w:color w:val="000000"/>
          <w:sz w:val="28"/>
          <w:szCs w:val="28"/>
          <w:lang w:val="uk-UA"/>
        </w:rPr>
        <w:t xml:space="preserve"> полягає у тому, що він дозволяє оцінити, яку дохідність генерує підприємство на одиницю прийнятого ризику, що є критично важливим для інвесторів при прийнятті рішень щодо розміщення </w:t>
      </w:r>
      <w:r w:rsidRPr="00B37265">
        <w:rPr>
          <w:rFonts w:ascii="Times New Roman" w:hAnsi="Times New Roman"/>
          <w:color w:val="000000"/>
          <w:sz w:val="28"/>
          <w:szCs w:val="28"/>
          <w:lang w:val="uk-UA"/>
        </w:rPr>
        <w:lastRenderedPageBreak/>
        <w:t xml:space="preserve">капіталу. Зростання значення </w:t>
      </w:r>
      <w:r w:rsidRPr="0010171C">
        <w:rPr>
          <w:rFonts w:ascii="Times New Roman" w:hAnsi="Times New Roman"/>
          <w:color w:val="000000"/>
          <w:sz w:val="28"/>
          <w:szCs w:val="28"/>
        </w:rPr>
        <w:t>RAROC</w:t>
      </w:r>
      <w:r w:rsidRPr="00B37265">
        <w:rPr>
          <w:rFonts w:ascii="Times New Roman" w:hAnsi="Times New Roman"/>
          <w:color w:val="000000"/>
          <w:sz w:val="28"/>
          <w:szCs w:val="28"/>
          <w:lang w:val="uk-UA"/>
        </w:rPr>
        <w:t xml:space="preserve"> свідчить про підвищення ефективності використання ризикового капіталу та, відповідно, про зростання скоригованої інвестиційної привабливості підприємства.</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Додатковим інструментом удосконаленого ризик-менеджменту виступає сценарний аналіз, який дозволяє формалізувати залежність між ключовими параметрами діяльності підприємства та умовами зовнішнього середовища. </w:t>
      </w:r>
      <w:r w:rsidRPr="0010171C">
        <w:rPr>
          <w:color w:val="000000"/>
          <w:sz w:val="28"/>
          <w:szCs w:val="28"/>
        </w:rPr>
        <w:t>Його базова структура може бути представлена через функціональну залежність:</w:t>
      </w:r>
    </w:p>
    <w:p w:rsidR="00B37265" w:rsidRPr="0010171C" w:rsidRDefault="00EB5B4E" w:rsidP="00B37265">
      <w:pPr>
        <w:pStyle w:val="a5"/>
        <w:spacing w:before="0" w:beforeAutospacing="0" w:after="0" w:afterAutospacing="0" w:line="360" w:lineRule="auto"/>
        <w:ind w:firstLine="709"/>
        <w:jc w:val="both"/>
        <w:rPr>
          <w:color w:val="000000"/>
          <w:sz w:val="28"/>
          <w:szCs w:val="28"/>
          <w:lang w:val="en-US"/>
        </w:rPr>
      </w:pPr>
      <m:oMathPara>
        <m:oMath>
          <m:eqArr>
            <m:eqArrPr>
              <m:maxDist m:val="1"/>
              <m:ctrlPr>
                <w:rPr>
                  <w:rFonts w:ascii="Cambria Math" w:hAnsi="Cambria Math"/>
                  <w:i/>
                  <w:color w:val="000000"/>
                  <w:sz w:val="28"/>
                  <w:szCs w:val="28"/>
                  <w:lang w:val="en-US"/>
                </w:rPr>
              </m:ctrlPr>
            </m:eqArrPr>
            <m:e>
              <m:sSup>
                <m:sSupPr>
                  <m:ctrlPr>
                    <w:rPr>
                      <w:rFonts w:ascii="Cambria Math" w:hAnsi="Cambria Math"/>
                      <w:i/>
                      <w:color w:val="000000"/>
                      <w:sz w:val="28"/>
                      <w:szCs w:val="28"/>
                      <w:lang w:val="uk-UA"/>
                    </w:rPr>
                  </m:ctrlPr>
                </m:sSupPr>
                <m:e>
                  <m:r>
                    <w:rPr>
                      <w:rFonts w:ascii="Cambria Math" w:hAnsi="Cambria Math"/>
                      <w:color w:val="000000"/>
                      <w:sz w:val="28"/>
                      <w:szCs w:val="28"/>
                      <w:lang w:val="en-US"/>
                    </w:rPr>
                    <m:t>II</m:t>
                  </m:r>
                </m:e>
                <m:sup>
                  <m:r>
                    <w:rPr>
                      <w:rFonts w:ascii="Cambria Math" w:hAnsi="Cambria Math"/>
                      <w:color w:val="000000"/>
                      <w:sz w:val="28"/>
                      <w:szCs w:val="28"/>
                      <w:lang w:val="uk-UA"/>
                    </w:rPr>
                    <m:t>a</m:t>
                  </m:r>
                  <m:r>
                    <w:rPr>
                      <w:rFonts w:ascii="Cambria Math" w:hAnsi="Cambria Math"/>
                      <w:color w:val="000000"/>
                      <w:sz w:val="28"/>
                      <w:szCs w:val="28"/>
                      <w:lang w:val="en-US"/>
                    </w:rPr>
                    <m:t>dj</m:t>
                  </m:r>
                </m:sup>
              </m:sSup>
              <m:r>
                <w:rPr>
                  <w:rFonts w:ascii="Cambria Math" w:hAnsi="Cambria Math"/>
                  <w:color w:val="000000"/>
                  <w:sz w:val="28"/>
                  <w:szCs w:val="28"/>
                  <w:lang w:val="en-US"/>
                </w:rPr>
                <m:t>=f</m:t>
              </m:r>
              <m:d>
                <m:dPr>
                  <m:ctrlPr>
                    <w:rPr>
                      <w:rFonts w:ascii="Cambria Math" w:hAnsi="Cambria Math"/>
                      <w:i/>
                      <w:color w:val="000000"/>
                      <w:sz w:val="28"/>
                      <w:szCs w:val="28"/>
                      <w:lang w:val="en-US"/>
                    </w:rPr>
                  </m:ctrlPr>
                </m:dPr>
                <m:e>
                  <m:r>
                    <w:rPr>
                      <w:rFonts w:ascii="Cambria Math" w:hAnsi="Cambria Math"/>
                      <w:color w:val="000000"/>
                      <w:sz w:val="28"/>
                      <w:szCs w:val="28"/>
                      <w:lang w:val="en-US"/>
                    </w:rPr>
                    <m:t>FCFF,WACC,</m:t>
                  </m:r>
                  <m:sSub>
                    <m:sSubPr>
                      <m:ctrlPr>
                        <w:rPr>
                          <w:rFonts w:ascii="Cambria Math" w:hAnsi="Cambria Math"/>
                          <w:i/>
                          <w:color w:val="000000"/>
                          <w:sz w:val="28"/>
                          <w:szCs w:val="28"/>
                          <w:lang w:val="en-US"/>
                        </w:rPr>
                      </m:ctrlPr>
                    </m:sSubPr>
                    <m:e>
                      <m:r>
                        <w:rPr>
                          <w:rFonts w:ascii="Cambria Math" w:hAnsi="Cambria Math"/>
                          <w:color w:val="000000"/>
                          <w:sz w:val="28"/>
                          <w:szCs w:val="28"/>
                          <w:lang w:val="en-US"/>
                        </w:rPr>
                        <m:t>R</m:t>
                      </m:r>
                    </m:e>
                    <m:sub>
                      <m:r>
                        <w:rPr>
                          <w:rFonts w:ascii="Cambria Math" w:hAnsi="Cambria Math"/>
                          <w:color w:val="000000"/>
                          <w:sz w:val="28"/>
                          <w:szCs w:val="28"/>
                          <w:lang w:val="en-US"/>
                        </w:rPr>
                        <m:t>S</m:t>
                      </m:r>
                    </m:sub>
                  </m:sSub>
                  <m:r>
                    <w:rPr>
                      <w:rFonts w:ascii="Cambria Math" w:hAnsi="Cambria Math"/>
                      <w:color w:val="000000"/>
                      <w:sz w:val="28"/>
                      <w:szCs w:val="28"/>
                      <w:lang w:val="en-US"/>
                    </w:rPr>
                    <m:t xml:space="preserve"> </m:t>
                  </m:r>
                </m:e>
              </m:d>
              <m:r>
                <w:rPr>
                  <w:rFonts w:ascii="Cambria Math" w:hAnsi="Cambria Math"/>
                  <w:color w:val="000000"/>
                  <w:sz w:val="28"/>
                  <w:szCs w:val="28"/>
                  <w:lang w:val="en-US"/>
                </w:rPr>
                <m:t>,</m:t>
              </m:r>
              <m:r>
                <w:rPr>
                  <w:rFonts w:ascii="Cambria Math" w:hAnsi="Cambria Math"/>
                  <w:color w:val="000000"/>
                  <w:sz w:val="28"/>
                  <w:szCs w:val="28"/>
                  <w:lang w:val="uk-UA"/>
                </w:rPr>
                <m:t>#</m:t>
              </m:r>
              <m:d>
                <m:dPr>
                  <m:ctrlPr>
                    <w:rPr>
                      <w:rFonts w:ascii="Cambria Math" w:hAnsi="Cambria Math"/>
                      <w:i/>
                      <w:color w:val="000000"/>
                      <w:sz w:val="28"/>
                      <w:szCs w:val="28"/>
                      <w:lang w:val="en-US"/>
                    </w:rPr>
                  </m:ctrlPr>
                </m:dPr>
                <m:e>
                  <m:r>
                    <w:rPr>
                      <w:rFonts w:ascii="Cambria Math" w:hAnsi="Cambria Math"/>
                      <w:color w:val="000000"/>
                      <w:sz w:val="28"/>
                      <w:szCs w:val="28"/>
                      <w:lang w:val="en-US"/>
                    </w:rPr>
                    <m:t>3.24</m:t>
                  </m:r>
                </m:e>
              </m:d>
              <m:ctrlPr>
                <w:rPr>
                  <w:rFonts w:ascii="Cambria Math" w:hAnsi="Cambria Math"/>
                  <w:i/>
                  <w:color w:val="000000"/>
                  <w:sz w:val="28"/>
                  <w:szCs w:val="28"/>
                  <w:lang w:val="uk-UA"/>
                </w:rPr>
              </m:ctrlPr>
            </m:e>
          </m:eqArr>
        </m:oMath>
      </m:oMathPara>
    </w:p>
    <w:p w:rsidR="00B37265"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де </w:t>
      </w:r>
      <w:r>
        <w:rPr>
          <w:color w:val="000000"/>
          <w:sz w:val="28"/>
          <w:szCs w:val="28"/>
          <w:lang w:val="en-US"/>
        </w:rPr>
        <w:t>II</w:t>
      </w:r>
      <w:r>
        <w:rPr>
          <w:color w:val="000000"/>
          <w:sz w:val="28"/>
          <w:szCs w:val="28"/>
          <w:vertAlign w:val="superscript"/>
          <w:lang w:val="en-US"/>
        </w:rPr>
        <w:t>adj</w:t>
      </w:r>
      <w:r>
        <w:rPr>
          <w:color w:val="000000"/>
          <w:sz w:val="28"/>
          <w:szCs w:val="28"/>
          <w:lang w:val="uk-UA"/>
        </w:rPr>
        <w:t xml:space="preserve"> – скоригована інвестиційна привабливість підприємства;</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    </w:t>
      </w:r>
      <w:r>
        <w:rPr>
          <w:color w:val="000000"/>
          <w:sz w:val="28"/>
          <w:szCs w:val="28"/>
          <w:lang w:val="en-US"/>
        </w:rPr>
        <w:t>R</w:t>
      </w:r>
      <w:r>
        <w:rPr>
          <w:color w:val="000000"/>
          <w:sz w:val="28"/>
          <w:szCs w:val="28"/>
          <w:vertAlign w:val="subscript"/>
          <w:lang w:val="en-US"/>
        </w:rPr>
        <w:t>S</w:t>
      </w:r>
      <w:r w:rsidRPr="0010171C">
        <w:rPr>
          <w:color w:val="000000"/>
          <w:sz w:val="28"/>
          <w:szCs w:val="28"/>
          <w:lang w:val="uk-UA"/>
        </w:rPr>
        <w:t xml:space="preserve"> – </w:t>
      </w:r>
      <w:r>
        <w:rPr>
          <w:color w:val="000000"/>
          <w:sz w:val="28"/>
          <w:szCs w:val="28"/>
          <w:lang w:val="uk-UA"/>
        </w:rPr>
        <w:t>сценарно залежний рівень ризику.</w:t>
      </w:r>
    </w:p>
    <w:p w:rsidR="00B37265" w:rsidRPr="0010171C" w:rsidRDefault="00B37265" w:rsidP="00B37265">
      <w:pPr>
        <w:pStyle w:val="a5"/>
        <w:spacing w:before="0" w:beforeAutospacing="0" w:after="0" w:afterAutospacing="0" w:line="360" w:lineRule="auto"/>
        <w:ind w:firstLine="709"/>
        <w:jc w:val="both"/>
        <w:rPr>
          <w:color w:val="000000"/>
          <w:sz w:val="32"/>
          <w:szCs w:val="32"/>
          <w:lang w:val="uk-UA"/>
        </w:rPr>
      </w:pPr>
      <w:r w:rsidRPr="00B37265">
        <w:rPr>
          <w:color w:val="000000"/>
          <w:sz w:val="28"/>
          <w:szCs w:val="28"/>
          <w:lang w:val="uk-UA"/>
        </w:rPr>
        <w:t>У межах сценарного підходу базовий сценарій відображає найбільш імовірні умови функціонування підприємства, оптимістичний — потенціал зростання, а песимістичний — граничні умови стресового</w:t>
      </w:r>
      <w:r>
        <w:rPr>
          <w:color w:val="000000"/>
          <w:sz w:val="28"/>
          <w:szCs w:val="28"/>
          <w:lang w:val="uk-UA"/>
        </w:rPr>
        <w:t xml:space="preserve"> (кризового)</w:t>
      </w:r>
      <w:r w:rsidRPr="00B37265">
        <w:rPr>
          <w:color w:val="000000"/>
          <w:sz w:val="28"/>
          <w:szCs w:val="28"/>
          <w:lang w:val="uk-UA"/>
        </w:rPr>
        <w:t xml:space="preserve"> середовища. Така структура дозволяє визначати діапазон можливих значень інвестиційної привабливості та оцінювати її стійкість до змін зовнішніх факторів.</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Особливе місце у запропонованому підході займає карта ризиків із їх вартісною оцінкою, яка забезпечує візуалізацію та кількісну інтерпретацію ризикового профілю підприємства. На відміну від традиційних якісних карт ризиків, у цьому випадку кожен ризик отримує грошову оцінку впливу на грошові потоки, що дозволяє безпосередньо інтегрувати його у фінансову модель підприємства.</w:t>
      </w:r>
      <w:r>
        <w:rPr>
          <w:color w:val="000000"/>
          <w:sz w:val="28"/>
          <w:szCs w:val="28"/>
          <w:lang w:val="uk-UA"/>
        </w:rPr>
        <w:t xml:space="preserve"> </w:t>
      </w:r>
      <w:r w:rsidRPr="0010171C">
        <w:rPr>
          <w:color w:val="000000"/>
          <w:sz w:val="28"/>
          <w:szCs w:val="28"/>
        </w:rPr>
        <w:t xml:space="preserve">Узагальнення впливу інструментів ризик-менеджменту на ключові параметри економічного механізму доцільно подати </w:t>
      </w:r>
      <w:r>
        <w:rPr>
          <w:color w:val="000000"/>
          <w:sz w:val="28"/>
          <w:szCs w:val="28"/>
          <w:lang w:val="uk-UA"/>
        </w:rPr>
        <w:t>в табл. 3.8</w:t>
      </w:r>
      <w:r w:rsidRPr="00B37265">
        <w:rPr>
          <w:color w:val="000000"/>
          <w:sz w:val="28"/>
          <w:szCs w:val="28"/>
          <w:lang w:val="uk-UA"/>
        </w:rPr>
        <w:t>.</w:t>
      </w: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sidRPr="00B37265">
        <w:rPr>
          <w:rFonts w:ascii="Times New Roman" w:hAnsi="Times New Roman"/>
          <w:color w:val="000000"/>
          <w:sz w:val="28"/>
          <w:szCs w:val="28"/>
          <w:lang w:val="uk-UA"/>
        </w:rPr>
        <w:t xml:space="preserve">Таким чином, удосконалений ризик-менеджмент виступає не допоміжним, а системоутворюючим елементом економічного механізму підвищення інвестиційної привабливості підприємства. </w:t>
      </w:r>
      <w:r w:rsidRPr="003D2D01">
        <w:rPr>
          <w:rFonts w:ascii="Times New Roman" w:hAnsi="Times New Roman"/>
          <w:color w:val="000000"/>
          <w:sz w:val="28"/>
          <w:szCs w:val="28"/>
        </w:rPr>
        <w:t>Його інтеграція у загальну модель управління дозволяє забезпечити перехід від реактивного реагування на ризики до проактивного управління їх впливом на вартість підприємства. У результаті</w:t>
      </w:r>
      <w:r w:rsidRPr="003D2D01">
        <w:rPr>
          <w:rFonts w:ascii="Times New Roman" w:hAnsi="Times New Roman"/>
          <w:color w:val="000000"/>
          <w:sz w:val="28"/>
          <w:szCs w:val="28"/>
          <w:lang w:val="uk-UA"/>
        </w:rPr>
        <w:t xml:space="preserve"> </w:t>
      </w:r>
      <w:r w:rsidRPr="003D2D01">
        <w:rPr>
          <w:rFonts w:ascii="Times New Roman" w:hAnsi="Times New Roman"/>
          <w:color w:val="000000"/>
          <w:sz w:val="28"/>
          <w:szCs w:val="28"/>
        </w:rPr>
        <w:t xml:space="preserve">формується якісно новий рівень управлінської </w:t>
      </w:r>
      <w:r w:rsidRPr="003D2D01">
        <w:rPr>
          <w:rFonts w:ascii="Times New Roman" w:hAnsi="Times New Roman"/>
          <w:color w:val="000000"/>
          <w:sz w:val="28"/>
          <w:szCs w:val="28"/>
        </w:rPr>
        <w:lastRenderedPageBreak/>
        <w:t>системи, в якій ризик виступає не лише обмеженням, а й керованим фактором підвищення інвестиційної привабливості та зміцнення ринкових позицій підприємства</w:t>
      </w:r>
      <w:r w:rsidR="004009DE">
        <w:rPr>
          <w:rFonts w:ascii="Times New Roman" w:hAnsi="Times New Roman"/>
          <w:color w:val="000000"/>
          <w:sz w:val="28"/>
          <w:szCs w:val="28"/>
        </w:rPr>
        <w:t xml:space="preserve"> </w:t>
      </w:r>
      <w:r w:rsidR="004009DE">
        <w:rPr>
          <w:rFonts w:ascii="Times New Roman" w:eastAsia="Times New Roman" w:hAnsi="Times New Roman"/>
          <w:color w:val="000000"/>
          <w:sz w:val="28"/>
          <w:szCs w:val="28"/>
        </w:rPr>
        <w:t>[87]</w:t>
      </w:r>
      <w:r>
        <w:t>.</w:t>
      </w:r>
    </w:p>
    <w:p w:rsidR="00D638FA" w:rsidRPr="004C1519" w:rsidRDefault="00D638FA" w:rsidP="00D638FA">
      <w:pPr>
        <w:pStyle w:val="a5"/>
        <w:keepNext/>
        <w:spacing w:before="0" w:beforeAutospacing="0" w:after="0" w:afterAutospacing="0" w:line="360" w:lineRule="auto"/>
        <w:ind w:firstLine="709"/>
        <w:jc w:val="right"/>
        <w:rPr>
          <w:color w:val="000000"/>
          <w:sz w:val="28"/>
          <w:szCs w:val="28"/>
          <w:lang w:val="uk-UA"/>
        </w:rPr>
      </w:pPr>
      <w:r w:rsidRPr="004C1519">
        <w:rPr>
          <w:color w:val="000000"/>
          <w:sz w:val="28"/>
          <w:szCs w:val="28"/>
          <w:lang w:val="uk-UA"/>
        </w:rPr>
        <w:t>Таблиця 3.8</w:t>
      </w:r>
    </w:p>
    <w:p w:rsidR="00D638FA" w:rsidRPr="00461B6F" w:rsidRDefault="00D638FA" w:rsidP="00D638FA">
      <w:pPr>
        <w:pStyle w:val="a5"/>
        <w:spacing w:before="0" w:beforeAutospacing="0" w:after="0" w:afterAutospacing="0"/>
        <w:jc w:val="center"/>
        <w:rPr>
          <w:b/>
          <w:bCs/>
          <w:color w:val="000000"/>
          <w:sz w:val="32"/>
          <w:szCs w:val="32"/>
          <w:lang w:val="uk-UA"/>
        </w:rPr>
      </w:pPr>
      <w:r w:rsidRPr="00B37265">
        <w:rPr>
          <w:b/>
          <w:bCs/>
          <w:color w:val="000000"/>
          <w:sz w:val="28"/>
          <w:szCs w:val="28"/>
          <w:lang w:val="uk-UA"/>
        </w:rPr>
        <w:t>Вплив інструментів ризик-менеджменту на параметри вартості та інвестиційну привабливість</w:t>
      </w:r>
      <w:r w:rsidRPr="00461B6F">
        <w:rPr>
          <w:b/>
          <w:bCs/>
          <w:color w:val="000000"/>
          <w:sz w:val="28"/>
          <w:szCs w:val="28"/>
          <w:lang w:val="uk-UA"/>
        </w:rPr>
        <w:t xml:space="preserve"> сільськогосподарських підприємств</w:t>
      </w:r>
    </w:p>
    <w:tbl>
      <w:tblPr>
        <w:tblStyle w:val="a4"/>
        <w:tblW w:w="0" w:type="auto"/>
        <w:tblLook w:val="04A0" w:firstRow="1" w:lastRow="0" w:firstColumn="1" w:lastColumn="0" w:noHBand="0" w:noVBand="1"/>
      </w:tblPr>
      <w:tblGrid>
        <w:gridCol w:w="3005"/>
        <w:gridCol w:w="3005"/>
        <w:gridCol w:w="3006"/>
      </w:tblGrid>
      <w:tr w:rsidR="00D638FA" w:rsidRPr="00865026" w:rsidTr="00DF10C3">
        <w:trPr>
          <w:cantSplit/>
          <w:tblHeader/>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Інструмент</w:t>
            </w:r>
          </w:p>
        </w:tc>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Вплив на параметри</w:t>
            </w:r>
          </w:p>
        </w:tc>
        <w:tc>
          <w:tcPr>
            <w:tcW w:w="3006"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Економічний ефект</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RAROC</w:t>
            </w:r>
          </w:p>
        </w:tc>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 ризик на одиницю капіталу</w:t>
            </w:r>
          </w:p>
        </w:tc>
        <w:tc>
          <w:tcPr>
            <w:tcW w:w="3006"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зростання IIadj</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Stress-testing</w:t>
            </w:r>
          </w:p>
        </w:tc>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 вразливість до шоків</w:t>
            </w:r>
          </w:p>
        </w:tc>
        <w:tc>
          <w:tcPr>
            <w:tcW w:w="3006"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підвищення стабільності</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Сценарний аналіз</w:t>
            </w:r>
          </w:p>
        </w:tc>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 невизначеність FCFF</w:t>
            </w:r>
          </w:p>
        </w:tc>
        <w:tc>
          <w:tcPr>
            <w:tcW w:w="3006"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зростання прогнозованості</w:t>
            </w:r>
          </w:p>
        </w:tc>
      </w:tr>
      <w:tr w:rsidR="00D638FA" w:rsidRPr="00865026" w:rsidTr="00DF10C3">
        <w:trPr>
          <w:cantSplit/>
        </w:trPr>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Карта ризиків (вартісна)</w:t>
            </w:r>
          </w:p>
        </w:tc>
        <w:tc>
          <w:tcPr>
            <w:tcW w:w="3005"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 приховані ризики</w:t>
            </w:r>
          </w:p>
        </w:tc>
        <w:tc>
          <w:tcPr>
            <w:tcW w:w="3006" w:type="dxa"/>
          </w:tcPr>
          <w:p w:rsidR="00D638FA" w:rsidRPr="00865026" w:rsidRDefault="00D638FA" w:rsidP="00DF10C3">
            <w:pPr>
              <w:pStyle w:val="a6"/>
              <w:spacing w:after="0" w:line="240" w:lineRule="auto"/>
              <w:ind w:left="0"/>
              <w:jc w:val="center"/>
              <w:rPr>
                <w:rFonts w:ascii="Times New Roman" w:eastAsiaTheme="minorEastAsia" w:hAnsi="Times New Roman"/>
              </w:rPr>
            </w:pPr>
            <w:r w:rsidRPr="00865026">
              <w:rPr>
                <w:rFonts w:ascii="Times New Roman" w:hAnsi="Times New Roman"/>
                <w:color w:val="000000"/>
              </w:rPr>
              <w:t>оптимізація управлінських рішень</w:t>
            </w:r>
          </w:p>
        </w:tc>
      </w:tr>
    </w:tbl>
    <w:p w:rsidR="00D638FA" w:rsidRPr="009A285C" w:rsidRDefault="00D638FA" w:rsidP="00D638FA">
      <w:pPr>
        <w:pStyle w:val="a6"/>
        <w:spacing w:after="0" w:line="240" w:lineRule="auto"/>
        <w:ind w:left="0" w:firstLine="709"/>
        <w:jc w:val="both"/>
        <w:rPr>
          <w:rFonts w:ascii="Times New Roman" w:eastAsiaTheme="minorEastAsia" w:hAnsi="Times New Roman"/>
          <w:i/>
          <w:iCs/>
          <w:lang w:val="uk-UA"/>
        </w:rPr>
      </w:pPr>
      <w:r>
        <w:rPr>
          <w:rFonts w:ascii="Times New Roman" w:eastAsiaTheme="minorEastAsia" w:hAnsi="Times New Roman"/>
          <w:i/>
          <w:iCs/>
          <w:lang w:val="uk-UA"/>
        </w:rPr>
        <w:t>Джерело: розробка автора</w:t>
      </w:r>
    </w:p>
    <w:p w:rsidR="00D638FA" w:rsidRDefault="00D638FA" w:rsidP="00D638FA">
      <w:pPr>
        <w:pStyle w:val="a6"/>
        <w:spacing w:after="0" w:line="360" w:lineRule="auto"/>
        <w:ind w:left="0" w:firstLine="709"/>
        <w:jc w:val="both"/>
        <w:rPr>
          <w:rFonts w:ascii="Times New Roman" w:eastAsiaTheme="minorEastAsia" w:hAnsi="Times New Roman"/>
          <w:sz w:val="28"/>
          <w:szCs w:val="28"/>
          <w:lang w:val="uk-UA"/>
        </w:rPr>
      </w:pPr>
    </w:p>
    <w:p w:rsidR="00B37265" w:rsidRDefault="00B37265" w:rsidP="00B37265">
      <w:pPr>
        <w:pStyle w:val="a6"/>
        <w:spacing w:after="0" w:line="360" w:lineRule="auto"/>
        <w:ind w:left="0" w:firstLine="709"/>
        <w:jc w:val="both"/>
        <w:rPr>
          <w:rFonts w:ascii="Times New Roman" w:hAnsi="Times New Roman"/>
          <w:color w:val="000000"/>
          <w:sz w:val="28"/>
          <w:szCs w:val="28"/>
          <w:lang w:val="uk-UA"/>
        </w:rPr>
      </w:pPr>
      <w:r>
        <w:rPr>
          <w:rFonts w:ascii="Times New Roman" w:hAnsi="Times New Roman"/>
          <w:color w:val="000000"/>
          <w:sz w:val="28"/>
          <w:szCs w:val="28"/>
          <w:lang w:val="uk-UA"/>
        </w:rPr>
        <w:t>З метою реалізації представлених заходів щодо підвищення інвестиційної привабливості сільськогосподарських підприємств доцільно одночасно застосовати 2 блоки управлінських дій. До них відносяться: контрактні та інституційні інструменти і сценарне моделювання, що сукупно формують прогнозування майбутньої інвестиційної привабливості підприємств.</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Формування інвестиційної привабливості сільськогосподарських підприємств у сучасних умовах обумовлюється не лише внутрішніми фінансово-економічними параметрами, але й якістю інституційного середовища та контрактної архітектури, у межах якої здійснюється господарська діяльність. На відміну від традиційних підходів, що фокусуються на оптимізації грошових потоків та вартості капіталу, контрактно-інституційні інструменти забезпечують</w:t>
      </w:r>
      <w:r>
        <w:rPr>
          <w:rStyle w:val="apple-converted-space"/>
          <w:rFonts w:eastAsiaTheme="majorEastAsia"/>
          <w:color w:val="000000"/>
          <w:lang w:val="uk-UA"/>
        </w:rPr>
        <w:t xml:space="preserve"> </w:t>
      </w:r>
      <w:r w:rsidRPr="005714C9">
        <w:rPr>
          <w:rStyle w:val="af1"/>
          <w:rFonts w:eastAsiaTheme="majorEastAsia"/>
          <w:b w:val="0"/>
          <w:color w:val="000000"/>
          <w:sz w:val="28"/>
          <w:szCs w:val="28"/>
          <w:lang w:val="uk-UA"/>
        </w:rPr>
        <w:t>зовнішню стабілізацію параметрів економічного механізму</w:t>
      </w:r>
      <w:r w:rsidRPr="005714C9">
        <w:rPr>
          <w:b/>
          <w:color w:val="000000"/>
          <w:sz w:val="28"/>
          <w:szCs w:val="28"/>
          <w:lang w:val="uk-UA"/>
        </w:rPr>
        <w:t>,</w:t>
      </w:r>
      <w:r w:rsidRPr="00B37265">
        <w:rPr>
          <w:b/>
          <w:bCs/>
          <w:color w:val="000000"/>
          <w:sz w:val="28"/>
          <w:szCs w:val="28"/>
          <w:lang w:val="uk-UA"/>
        </w:rPr>
        <w:t xml:space="preserve"> </w:t>
      </w:r>
      <w:r w:rsidRPr="00B37265">
        <w:rPr>
          <w:color w:val="000000"/>
          <w:sz w:val="28"/>
          <w:szCs w:val="28"/>
          <w:lang w:val="uk-UA"/>
        </w:rPr>
        <w:t xml:space="preserve">знижуючи рівень невизначеності та підвищуючи передбачуваність фінансових результатів. </w:t>
      </w:r>
      <w:r w:rsidRPr="009A285C">
        <w:rPr>
          <w:color w:val="000000"/>
          <w:sz w:val="28"/>
          <w:szCs w:val="28"/>
        </w:rPr>
        <w:t>У цьому контексті ключового значення набуває формування довгострокових контрактних відносин, використання аграрних розписок як інструменту фінансування та розвиток партнерських моделей кооперації</w:t>
      </w:r>
      <w:r w:rsidR="004009DE">
        <w:rPr>
          <w:color w:val="000000"/>
          <w:sz w:val="28"/>
          <w:szCs w:val="28"/>
        </w:rPr>
        <w:t xml:space="preserve"> [</w:t>
      </w:r>
      <w:r>
        <w:rPr>
          <w:sz w:val="28"/>
          <w:szCs w:val="28"/>
        </w:rPr>
        <w:t>30]</w:t>
      </w:r>
      <w:r>
        <w:t>.</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 xml:space="preserve">Теоретичною основою такого підходу виступає положення про те, що інвестиційна привабливість є функцією не лише внутрішніх показників </w:t>
      </w:r>
      <w:r w:rsidRPr="009A285C">
        <w:rPr>
          <w:color w:val="000000"/>
          <w:sz w:val="28"/>
          <w:szCs w:val="28"/>
        </w:rPr>
        <w:lastRenderedPageBreak/>
        <w:t>ефективності, але й рівня довіри до підприємства як економічного агента. Довіра, у свою чергу, формується через інституційні механізми, які знижують інформаційну асиметрію та ризик невиконання зобов’язань. Довгострокові контракти типу offtake agreements дозволяють зафіксувати параметри реалізації продукції, зокрема обсяги та цінові діапазони, що забезпечує стабільність грошових потоків. Аграрні розписки виступають інструментом залучення фінансування під майбутній урожай, що знижує потребу у дорогому кредитному ресурсі. Партнерські моделі кооперації дозволяють оптимізувати витрати та підвищити ефективність використання ресурсів за рахунок ефекту масштабу.</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Методологічно інтеграція контрактно-інституційних інструментів у економічний механізм передбачає їх відображення у фінансовій моделі підприємства через вплив на параметри грошових потоків та ризику. Узагальнено це може бути представлено через модифікацію функції формування грошового потоку:</w:t>
      </w:r>
    </w:p>
    <w:p w:rsidR="00B37265" w:rsidRPr="009A285C" w:rsidRDefault="00EB5B4E" w:rsidP="00B37265">
      <w:pPr>
        <w:pStyle w:val="a5"/>
        <w:spacing w:before="0" w:beforeAutospacing="0" w:after="0" w:afterAutospacing="0" w:line="360" w:lineRule="auto"/>
        <w:ind w:firstLine="709"/>
        <w:jc w:val="both"/>
        <w:rPr>
          <w:sz w:val="28"/>
          <w:szCs w:val="28"/>
        </w:rPr>
      </w:pPr>
      <m:oMathPara>
        <m:oMath>
          <m:eqArr>
            <m:eqArrPr>
              <m:maxDist m:val="1"/>
              <m:ctrlPr>
                <w:rPr>
                  <w:rFonts w:ascii="Cambria Math" w:hAnsi="Cambria Math"/>
                  <w:i/>
                  <w:sz w:val="28"/>
                  <w:szCs w:val="28"/>
                  <w:lang w:val="en-US"/>
                </w:rPr>
              </m:ctrlPr>
            </m:eqArrPr>
            <m:e>
              <m:r>
                <w:rPr>
                  <w:rFonts w:ascii="Cambria Math" w:hAnsi="Cambria Math"/>
                  <w:sz w:val="28"/>
                  <w:szCs w:val="28"/>
                </w:rPr>
                <m:t>FCF</m:t>
              </m:r>
              <m:sSubSup>
                <m:sSubSupPr>
                  <m:ctrlPr>
                    <w:rPr>
                      <w:rFonts w:ascii="Cambria Math" w:hAnsi="Cambria Math"/>
                      <w:sz w:val="28"/>
                      <w:szCs w:val="28"/>
                    </w:rPr>
                  </m:ctrlPr>
                </m:sSubSupPr>
                <m:e>
                  <m:r>
                    <w:rPr>
                      <w:rFonts w:ascii="Cambria Math" w:hAnsi="Cambria Math"/>
                      <w:sz w:val="28"/>
                      <w:szCs w:val="28"/>
                    </w:rPr>
                    <m:t>F</m:t>
                  </m:r>
                </m:e>
                <m:sub>
                  <m:r>
                    <w:rPr>
                      <w:rFonts w:ascii="Cambria Math" w:hAnsi="Cambria Math"/>
                      <w:sz w:val="28"/>
                      <w:szCs w:val="28"/>
                    </w:rPr>
                    <m:t>t</m:t>
                  </m:r>
                </m:sub>
                <m:sup>
                  <m:r>
                    <w:rPr>
                      <w:rFonts w:ascii="Cambria Math" w:hAnsi="Cambria Math"/>
                      <w:sz w:val="28"/>
                      <w:szCs w:val="28"/>
                    </w:rPr>
                    <m:t>*</m:t>
                  </m:r>
                </m:sup>
              </m:sSubSup>
              <m:r>
                <w:rPr>
                  <w:rFonts w:ascii="Cambria Math" w:hAnsi="Cambria Math"/>
                  <w:sz w:val="28"/>
                  <w:szCs w:val="28"/>
                </w:rPr>
                <m:t>=FCF</m:t>
              </m:r>
              <m:sSub>
                <m:sSubPr>
                  <m:ctrlPr>
                    <w:rPr>
                      <w:rFonts w:ascii="Cambria Math" w:hAnsi="Cambria Math"/>
                      <w:sz w:val="28"/>
                      <w:szCs w:val="28"/>
                    </w:rPr>
                  </m:ctrlPr>
                </m:sSubPr>
                <m:e>
                  <m:r>
                    <w:rPr>
                      <w:rFonts w:ascii="Cambria Math" w:hAnsi="Cambria Math"/>
                      <w:sz w:val="28"/>
                      <w:szCs w:val="28"/>
                    </w:rPr>
                    <m:t>F</m:t>
                  </m:r>
                </m:e>
                <m:sub>
                  <m:r>
                    <w:rPr>
                      <w:rFonts w:ascii="Cambria Math" w:hAnsi="Cambria Math"/>
                      <w:sz w:val="28"/>
                      <w:szCs w:val="28"/>
                    </w:rPr>
                    <m:t>t</m:t>
                  </m:r>
                </m:sub>
              </m:sSub>
              <m:r>
                <w:rPr>
                  <w:rFonts w:ascii="Cambria Math" w:hAnsi="Cambria Math"/>
                  <w:sz w:val="28"/>
                  <w:szCs w:val="28"/>
                </w:rPr>
                <m:t>+</m:t>
              </m:r>
              <m:r>
                <m:rPr>
                  <m:sty m:val="p"/>
                </m:rPr>
                <w:rPr>
                  <w:rFonts w:ascii="Cambria Math" w:hAnsi="Cambria Math"/>
                  <w:sz w:val="28"/>
                  <w:szCs w:val="28"/>
                </w:rPr>
                <m:t>Δ</m:t>
              </m:r>
              <m:r>
                <w:rPr>
                  <w:rFonts w:ascii="Cambria Math" w:hAnsi="Cambria Math"/>
                  <w:sz w:val="28"/>
                  <w:szCs w:val="28"/>
                </w:rPr>
                <m:t>C</m:t>
              </m:r>
              <m:sSub>
                <m:sSubPr>
                  <m:ctrlPr>
                    <w:rPr>
                      <w:rFonts w:ascii="Cambria Math" w:hAnsi="Cambria Math"/>
                      <w:sz w:val="28"/>
                      <w:szCs w:val="28"/>
                    </w:rPr>
                  </m:ctrlPr>
                </m:sSubPr>
                <m:e>
                  <m:r>
                    <w:rPr>
                      <w:rFonts w:ascii="Cambria Math" w:hAnsi="Cambria Math"/>
                      <w:sz w:val="28"/>
                      <w:szCs w:val="28"/>
                    </w:rPr>
                    <m:t>F</m:t>
                  </m:r>
                </m:e>
                <m:sub>
                  <m:r>
                    <w:rPr>
                      <w:rFonts w:ascii="Cambria Math" w:hAnsi="Cambria Math"/>
                      <w:sz w:val="28"/>
                      <w:szCs w:val="28"/>
                    </w:rPr>
                    <m:t>contract</m:t>
                  </m:r>
                </m:sub>
              </m:sSub>
              <m:r>
                <w:rPr>
                  <w:rFonts w:ascii="Cambria Math" w:hAnsi="Cambria Math"/>
                  <w:sz w:val="28"/>
                  <w:szCs w:val="28"/>
                </w:rPr>
                <m:t>-</m:t>
              </m:r>
              <m:r>
                <m:rPr>
                  <m:sty m:val="p"/>
                </m:rPr>
                <w:rPr>
                  <w:rFonts w:ascii="Cambria Math" w:hAnsi="Cambria Math"/>
                  <w:sz w:val="28"/>
                  <w:szCs w:val="28"/>
                </w:rPr>
                <m:t>Δ</m:t>
              </m:r>
              <m:sSub>
                <m:sSubPr>
                  <m:ctrlPr>
                    <w:rPr>
                      <w:rFonts w:ascii="Cambria Math" w:hAnsi="Cambria Math"/>
                      <w:sz w:val="28"/>
                      <w:szCs w:val="28"/>
                    </w:rPr>
                  </m:ctrlPr>
                </m:sSubPr>
                <m:e>
                  <m:r>
                    <w:rPr>
                      <w:rFonts w:ascii="Cambria Math" w:hAnsi="Cambria Math"/>
                      <w:sz w:val="28"/>
                      <w:szCs w:val="28"/>
                    </w:rPr>
                    <m:t>R</m:t>
                  </m:r>
                </m:e>
                <m:sub>
                  <m:r>
                    <w:rPr>
                      <w:rFonts w:ascii="Cambria Math" w:hAnsi="Cambria Math"/>
                      <w:sz w:val="28"/>
                      <w:szCs w:val="28"/>
                    </w:rPr>
                    <m:t>contract</m:t>
                  </m:r>
                </m:sub>
              </m:sSub>
              <m:r>
                <w:rPr>
                  <w:rFonts w:ascii="Cambria Math" w:hAnsi="Cambria Math"/>
                  <w:sz w:val="28"/>
                  <w:szCs w:val="28"/>
                  <w:lang w:val="en-US"/>
                </w:rPr>
                <m:t>,</m:t>
              </m:r>
              <m:r>
                <w:rPr>
                  <w:rFonts w:ascii="Cambria Math" w:hAnsi="Cambria Math"/>
                  <w:sz w:val="28"/>
                  <w:szCs w:val="28"/>
                </w:rPr>
                <m:t>#</m:t>
              </m:r>
              <m:d>
                <m:dPr>
                  <m:ctrlPr>
                    <w:rPr>
                      <w:rFonts w:ascii="Cambria Math" w:hAnsi="Cambria Math"/>
                      <w:i/>
                      <w:sz w:val="28"/>
                      <w:szCs w:val="28"/>
                      <w:lang w:val="en-US"/>
                    </w:rPr>
                  </m:ctrlPr>
                </m:dPr>
                <m:e>
                  <m:r>
                    <w:rPr>
                      <w:rFonts w:ascii="Cambria Math" w:hAnsi="Cambria Math"/>
                      <w:sz w:val="28"/>
                      <w:szCs w:val="28"/>
                      <w:lang w:val="en-US"/>
                    </w:rPr>
                    <m:t>3.25</m:t>
                  </m:r>
                </m:e>
              </m:d>
              <m:ctrlPr>
                <w:rPr>
                  <w:rFonts w:ascii="Cambria Math" w:hAnsi="Cambria Math"/>
                  <w:i/>
                  <w:sz w:val="28"/>
                  <w:szCs w:val="28"/>
                </w:rPr>
              </m:ctrlPr>
            </m:e>
          </m:eqArr>
        </m:oMath>
      </m:oMathPara>
    </w:p>
    <w:p w:rsidR="00B37265"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д</w:t>
      </w:r>
      <w:r w:rsidRPr="009A285C">
        <w:rPr>
          <w:color w:val="000000"/>
          <w:sz w:val="28"/>
          <w:szCs w:val="28"/>
        </w:rPr>
        <w:t>е</w:t>
      </w:r>
      <w:r>
        <w:rPr>
          <w:rStyle w:val="apple-converted-space"/>
          <w:rFonts w:eastAsiaTheme="majorEastAsia"/>
          <w:color w:val="000000"/>
          <w:lang w:val="uk-UA"/>
        </w:rPr>
        <w:t xml:space="preserve"> </w:t>
      </w:r>
      <m:oMath>
        <m:r>
          <w:rPr>
            <w:rFonts w:ascii="Cambria Math" w:hAnsi="Cambria Math"/>
            <w:sz w:val="28"/>
            <w:szCs w:val="28"/>
          </w:rPr>
          <m:t>FCF</m:t>
        </m:r>
        <m:sSubSup>
          <m:sSubSupPr>
            <m:ctrlPr>
              <w:rPr>
                <w:rFonts w:ascii="Cambria Math" w:hAnsi="Cambria Math"/>
                <w:sz w:val="28"/>
                <w:szCs w:val="28"/>
              </w:rPr>
            </m:ctrlPr>
          </m:sSubSupPr>
          <m:e>
            <m:r>
              <w:rPr>
                <w:rFonts w:ascii="Cambria Math" w:hAnsi="Cambria Math"/>
                <w:sz w:val="28"/>
                <w:szCs w:val="28"/>
              </w:rPr>
              <m:t>F</m:t>
            </m:r>
          </m:e>
          <m:sub>
            <m:r>
              <w:rPr>
                <w:rFonts w:ascii="Cambria Math" w:hAnsi="Cambria Math"/>
                <w:sz w:val="28"/>
                <w:szCs w:val="28"/>
              </w:rPr>
              <m:t>t</m:t>
            </m:r>
          </m:sub>
          <m:sup>
            <m:r>
              <w:rPr>
                <w:rFonts w:ascii="Cambria Math" w:hAnsi="Cambria Math"/>
                <w:sz w:val="28"/>
                <w:szCs w:val="28"/>
              </w:rPr>
              <m:t>*</m:t>
            </m:r>
          </m:sup>
        </m:sSubSup>
      </m:oMath>
      <w:r>
        <w:rPr>
          <w:rStyle w:val="apple-converted-space"/>
          <w:rFonts w:eastAsiaTheme="majorEastAsia"/>
          <w:color w:val="000000"/>
          <w:lang w:val="uk-UA"/>
        </w:rPr>
        <w:t xml:space="preserve"> </w:t>
      </w:r>
      <w:r w:rsidRPr="009A285C">
        <w:rPr>
          <w:color w:val="000000"/>
          <w:sz w:val="28"/>
          <w:szCs w:val="28"/>
        </w:rPr>
        <w:t>— скоригований грошовий потік</w:t>
      </w:r>
      <w:r>
        <w:rPr>
          <w:color w:val="000000"/>
          <w:sz w:val="28"/>
          <w:szCs w:val="28"/>
          <w:lang w:val="uk-UA"/>
        </w:rPr>
        <w:t>;</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     </w:t>
      </w:r>
      <m:oMath>
        <m:r>
          <m:rPr>
            <m:sty m:val="p"/>
          </m:rPr>
          <w:rPr>
            <w:rFonts w:ascii="Cambria Math" w:hAnsi="Cambria Math"/>
            <w:sz w:val="28"/>
            <w:szCs w:val="28"/>
          </w:rPr>
          <m:t>Δ</m:t>
        </m:r>
        <m:r>
          <w:rPr>
            <w:rFonts w:ascii="Cambria Math" w:hAnsi="Cambria Math"/>
            <w:sz w:val="28"/>
            <w:szCs w:val="28"/>
          </w:rPr>
          <m:t>C</m:t>
        </m:r>
        <m:sSub>
          <m:sSubPr>
            <m:ctrlPr>
              <w:rPr>
                <w:rFonts w:ascii="Cambria Math" w:hAnsi="Cambria Math"/>
                <w:sz w:val="28"/>
                <w:szCs w:val="28"/>
              </w:rPr>
            </m:ctrlPr>
          </m:sSubPr>
          <m:e>
            <m:r>
              <w:rPr>
                <w:rFonts w:ascii="Cambria Math" w:hAnsi="Cambria Math"/>
                <w:sz w:val="28"/>
                <w:szCs w:val="28"/>
              </w:rPr>
              <m:t>F</m:t>
            </m:r>
          </m:e>
          <m:sub>
            <m:r>
              <w:rPr>
                <w:rFonts w:ascii="Cambria Math" w:hAnsi="Cambria Math"/>
                <w:sz w:val="28"/>
                <w:szCs w:val="28"/>
              </w:rPr>
              <m:t>contract</m:t>
            </m:r>
          </m:sub>
        </m:sSub>
      </m:oMath>
      <w:r>
        <w:rPr>
          <w:rStyle w:val="apple-converted-space"/>
          <w:rFonts w:eastAsiaTheme="majorEastAsia"/>
          <w:color w:val="000000"/>
          <w:lang w:val="uk-UA"/>
        </w:rPr>
        <w:t xml:space="preserve"> </w:t>
      </w:r>
      <w:r w:rsidRPr="009A285C">
        <w:rPr>
          <w:color w:val="000000"/>
          <w:sz w:val="28"/>
          <w:szCs w:val="28"/>
        </w:rPr>
        <w:t>— приріст грошових потоків за рахунок контрактної стабілізації,</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Pr>
          <w:color w:val="000000"/>
          <w:sz w:val="28"/>
          <w:szCs w:val="28"/>
          <w:lang w:val="uk-UA"/>
        </w:rPr>
        <w:t xml:space="preserve">      </w:t>
      </w:r>
      <m:oMath>
        <m:r>
          <m:rPr>
            <m:sty m:val="p"/>
          </m:rPr>
          <w:rPr>
            <w:rFonts w:ascii="Cambria Math" w:hAnsi="Cambria Math"/>
            <w:sz w:val="28"/>
            <w:szCs w:val="28"/>
          </w:rPr>
          <m:t>Δ</m:t>
        </m:r>
        <m:sSub>
          <m:sSubPr>
            <m:ctrlPr>
              <w:rPr>
                <w:rFonts w:ascii="Cambria Math" w:hAnsi="Cambria Math"/>
                <w:sz w:val="28"/>
                <w:szCs w:val="28"/>
              </w:rPr>
            </m:ctrlPr>
          </m:sSubPr>
          <m:e>
            <m:r>
              <w:rPr>
                <w:rFonts w:ascii="Cambria Math" w:hAnsi="Cambria Math"/>
                <w:sz w:val="28"/>
                <w:szCs w:val="28"/>
              </w:rPr>
              <m:t>R</m:t>
            </m:r>
          </m:e>
          <m:sub>
            <m:r>
              <w:rPr>
                <w:rFonts w:ascii="Cambria Math" w:hAnsi="Cambria Math"/>
                <w:sz w:val="28"/>
                <w:szCs w:val="28"/>
              </w:rPr>
              <m:t>contract</m:t>
            </m:r>
          </m:sub>
        </m:sSub>
      </m:oMath>
      <w:r w:rsidRPr="009A285C">
        <w:rPr>
          <w:color w:val="000000"/>
          <w:sz w:val="28"/>
          <w:szCs w:val="28"/>
        </w:rPr>
        <w:t>— зниження ризику, виражене у вартісному вимірі.</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Економічний зміст цієї залежності полягає у тому, що контрактні інструменти не лише збільшують обсяг грошових потоків, але й зменшують їх варіативність, що має принципове значення для інвестора. Відповідно, скоригована інвестиційна привабливість може бути подана як функція:</w:t>
      </w:r>
    </w:p>
    <w:p w:rsidR="00B37265" w:rsidRPr="009A285C" w:rsidRDefault="00EB5B4E" w:rsidP="00B37265">
      <w:pPr>
        <w:spacing w:line="360" w:lineRule="auto"/>
        <w:ind w:firstLine="709"/>
        <w:jc w:val="both"/>
        <w:rPr>
          <w:sz w:val="28"/>
          <w:szCs w:val="28"/>
        </w:rPr>
      </w:pPr>
      <m:oMathPara>
        <m:oMath>
          <m:eqArr>
            <m:eqArrPr>
              <m:maxDist m:val="1"/>
              <m:ctrlPr>
                <w:rPr>
                  <w:rFonts w:ascii="Cambria Math" w:hAnsi="Cambria Math"/>
                  <w:i/>
                  <w:sz w:val="28"/>
                  <w:szCs w:val="28"/>
                </w:rPr>
              </m:ctrlPr>
            </m:eqArrPr>
            <m:e>
              <m:r>
                <w:rPr>
                  <w:rFonts w:ascii="Cambria Math" w:hAnsi="Cambria Math"/>
                  <w:sz w:val="28"/>
                  <w:szCs w:val="28"/>
                </w:rPr>
                <m:t>I</m:t>
              </m:r>
              <m:sSup>
                <m:sSupPr>
                  <m:ctrlPr>
                    <w:rPr>
                      <w:rFonts w:ascii="Cambria Math" w:hAnsi="Cambria Math"/>
                      <w:sz w:val="28"/>
                      <w:szCs w:val="28"/>
                    </w:rPr>
                  </m:ctrlPr>
                </m:sSupPr>
                <m:e>
                  <m:r>
                    <w:rPr>
                      <w:rFonts w:ascii="Cambria Math" w:hAnsi="Cambria Math"/>
                      <w:sz w:val="28"/>
                      <w:szCs w:val="28"/>
                    </w:rPr>
                    <m:t>I</m:t>
                  </m:r>
                </m:e>
                <m:sup>
                  <m:r>
                    <w:rPr>
                      <w:rFonts w:ascii="Cambria Math" w:hAnsi="Cambria Math"/>
                      <w:sz w:val="28"/>
                      <w:szCs w:val="28"/>
                    </w:rPr>
                    <m:t>adj</m:t>
                  </m:r>
                </m:sup>
              </m:sSup>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FCF</m:t>
                  </m:r>
                  <m:sSup>
                    <m:sSupPr>
                      <m:ctrlPr>
                        <w:rPr>
                          <w:rFonts w:ascii="Cambria Math" w:hAnsi="Cambria Math"/>
                          <w:sz w:val="28"/>
                          <w:szCs w:val="28"/>
                        </w:rPr>
                      </m:ctrlPr>
                    </m:sSupPr>
                    <m:e>
                      <m:r>
                        <w:rPr>
                          <w:rFonts w:ascii="Cambria Math" w:hAnsi="Cambria Math"/>
                          <w:sz w:val="28"/>
                          <w:szCs w:val="28"/>
                        </w:rPr>
                        <m:t>F</m:t>
                      </m:r>
                    </m:e>
                    <m:sup>
                      <m:r>
                        <w:rPr>
                          <w:rFonts w:ascii="Cambria Math" w:hAnsi="Cambria Math"/>
                          <w:sz w:val="28"/>
                          <w:szCs w:val="28"/>
                        </w:rPr>
                        <m:t>*</m:t>
                      </m:r>
                    </m:sup>
                  </m:sSup>
                  <m:r>
                    <w:rPr>
                      <w:rFonts w:ascii="Cambria Math" w:hAnsi="Cambria Math"/>
                      <w:sz w:val="28"/>
                      <w:szCs w:val="28"/>
                    </w:rPr>
                    <m:t>,</m:t>
                  </m:r>
                  <m:sSup>
                    <m:sSupPr>
                      <m:ctrlPr>
                        <w:rPr>
                          <w:rFonts w:ascii="Cambria Math" w:hAnsi="Cambria Math"/>
                          <w:sz w:val="28"/>
                          <w:szCs w:val="28"/>
                        </w:rPr>
                      </m:ctrlPr>
                    </m:sSupPr>
                    <m:e>
                      <m:r>
                        <w:rPr>
                          <w:rFonts w:ascii="Cambria Math" w:hAnsi="Cambria Math"/>
                          <w:sz w:val="28"/>
                          <w:szCs w:val="28"/>
                        </w:rPr>
                        <m:t>R</m:t>
                      </m:r>
                    </m:e>
                    <m:sup>
                      <m:r>
                        <w:rPr>
                          <w:rFonts w:ascii="Cambria Math" w:hAnsi="Cambria Math"/>
                          <w:sz w:val="28"/>
                          <w:szCs w:val="28"/>
                        </w:rPr>
                        <m:t>*</m:t>
                      </m:r>
                    </m:sup>
                  </m:sSup>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3.26</m:t>
                  </m:r>
                </m:e>
              </m:d>
            </m:e>
          </m:eqArr>
        </m:oMath>
      </m:oMathPara>
    </w:p>
    <w:p w:rsidR="00B37265" w:rsidRPr="009A285C" w:rsidRDefault="00B37265" w:rsidP="00B37265">
      <w:pPr>
        <w:pStyle w:val="a5"/>
        <w:spacing w:before="0" w:beforeAutospacing="0" w:after="0" w:afterAutospacing="0" w:line="360" w:lineRule="auto"/>
        <w:ind w:firstLine="708"/>
        <w:jc w:val="both"/>
        <w:rPr>
          <w:color w:val="000000"/>
          <w:sz w:val="28"/>
          <w:szCs w:val="28"/>
        </w:rPr>
      </w:pPr>
      <w:r>
        <w:rPr>
          <w:color w:val="000000"/>
          <w:sz w:val="28"/>
          <w:szCs w:val="28"/>
          <w:lang w:val="uk-UA"/>
        </w:rPr>
        <w:t>д</w:t>
      </w:r>
      <w:r w:rsidRPr="009A285C">
        <w:rPr>
          <w:color w:val="000000"/>
          <w:sz w:val="28"/>
          <w:szCs w:val="28"/>
        </w:rPr>
        <w:t>е</w:t>
      </w:r>
      <w:r>
        <w:rPr>
          <w:rStyle w:val="apple-converted-space"/>
          <w:rFonts w:eastAsiaTheme="majorEastAsia"/>
          <w:color w:val="000000"/>
        </w:rPr>
        <w:t xml:space="preserve"> </w:t>
      </w:r>
      <m:oMath>
        <m:sSup>
          <m:sSupPr>
            <m:ctrlPr>
              <w:rPr>
                <w:rFonts w:ascii="Cambria Math" w:hAnsi="Cambria Math"/>
                <w:sz w:val="28"/>
                <w:szCs w:val="28"/>
              </w:rPr>
            </m:ctrlPr>
          </m:sSupPr>
          <m:e>
            <m:r>
              <w:rPr>
                <w:rFonts w:ascii="Cambria Math" w:hAnsi="Cambria Math"/>
                <w:sz w:val="28"/>
                <w:szCs w:val="28"/>
              </w:rPr>
              <m:t>R</m:t>
            </m:r>
          </m:e>
          <m:sup>
            <m:r>
              <w:rPr>
                <w:rFonts w:ascii="Cambria Math" w:hAnsi="Cambria Math"/>
                <w:sz w:val="28"/>
                <w:szCs w:val="28"/>
              </w:rPr>
              <m:t>*</m:t>
            </m:r>
          </m:sup>
        </m:sSup>
      </m:oMath>
      <w:r>
        <w:rPr>
          <w:rStyle w:val="apple-converted-space"/>
          <w:rFonts w:eastAsiaTheme="majorEastAsia"/>
          <w:color w:val="000000"/>
        </w:rPr>
        <w:t xml:space="preserve"> </w:t>
      </w:r>
      <w:r w:rsidRPr="009A285C">
        <w:rPr>
          <w:color w:val="000000"/>
          <w:sz w:val="28"/>
          <w:szCs w:val="28"/>
        </w:rPr>
        <w:t>— ризик, скоригований на інституційні фактори.</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 xml:space="preserve">У результаті впровадження контрактно-інституційних інструментів формується ефект подвійної дії: з одного боку, відбувається зростання грошових потоків за рахунок підвищення ефективності реалізації продукції, з </w:t>
      </w:r>
      <w:r w:rsidRPr="009A285C">
        <w:rPr>
          <w:color w:val="000000"/>
          <w:sz w:val="28"/>
          <w:szCs w:val="28"/>
        </w:rPr>
        <w:lastRenderedPageBreak/>
        <w:t>іншого — зниження ризику, що відображається у підвищенні стабільності доходів. Це створює передумови для зниження вартості капіталу та підвищення ринкової вартості підприємства. Таким чином, контрактно-інституційні інструменти виступають важливим елементом підсилення економічного механізму, забезпечуючи трансформацію інвестиційної привабливості з функції внутрішніх показників у результат комплексної взаємодії підприємства з інституційним середовищем.</w:t>
      </w:r>
    </w:p>
    <w:p w:rsidR="00B37265" w:rsidRPr="000622FE"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Наступний інструмент – це моделювання за допомогою припущення поступового використання </w:t>
      </w:r>
      <w:r w:rsidRPr="009A285C">
        <w:rPr>
          <w:color w:val="000000"/>
          <w:sz w:val="28"/>
          <w:szCs w:val="28"/>
        </w:rPr>
        <w:t>довгострокових контрактів, розширення використання аграрних розписок та розвитку коопераційних зв’язків. Очікується, що для підприємств із високим експортним потенціалом (Kernel) ключовим ефектом стане стабілізація валютних надходжень, для вертикально інтегрованих структур (МХП) — оптимізація витрат, а для диверсифікованих компаній (Astarta-Kyiv) — зниження операційного ризику.</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Подальший розвиток економічного механізму підвищення інвестиційної привабливості підприємств передбачає використання сценарного моделювання як інструменту, що дозволяє враховувати динамічний характер зовнішнього середовища. На відміну від статичних підходів, сценарне моделювання забезпечує формування альтернативних траєкторій розвитку підприємства, що дозволяє оцінити варіативність ключових показників та визначити стійкість інвестиційної привабливості до змін умов функціонування</w:t>
      </w:r>
      <w:r w:rsidR="004009DE">
        <w:rPr>
          <w:color w:val="000000"/>
          <w:sz w:val="28"/>
          <w:szCs w:val="28"/>
          <w:lang w:val="uk-UA"/>
        </w:rPr>
        <w:t xml:space="preserve"> [88]</w:t>
      </w:r>
      <w:r w:rsidRPr="004009DE">
        <w:rPr>
          <w:lang w:val="uk-UA"/>
        </w:rPr>
        <w:t>.</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Теоретичною основою сценарного підходу є положення про те, що економічні системи функціонують у середовищі невизначеності, а тому оцінка їх ефективності має здійснюватися не в точковому, а у діапазонному форматі. У цьому контексті доцільним є виділення трьох базових сценаріїв: базового, оптимістичного та песимістичного, які відображають різні комбінації факторів зовнішнього середовища. Кожен сценарій формує власну траєкторію грошових потоків, вартості капіталу та ризику, що, у свою чергу, визначає рівень інвестиційної привабливості.</w:t>
      </w:r>
    </w:p>
    <w:p w:rsidR="00B37265"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lastRenderedPageBreak/>
        <w:t>Методологічно сценарне моделювання передбачає формалізацію залежності інвестиційної привабливості від ключових параметрів економічного механізму. Узагальнена модель може бути представлена у вигляді:</w:t>
      </w:r>
    </w:p>
    <w:p w:rsidR="00B37265" w:rsidRPr="009A285C" w:rsidRDefault="00EB5B4E" w:rsidP="00B37265">
      <w:pPr>
        <w:pStyle w:val="a5"/>
        <w:spacing w:before="0" w:beforeAutospacing="0" w:after="0" w:afterAutospacing="0" w:line="360" w:lineRule="auto"/>
        <w:ind w:firstLine="709"/>
        <w:jc w:val="both"/>
        <w:rPr>
          <w:color w:val="000000"/>
          <w:sz w:val="28"/>
          <w:szCs w:val="28"/>
        </w:rPr>
      </w:pPr>
      <m:oMathPara>
        <m:oMath>
          <m:eqArr>
            <m:eqArrPr>
              <m:maxDist m:val="1"/>
              <m:ctrlPr>
                <w:rPr>
                  <w:rFonts w:ascii="Cambria Math" w:hAnsi="Cambria Math"/>
                  <w:i/>
                  <w:color w:val="000000"/>
                  <w:sz w:val="28"/>
                  <w:szCs w:val="28"/>
                </w:rPr>
              </m:ctrlPr>
            </m:eqArrPr>
            <m:e>
              <m:sSub>
                <m:sSubPr>
                  <m:ctrlPr>
                    <w:rPr>
                      <w:rFonts w:ascii="Cambria Math" w:hAnsi="Cambria Math"/>
                      <w:i/>
                      <w:color w:val="000000"/>
                      <w:sz w:val="28"/>
                      <w:szCs w:val="28"/>
                    </w:rPr>
                  </m:ctrlPr>
                </m:sSubPr>
                <m:e>
                  <m:r>
                    <w:rPr>
                      <w:rFonts w:ascii="Cambria Math" w:hAnsi="Cambria Math"/>
                      <w:color w:val="000000"/>
                      <w:sz w:val="28"/>
                      <w:szCs w:val="28"/>
                    </w:rPr>
                    <m:t>II</m:t>
                  </m:r>
                </m:e>
                <m:sub>
                  <m:r>
                    <w:rPr>
                      <w:rFonts w:ascii="Cambria Math" w:hAnsi="Cambria Math"/>
                      <w:color w:val="000000"/>
                      <w:sz w:val="28"/>
                      <w:szCs w:val="28"/>
                    </w:rPr>
                    <m:t>t</m:t>
                  </m:r>
                </m:sub>
              </m:sSub>
              <m:r>
                <w:rPr>
                  <w:rFonts w:ascii="Cambria Math" w:hAnsi="Cambria Math"/>
                  <w:color w:val="000000"/>
                  <w:sz w:val="28"/>
                  <w:szCs w:val="28"/>
                </w:rPr>
                <m:t>=f</m:t>
              </m:r>
              <m:d>
                <m:dPr>
                  <m:ctrlPr>
                    <w:rPr>
                      <w:rFonts w:ascii="Cambria Math" w:hAnsi="Cambria Math"/>
                      <w:i/>
                      <w:color w:val="000000"/>
                      <w:sz w:val="28"/>
                      <w:szCs w:val="28"/>
                    </w:rPr>
                  </m:ctrlPr>
                </m:dPr>
                <m:e>
                  <m:sSub>
                    <m:sSubPr>
                      <m:ctrlPr>
                        <w:rPr>
                          <w:rFonts w:ascii="Cambria Math" w:hAnsi="Cambria Math"/>
                          <w:i/>
                          <w:color w:val="000000"/>
                          <w:sz w:val="28"/>
                          <w:szCs w:val="28"/>
                        </w:rPr>
                      </m:ctrlPr>
                    </m:sSubPr>
                    <m:e>
                      <m:r>
                        <w:rPr>
                          <w:rFonts w:ascii="Cambria Math" w:hAnsi="Cambria Math"/>
                          <w:color w:val="000000"/>
                          <w:sz w:val="28"/>
                          <w:szCs w:val="28"/>
                        </w:rPr>
                        <m:t>FCFF</m:t>
                      </m:r>
                    </m:e>
                    <m:sub>
                      <m:r>
                        <w:rPr>
                          <w:rFonts w:ascii="Cambria Math" w:hAnsi="Cambria Math"/>
                          <w:color w:val="000000"/>
                          <w:sz w:val="28"/>
                          <w:szCs w:val="28"/>
                        </w:rPr>
                        <m:t>t</m:t>
                      </m:r>
                    </m:sub>
                  </m:sSub>
                  <m:r>
                    <w:rPr>
                      <w:rFonts w:ascii="Cambria Math" w:hAnsi="Cambria Math"/>
                      <w:color w:val="000000"/>
                      <w:sz w:val="28"/>
                      <w:szCs w:val="28"/>
                    </w:rPr>
                    <m:t xml:space="preserve">, </m:t>
                  </m:r>
                  <m:sSub>
                    <m:sSubPr>
                      <m:ctrlPr>
                        <w:rPr>
                          <w:rFonts w:ascii="Cambria Math" w:hAnsi="Cambria Math"/>
                          <w:i/>
                          <w:color w:val="000000"/>
                          <w:sz w:val="28"/>
                          <w:szCs w:val="28"/>
                        </w:rPr>
                      </m:ctrlPr>
                    </m:sSubPr>
                    <m:e>
                      <m:r>
                        <w:rPr>
                          <w:rFonts w:ascii="Cambria Math" w:hAnsi="Cambria Math"/>
                          <w:color w:val="000000"/>
                          <w:sz w:val="28"/>
                          <w:szCs w:val="28"/>
                        </w:rPr>
                        <m:t>WACC</m:t>
                      </m:r>
                    </m:e>
                    <m:sub>
                      <m:r>
                        <w:rPr>
                          <w:rFonts w:ascii="Cambria Math" w:hAnsi="Cambria Math"/>
                          <w:color w:val="000000"/>
                          <w:sz w:val="28"/>
                          <w:szCs w:val="28"/>
                        </w:rPr>
                        <m:t>t</m:t>
                      </m:r>
                    </m:sub>
                  </m:sSub>
                  <m:r>
                    <w:rPr>
                      <w:rFonts w:ascii="Cambria Math" w:hAnsi="Cambria Math"/>
                      <w:color w:val="000000"/>
                      <w:sz w:val="28"/>
                      <w:szCs w:val="28"/>
                    </w:rPr>
                    <m:t xml:space="preserve">, </m:t>
                  </m:r>
                  <m:sSub>
                    <m:sSubPr>
                      <m:ctrlPr>
                        <w:rPr>
                          <w:rFonts w:ascii="Cambria Math" w:hAnsi="Cambria Math"/>
                          <w:i/>
                          <w:color w:val="000000"/>
                          <w:sz w:val="28"/>
                          <w:szCs w:val="28"/>
                        </w:rPr>
                      </m:ctrlPr>
                    </m:sSubPr>
                    <m:e>
                      <m:r>
                        <w:rPr>
                          <w:rFonts w:ascii="Cambria Math" w:hAnsi="Cambria Math"/>
                          <w:color w:val="000000"/>
                          <w:sz w:val="28"/>
                          <w:szCs w:val="28"/>
                        </w:rPr>
                        <m:t>R</m:t>
                      </m:r>
                    </m:e>
                    <m:sub>
                      <m:r>
                        <w:rPr>
                          <w:rFonts w:ascii="Cambria Math" w:hAnsi="Cambria Math"/>
                          <w:color w:val="000000"/>
                          <w:sz w:val="28"/>
                          <w:szCs w:val="28"/>
                        </w:rPr>
                        <m:t>t</m:t>
                      </m:r>
                    </m:sub>
                  </m:sSub>
                </m:e>
              </m:d>
              <m:r>
                <w:rPr>
                  <w:rFonts w:ascii="Cambria Math" w:hAnsi="Cambria Math"/>
                  <w:color w:val="000000"/>
                  <w:sz w:val="28"/>
                  <w:szCs w:val="28"/>
                </w:rPr>
                <m:t>,#</m:t>
              </m:r>
              <m:d>
                <m:dPr>
                  <m:ctrlPr>
                    <w:rPr>
                      <w:rFonts w:ascii="Cambria Math" w:hAnsi="Cambria Math"/>
                      <w:i/>
                      <w:color w:val="000000"/>
                      <w:sz w:val="28"/>
                      <w:szCs w:val="28"/>
                    </w:rPr>
                  </m:ctrlPr>
                </m:dPr>
                <m:e>
                  <m:r>
                    <w:rPr>
                      <w:rFonts w:ascii="Cambria Math" w:hAnsi="Cambria Math"/>
                      <w:color w:val="000000"/>
                      <w:sz w:val="28"/>
                      <w:szCs w:val="28"/>
                    </w:rPr>
                    <m:t>3.27</m:t>
                  </m:r>
                </m:e>
              </m:d>
            </m:e>
          </m:eqArr>
        </m:oMath>
      </m:oMathPara>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9A285C">
        <w:rPr>
          <w:color w:val="000000"/>
          <w:sz w:val="28"/>
          <w:szCs w:val="28"/>
        </w:rPr>
        <w:t xml:space="preserve">де </w:t>
      </w:r>
      <m:oMath>
        <m:r>
          <w:rPr>
            <w:rFonts w:ascii="Cambria Math" w:hAnsi="Cambria Math"/>
            <w:sz w:val="28"/>
            <w:szCs w:val="28"/>
          </w:rPr>
          <m:t>FCF</m:t>
        </m:r>
        <m:sSub>
          <m:sSubPr>
            <m:ctrlPr>
              <w:rPr>
                <w:rFonts w:ascii="Cambria Math" w:hAnsi="Cambria Math"/>
                <w:sz w:val="28"/>
                <w:szCs w:val="28"/>
              </w:rPr>
            </m:ctrlPr>
          </m:sSubPr>
          <m:e>
            <m:r>
              <w:rPr>
                <w:rFonts w:ascii="Cambria Math" w:hAnsi="Cambria Math"/>
                <w:sz w:val="28"/>
                <w:szCs w:val="28"/>
              </w:rPr>
              <m:t>F</m:t>
            </m:r>
          </m:e>
          <m:sub>
            <m:r>
              <w:rPr>
                <w:rFonts w:ascii="Cambria Math" w:hAnsi="Cambria Math"/>
                <w:sz w:val="28"/>
                <w:szCs w:val="28"/>
              </w:rPr>
              <m:t>t</m:t>
            </m:r>
          </m:sub>
        </m:sSub>
      </m:oMath>
      <w:r w:rsidRPr="009A285C">
        <w:rPr>
          <w:color w:val="000000"/>
          <w:sz w:val="28"/>
          <w:szCs w:val="28"/>
        </w:rPr>
        <w:t>,</w:t>
      </w:r>
      <w:r>
        <w:rPr>
          <w:rStyle w:val="apple-converted-space"/>
          <w:rFonts w:eastAsiaTheme="majorEastAsia"/>
          <w:color w:val="000000"/>
          <w:lang w:val="uk-UA"/>
        </w:rPr>
        <w:t xml:space="preserve"> </w:t>
      </w:r>
      <m:oMath>
        <m:r>
          <w:rPr>
            <w:rFonts w:ascii="Cambria Math" w:hAnsi="Cambria Math"/>
            <w:sz w:val="28"/>
            <w:szCs w:val="28"/>
          </w:rPr>
          <m:t>WAC</m:t>
        </m:r>
        <m:sSub>
          <m:sSubPr>
            <m:ctrlPr>
              <w:rPr>
                <w:rFonts w:ascii="Cambria Math" w:hAnsi="Cambria Math"/>
                <w:sz w:val="28"/>
                <w:szCs w:val="28"/>
              </w:rPr>
            </m:ctrlPr>
          </m:sSubPr>
          <m:e>
            <m:r>
              <w:rPr>
                <w:rFonts w:ascii="Cambria Math" w:hAnsi="Cambria Math"/>
                <w:sz w:val="28"/>
                <w:szCs w:val="28"/>
              </w:rPr>
              <m:t>C</m:t>
            </m:r>
          </m:e>
          <m:sub>
            <m:r>
              <w:rPr>
                <w:rFonts w:ascii="Cambria Math" w:hAnsi="Cambria Math"/>
                <w:sz w:val="28"/>
                <w:szCs w:val="28"/>
              </w:rPr>
              <m:t>t</m:t>
            </m:r>
          </m:sub>
        </m:sSub>
      </m:oMath>
      <w:r>
        <w:rPr>
          <w:rStyle w:val="apple-converted-space"/>
          <w:rFonts w:eastAsiaTheme="majorEastAsia"/>
          <w:color w:val="000000"/>
          <w:lang w:val="uk-UA"/>
        </w:rPr>
        <w:t xml:space="preserve">, </w:t>
      </w:r>
      <m:oMath>
        <m:sSub>
          <m:sSubPr>
            <m:ctrlPr>
              <w:rPr>
                <w:rFonts w:ascii="Cambria Math" w:hAnsi="Cambria Math"/>
                <w:sz w:val="28"/>
                <w:szCs w:val="28"/>
              </w:rPr>
            </m:ctrlPr>
          </m:sSubPr>
          <m:e>
            <m:r>
              <w:rPr>
                <w:rFonts w:ascii="Cambria Math" w:hAnsi="Cambria Math"/>
                <w:sz w:val="28"/>
                <w:szCs w:val="28"/>
              </w:rPr>
              <m:t>R</m:t>
            </m:r>
          </m:e>
          <m:sub>
            <m:r>
              <w:rPr>
                <w:rFonts w:ascii="Cambria Math" w:hAnsi="Cambria Math"/>
                <w:sz w:val="28"/>
                <w:szCs w:val="28"/>
              </w:rPr>
              <m:t>t</m:t>
            </m:r>
          </m:sub>
        </m:sSub>
      </m:oMath>
      <w:r>
        <w:rPr>
          <w:rStyle w:val="apple-converted-space"/>
          <w:rFonts w:eastAsiaTheme="majorEastAsia"/>
          <w:color w:val="000000"/>
          <w:lang w:val="uk-UA"/>
        </w:rPr>
        <w:t xml:space="preserve"> – </w:t>
      </w:r>
      <w:r w:rsidRPr="009A285C">
        <w:rPr>
          <w:color w:val="000000"/>
          <w:sz w:val="28"/>
          <w:szCs w:val="28"/>
        </w:rPr>
        <w:t>параметри</w:t>
      </w:r>
      <w:r>
        <w:rPr>
          <w:color w:val="000000"/>
          <w:sz w:val="28"/>
          <w:szCs w:val="28"/>
          <w:lang w:val="uk-UA"/>
        </w:rPr>
        <w:t xml:space="preserve">, що </w:t>
      </w:r>
      <w:r w:rsidRPr="009A285C">
        <w:rPr>
          <w:color w:val="000000"/>
          <w:sz w:val="28"/>
          <w:szCs w:val="28"/>
        </w:rPr>
        <w:t xml:space="preserve">визначаються для кожного сценарію окремо. </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Для інтегральної оцінки доцільно використовувати зважене середнє значення інвестиційної привабливості:</w:t>
      </w:r>
    </w:p>
    <w:p w:rsidR="00B37265" w:rsidRPr="000622FE" w:rsidRDefault="00EB5B4E" w:rsidP="00B37265">
      <w:pPr>
        <w:spacing w:line="360" w:lineRule="auto"/>
        <w:ind w:firstLine="709"/>
        <w:jc w:val="both"/>
        <w:rPr>
          <w:sz w:val="28"/>
          <w:szCs w:val="28"/>
        </w:rPr>
      </w:pPr>
      <m:oMathPara>
        <m:oMath>
          <m:eqArr>
            <m:eqArrPr>
              <m:maxDist m:val="1"/>
              <m:ctrlPr>
                <w:rPr>
                  <w:rFonts w:ascii="Cambria Math" w:hAnsi="Cambria Math"/>
                  <w:i/>
                  <w:sz w:val="28"/>
                  <w:szCs w:val="28"/>
                  <w:lang w:val="en-US"/>
                </w:rPr>
              </m:ctrlPr>
            </m:eqArrPr>
            <m:e>
              <m:r>
                <w:rPr>
                  <w:rFonts w:ascii="Cambria Math" w:hAnsi="Cambria Math"/>
                  <w:sz w:val="28"/>
                  <w:szCs w:val="28"/>
                </w:rPr>
                <m:t>I</m:t>
              </m:r>
              <m:sSub>
                <m:sSubPr>
                  <m:ctrlPr>
                    <w:rPr>
                      <w:rFonts w:ascii="Cambria Math" w:hAnsi="Cambria Math"/>
                      <w:sz w:val="28"/>
                      <w:szCs w:val="28"/>
                    </w:rPr>
                  </m:ctrlPr>
                </m:sSubPr>
                <m:e>
                  <m:r>
                    <w:rPr>
                      <w:rFonts w:ascii="Cambria Math" w:hAnsi="Cambria Math"/>
                      <w:sz w:val="28"/>
                      <w:szCs w:val="28"/>
                    </w:rPr>
                    <m:t>I</m:t>
                  </m:r>
                </m:e>
                <m:sub>
                  <m:r>
                    <w:rPr>
                      <w:rFonts w:ascii="Cambria Math" w:hAnsi="Cambria Math"/>
                      <w:sz w:val="28"/>
                      <w:szCs w:val="28"/>
                    </w:rPr>
                    <m:t>exp</m:t>
                  </m:r>
                </m:sub>
              </m:sSub>
              <m:r>
                <w:rPr>
                  <w:rFonts w:ascii="Cambria Math" w:hAnsi="Cambria Math"/>
                  <w:sz w:val="28"/>
                  <w:szCs w:val="28"/>
                </w:rPr>
                <m:t>=</m:t>
              </m:r>
              <m:nary>
                <m:naryPr>
                  <m:chr m:val="∑"/>
                  <m:limLoc m:val="undOvr"/>
                  <m:grow m:val="1"/>
                  <m:ctrlPr>
                    <w:rPr>
                      <w:rFonts w:ascii="Cambria Math" w:hAnsi="Cambria Math"/>
                      <w:sz w:val="28"/>
                      <w:szCs w:val="28"/>
                    </w:rPr>
                  </m:ctrlPr>
                </m:naryPr>
                <m:sub>
                  <m:r>
                    <w:rPr>
                      <w:rFonts w:ascii="Cambria Math" w:hAnsi="Cambria Math"/>
                      <w:sz w:val="28"/>
                      <w:szCs w:val="28"/>
                    </w:rPr>
                    <m:t>i=1</m:t>
                  </m:r>
                </m:sub>
                <m:sup>
                  <m:r>
                    <w:rPr>
                      <w:rFonts w:ascii="Cambria Math" w:hAnsi="Cambria Math"/>
                      <w:sz w:val="28"/>
                      <w:szCs w:val="28"/>
                    </w:rPr>
                    <m:t>n</m:t>
                  </m:r>
                </m:sup>
                <m:e>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i</m:t>
                      </m:r>
                    </m:sub>
                  </m:sSub>
                </m:e>
              </m:nary>
              <m:r>
                <w:rPr>
                  <w:rFonts w:ascii="Cambria Math" w:hAnsi="Cambria Math"/>
                  <w:sz w:val="28"/>
                  <w:szCs w:val="28"/>
                </w:rPr>
                <m:t>⋅I</m:t>
              </m:r>
              <m:sSub>
                <m:sSubPr>
                  <m:ctrlPr>
                    <w:rPr>
                      <w:rFonts w:ascii="Cambria Math" w:hAnsi="Cambria Math"/>
                      <w:sz w:val="28"/>
                      <w:szCs w:val="28"/>
                    </w:rPr>
                  </m:ctrlPr>
                </m:sSubPr>
                <m:e>
                  <m:r>
                    <w:rPr>
                      <w:rFonts w:ascii="Cambria Math" w:hAnsi="Cambria Math"/>
                      <w:sz w:val="28"/>
                      <w:szCs w:val="28"/>
                    </w:rPr>
                    <m:t>I</m:t>
                  </m:r>
                </m:e>
                <m:sub>
                  <m:r>
                    <w:rPr>
                      <w:rFonts w:ascii="Cambria Math" w:hAnsi="Cambria Math"/>
                      <w:sz w:val="28"/>
                      <w:szCs w:val="28"/>
                    </w:rPr>
                    <m:t>i</m:t>
                  </m:r>
                </m:sub>
              </m:sSub>
              <m:r>
                <w:rPr>
                  <w:rFonts w:ascii="Cambria Math" w:hAnsi="Cambria Math"/>
                  <w:sz w:val="28"/>
                  <w:szCs w:val="28"/>
                  <w:lang w:val="en-US"/>
                </w:rPr>
                <m:t>,</m:t>
              </m:r>
              <m:r>
                <w:rPr>
                  <w:rFonts w:ascii="Cambria Math" w:hAnsi="Cambria Math"/>
                  <w:sz w:val="28"/>
                  <w:szCs w:val="28"/>
                </w:rPr>
                <m:t>#</m:t>
              </m:r>
              <m:d>
                <m:dPr>
                  <m:ctrlPr>
                    <w:rPr>
                      <w:rFonts w:ascii="Cambria Math" w:hAnsi="Cambria Math"/>
                      <w:i/>
                      <w:sz w:val="28"/>
                      <w:szCs w:val="28"/>
                      <w:lang w:val="en-US"/>
                    </w:rPr>
                  </m:ctrlPr>
                </m:dPr>
                <m:e>
                  <m:r>
                    <w:rPr>
                      <w:rFonts w:ascii="Cambria Math" w:hAnsi="Cambria Math"/>
                      <w:sz w:val="28"/>
                      <w:szCs w:val="28"/>
                      <w:lang w:val="en-US"/>
                    </w:rPr>
                    <m:t>3.28</m:t>
                  </m:r>
                </m:e>
              </m:d>
              <m:ctrlPr>
                <w:rPr>
                  <w:rFonts w:ascii="Cambria Math" w:hAnsi="Cambria Math"/>
                  <w:i/>
                  <w:sz w:val="28"/>
                  <w:szCs w:val="28"/>
                </w:rPr>
              </m:ctrlPr>
            </m:e>
          </m:eqArr>
        </m:oMath>
      </m:oMathPara>
    </w:p>
    <w:p w:rsidR="00B37265" w:rsidRDefault="00B37265" w:rsidP="00B37265">
      <w:pPr>
        <w:pStyle w:val="a5"/>
        <w:spacing w:before="0" w:beforeAutospacing="0" w:after="0" w:afterAutospacing="0" w:line="360" w:lineRule="auto"/>
        <w:ind w:firstLine="708"/>
        <w:jc w:val="both"/>
        <w:rPr>
          <w:color w:val="000000"/>
          <w:sz w:val="28"/>
          <w:szCs w:val="28"/>
          <w:lang w:val="uk-UA"/>
        </w:rPr>
      </w:pPr>
      <w:r>
        <w:rPr>
          <w:color w:val="000000"/>
          <w:sz w:val="28"/>
          <w:szCs w:val="28"/>
          <w:lang w:val="uk-UA"/>
        </w:rPr>
        <w:t>д</w:t>
      </w:r>
      <w:r w:rsidRPr="009A285C">
        <w:rPr>
          <w:color w:val="000000"/>
          <w:sz w:val="28"/>
          <w:szCs w:val="28"/>
        </w:rPr>
        <w:t>е</w:t>
      </w:r>
      <w:r>
        <w:rPr>
          <w:rStyle w:val="apple-converted-space"/>
          <w:rFonts w:eastAsiaTheme="majorEastAsia"/>
          <w:color w:val="000000"/>
        </w:rPr>
        <w:t xml:space="preserve"> </w:t>
      </w:r>
      <m:oMath>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i</m:t>
            </m:r>
          </m:sub>
        </m:sSub>
      </m:oMath>
      <w:r>
        <w:rPr>
          <w:rStyle w:val="apple-converted-space"/>
          <w:rFonts w:eastAsiaTheme="majorEastAsia"/>
          <w:color w:val="000000"/>
          <w:lang w:val="uk-UA"/>
        </w:rPr>
        <w:t xml:space="preserve"> </w:t>
      </w:r>
      <w:r w:rsidRPr="009A285C">
        <w:rPr>
          <w:color w:val="000000"/>
          <w:sz w:val="28"/>
          <w:szCs w:val="28"/>
        </w:rPr>
        <w:t>— ймовірність реалізації відповідного сценарію</w:t>
      </w:r>
      <w:r>
        <w:rPr>
          <w:color w:val="000000"/>
          <w:sz w:val="28"/>
          <w:szCs w:val="28"/>
          <w:lang w:val="uk-UA"/>
        </w:rPr>
        <w:t>;</w:t>
      </w:r>
    </w:p>
    <w:p w:rsidR="00B37265" w:rsidRPr="009A285C" w:rsidRDefault="00B37265" w:rsidP="00B37265">
      <w:pPr>
        <w:pStyle w:val="a5"/>
        <w:spacing w:before="0" w:beforeAutospacing="0" w:after="0" w:afterAutospacing="0" w:line="360" w:lineRule="auto"/>
        <w:ind w:firstLine="708"/>
        <w:jc w:val="both"/>
        <w:rPr>
          <w:color w:val="000000"/>
          <w:sz w:val="28"/>
          <w:szCs w:val="28"/>
        </w:rPr>
      </w:pPr>
      <w:r>
        <w:rPr>
          <w:color w:val="000000"/>
          <w:sz w:val="28"/>
          <w:szCs w:val="28"/>
          <w:lang w:val="uk-UA"/>
        </w:rPr>
        <w:t xml:space="preserve">     </w:t>
      </w:r>
      <m:oMath>
        <m:r>
          <w:rPr>
            <w:rFonts w:ascii="Cambria Math" w:hAnsi="Cambria Math"/>
            <w:sz w:val="28"/>
            <w:szCs w:val="28"/>
          </w:rPr>
          <m:t>I</m:t>
        </m:r>
        <m:sSub>
          <m:sSubPr>
            <m:ctrlPr>
              <w:rPr>
                <w:rFonts w:ascii="Cambria Math" w:hAnsi="Cambria Math"/>
                <w:sz w:val="28"/>
                <w:szCs w:val="28"/>
              </w:rPr>
            </m:ctrlPr>
          </m:sSubPr>
          <m:e>
            <m:r>
              <w:rPr>
                <w:rFonts w:ascii="Cambria Math" w:hAnsi="Cambria Math"/>
                <w:sz w:val="28"/>
                <w:szCs w:val="28"/>
              </w:rPr>
              <m:t>I</m:t>
            </m:r>
          </m:e>
          <m:sub>
            <m:r>
              <w:rPr>
                <w:rFonts w:ascii="Cambria Math" w:hAnsi="Cambria Math"/>
                <w:sz w:val="28"/>
                <w:szCs w:val="28"/>
              </w:rPr>
              <m:t>i</m:t>
            </m:r>
          </m:sub>
        </m:sSub>
      </m:oMath>
      <w:r>
        <w:rPr>
          <w:rStyle w:val="apple-converted-space"/>
          <w:rFonts w:eastAsiaTheme="majorEastAsia"/>
          <w:color w:val="000000"/>
          <w:lang w:val="uk-UA"/>
        </w:rPr>
        <w:t xml:space="preserve"> </w:t>
      </w:r>
      <w:r w:rsidRPr="009A285C">
        <w:rPr>
          <w:color w:val="000000"/>
          <w:sz w:val="28"/>
          <w:szCs w:val="28"/>
        </w:rPr>
        <w:t>— значення інвестиційної привабливості у сценарії</w:t>
      </w:r>
      <w:r>
        <w:rPr>
          <w:rStyle w:val="apple-converted-space"/>
          <w:rFonts w:eastAsiaTheme="majorEastAsia"/>
          <w:color w:val="000000"/>
          <w:lang w:val="uk-UA"/>
        </w:rPr>
        <w:t xml:space="preserve"> </w:t>
      </w:r>
      <m:oMath>
        <m:r>
          <w:rPr>
            <w:rFonts w:ascii="Cambria Math" w:hAnsi="Cambria Math"/>
            <w:sz w:val="28"/>
            <w:szCs w:val="28"/>
          </w:rPr>
          <m:t>i</m:t>
        </m:r>
      </m:oMath>
      <w:r w:rsidRPr="009A285C">
        <w:rPr>
          <w:color w:val="000000"/>
          <w:sz w:val="28"/>
          <w:szCs w:val="28"/>
        </w:rPr>
        <w:t>.</w:t>
      </w:r>
    </w:p>
    <w:p w:rsidR="00B37265" w:rsidRPr="009A285C" w:rsidRDefault="00B37265" w:rsidP="00B37265">
      <w:pPr>
        <w:pStyle w:val="a5"/>
        <w:spacing w:before="0" w:beforeAutospacing="0" w:after="0" w:afterAutospacing="0" w:line="360" w:lineRule="auto"/>
        <w:ind w:firstLine="709"/>
        <w:jc w:val="both"/>
        <w:rPr>
          <w:color w:val="000000"/>
          <w:sz w:val="28"/>
          <w:szCs w:val="28"/>
        </w:rPr>
      </w:pPr>
      <w:r w:rsidRPr="009A285C">
        <w:rPr>
          <w:color w:val="000000"/>
          <w:sz w:val="28"/>
          <w:szCs w:val="28"/>
        </w:rPr>
        <w:t>Економічний зміст цієї моделі полягає у врахуванні не лише можливих результатів, але й їх імовірності, що дозволяє отримати більш об’єктивну оцінку інвестиційної привабливості підприємства. Додатково доцільно оцінювати варіацію значень</w:t>
      </w:r>
      <w:r w:rsidRPr="009A285C">
        <w:rPr>
          <w:rStyle w:val="apple-converted-space"/>
          <w:rFonts w:eastAsiaTheme="majorEastAsia"/>
          <w:color w:val="000000"/>
        </w:rPr>
        <w:t> </w:t>
      </w:r>
      <m:oMath>
        <m:r>
          <w:rPr>
            <w:rFonts w:ascii="Cambria Math" w:hAnsi="Cambria Math"/>
            <w:sz w:val="28"/>
            <w:szCs w:val="28"/>
          </w:rPr>
          <m:t>II</m:t>
        </m:r>
      </m:oMath>
      <w:r w:rsidRPr="009A285C">
        <w:rPr>
          <w:color w:val="000000"/>
          <w:sz w:val="28"/>
          <w:szCs w:val="28"/>
        </w:rPr>
        <w:t>, що характеризує рівень ризику.</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9A285C">
        <w:rPr>
          <w:color w:val="000000"/>
          <w:sz w:val="28"/>
          <w:szCs w:val="28"/>
        </w:rPr>
        <w:t>Апробація підходу на прикладі</w:t>
      </w:r>
      <w:r>
        <w:rPr>
          <w:rStyle w:val="apple-converted-space"/>
          <w:rFonts w:eastAsiaTheme="majorEastAsia"/>
          <w:color w:val="000000"/>
          <w:lang w:val="uk-UA"/>
        </w:rPr>
        <w:t xml:space="preserve"> </w:t>
      </w:r>
      <w:r w:rsidRPr="009A285C">
        <w:rPr>
          <w:rStyle w:val="whitespace-normal"/>
          <w:color w:val="000000"/>
          <w:sz w:val="28"/>
          <w:szCs w:val="28"/>
        </w:rPr>
        <w:t>Kernel</w:t>
      </w:r>
      <w:r w:rsidRPr="009A285C">
        <w:rPr>
          <w:color w:val="000000"/>
          <w:sz w:val="28"/>
          <w:szCs w:val="28"/>
        </w:rPr>
        <w:t>,</w:t>
      </w:r>
      <w:r>
        <w:rPr>
          <w:rStyle w:val="apple-converted-space"/>
          <w:rFonts w:eastAsiaTheme="majorEastAsia"/>
          <w:color w:val="000000"/>
          <w:lang w:val="uk-UA"/>
        </w:rPr>
        <w:t xml:space="preserve"> </w:t>
      </w:r>
      <w:r w:rsidRPr="009A285C">
        <w:rPr>
          <w:rStyle w:val="whitespace-normal"/>
          <w:color w:val="000000"/>
          <w:sz w:val="28"/>
          <w:szCs w:val="28"/>
        </w:rPr>
        <w:t>МХП</w:t>
      </w:r>
      <w:r>
        <w:rPr>
          <w:rStyle w:val="apple-converted-space"/>
          <w:rFonts w:eastAsiaTheme="majorEastAsia"/>
          <w:color w:val="000000"/>
          <w:lang w:val="uk-UA"/>
        </w:rPr>
        <w:t xml:space="preserve"> </w:t>
      </w:r>
      <w:r w:rsidRPr="009A285C">
        <w:rPr>
          <w:color w:val="000000"/>
          <w:sz w:val="28"/>
          <w:szCs w:val="28"/>
        </w:rPr>
        <w:t>та</w:t>
      </w:r>
      <w:r>
        <w:rPr>
          <w:rStyle w:val="apple-converted-space"/>
          <w:rFonts w:eastAsiaTheme="majorEastAsia"/>
          <w:color w:val="000000"/>
          <w:lang w:val="uk-UA"/>
        </w:rPr>
        <w:t xml:space="preserve"> </w:t>
      </w:r>
      <w:r w:rsidRPr="009A285C">
        <w:rPr>
          <w:rStyle w:val="whitespace-normal"/>
          <w:color w:val="000000"/>
          <w:sz w:val="28"/>
          <w:szCs w:val="28"/>
        </w:rPr>
        <w:t>Astarta-Kyiv</w:t>
      </w:r>
      <w:r>
        <w:rPr>
          <w:rStyle w:val="apple-converted-space"/>
          <w:rFonts w:eastAsiaTheme="majorEastAsia"/>
          <w:color w:val="000000"/>
          <w:lang w:val="uk-UA"/>
        </w:rPr>
        <w:t xml:space="preserve"> </w:t>
      </w:r>
      <w:r w:rsidRPr="009A285C">
        <w:rPr>
          <w:color w:val="000000"/>
          <w:sz w:val="28"/>
          <w:szCs w:val="28"/>
        </w:rPr>
        <w:t>передбачає формування сценаріїв на період 2026–2030 рр. Базовий сценарій відображає збереження поточних тенденцій розвитку, оптимістичний — покращення кон’юнктури ринку та зниження вартості капіталу, песимістичний — негативний вплив зовнішніх факторів, зокрема зростання витрат та зниження попиту. Для кожного сценарію моделюються значення грошових потоків, вартості капіталу та ризику, що дозволяє визначити відповідні значення інвестиційної привабливості.</w:t>
      </w:r>
    </w:p>
    <w:p w:rsidR="00B37265" w:rsidRPr="00722F7E"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Отримані результати дозволяють зробити комплексну оцінку динаміки інвестиційної привабливості підприємств з урахуванням альтернативних умов функціонування. </w:t>
      </w:r>
    </w:p>
    <w:p w:rsidR="005714C9" w:rsidRDefault="005714C9" w:rsidP="005714C9">
      <w:pPr>
        <w:pStyle w:val="a5"/>
        <w:spacing w:before="0" w:beforeAutospacing="0" w:after="0" w:afterAutospacing="0" w:line="360" w:lineRule="auto"/>
        <w:ind w:firstLine="709"/>
        <w:jc w:val="both"/>
        <w:rPr>
          <w:color w:val="000000"/>
          <w:sz w:val="28"/>
          <w:szCs w:val="28"/>
          <w:lang w:val="uk-UA"/>
        </w:rPr>
      </w:pPr>
      <w:r w:rsidRPr="005714C9">
        <w:rPr>
          <w:color w:val="000000"/>
          <w:sz w:val="28"/>
          <w:szCs w:val="28"/>
          <w:lang w:val="uk-UA"/>
        </w:rPr>
        <w:lastRenderedPageBreak/>
        <w:t>Передусім слід відзначити, що для всіх підприємств зберігається позитивний тренд зростання інвестиційної привабливості у межах кожного сценарію, що свідчить про внутрішню стійкість економічного механізму.</w:t>
      </w:r>
    </w:p>
    <w:p w:rsidR="005714C9" w:rsidRDefault="005714C9" w:rsidP="005714C9">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У песимістичному сценарії значення інвестиційної привабливості зростають повільно, що обумовлено підвищенням вартості капіталу та збереженням високого рівня ризику. Для підприємства </w:t>
      </w:r>
      <w:r w:rsidRPr="00722F7E">
        <w:rPr>
          <w:color w:val="000000"/>
          <w:sz w:val="28"/>
          <w:szCs w:val="28"/>
        </w:rPr>
        <w:t>Kernel</w:t>
      </w:r>
      <w:r w:rsidRPr="00B37265">
        <w:rPr>
          <w:color w:val="000000"/>
          <w:sz w:val="28"/>
          <w:szCs w:val="28"/>
          <w:lang w:val="uk-UA"/>
        </w:rPr>
        <w:t xml:space="preserve"> значення </w:t>
      </w:r>
      <w:r w:rsidRPr="00722F7E">
        <w:rPr>
          <w:color w:val="000000"/>
          <w:sz w:val="28"/>
          <w:szCs w:val="28"/>
        </w:rPr>
        <w:t>II</w:t>
      </w:r>
      <w:r w:rsidRPr="00722F7E">
        <w:rPr>
          <w:color w:val="000000"/>
          <w:sz w:val="28"/>
          <w:szCs w:val="28"/>
          <w:vertAlign w:val="superscript"/>
        </w:rPr>
        <w:t>adj</w:t>
      </w:r>
      <w:r w:rsidRPr="00B37265">
        <w:rPr>
          <w:color w:val="000000"/>
          <w:sz w:val="28"/>
          <w:szCs w:val="28"/>
          <w:lang w:val="uk-UA"/>
        </w:rPr>
        <w:t xml:space="preserve"> збільшується з 0,62 до 0,70, що свідчить про обмежені можливості переходу до лідерських позицій.</w:t>
      </w:r>
    </w:p>
    <w:p w:rsidR="00435FDC" w:rsidRPr="00D638FA" w:rsidRDefault="00EB5B4E" w:rsidP="00D638FA">
      <w:pPr>
        <w:pStyle w:val="a5"/>
        <w:spacing w:before="0" w:beforeAutospacing="0" w:after="0" w:afterAutospacing="0" w:line="360" w:lineRule="auto"/>
        <w:ind w:firstLine="709"/>
        <w:jc w:val="both"/>
        <w:rPr>
          <w:color w:val="000000"/>
          <w:sz w:val="28"/>
          <w:szCs w:val="28"/>
          <w:lang w:val="uk-UA"/>
        </w:rPr>
      </w:pPr>
      <w:r w:rsidRPr="00D638FA">
        <w:rPr>
          <w:color w:val="000000"/>
          <w:sz w:val="28"/>
          <w:szCs w:val="28"/>
          <w:lang w:val="uk-UA"/>
        </w:rPr>
        <w:t>Розгорнуте сценарне моделювання інвестиційної привабливості наведено в додатку Н (табл. Н.1).</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Водночас для МХП навіть у несприятливих умовах спостерігається відносно вищий рівень показника, що пояснюється ефектом вертикальної інтеграції та більш стійкою структурою грошових потоків. </w:t>
      </w:r>
      <w:r w:rsidRPr="00722F7E">
        <w:rPr>
          <w:color w:val="000000"/>
          <w:sz w:val="28"/>
          <w:szCs w:val="28"/>
        </w:rPr>
        <w:t>Astarta</w:t>
      </w:r>
      <w:r w:rsidRPr="00B37265">
        <w:rPr>
          <w:color w:val="000000"/>
          <w:sz w:val="28"/>
          <w:szCs w:val="28"/>
          <w:lang w:val="uk-UA"/>
        </w:rPr>
        <w:t>-</w:t>
      </w:r>
      <w:r w:rsidRPr="00722F7E">
        <w:rPr>
          <w:color w:val="000000"/>
          <w:sz w:val="28"/>
          <w:szCs w:val="28"/>
        </w:rPr>
        <w:t>Kyiv</w:t>
      </w:r>
      <w:r w:rsidRPr="00B37265">
        <w:rPr>
          <w:color w:val="000000"/>
          <w:sz w:val="28"/>
          <w:szCs w:val="28"/>
          <w:lang w:val="uk-UA"/>
        </w:rPr>
        <w:t xml:space="preserve"> у цьому сценарії демонструє найнижчі значення, що пов’язано з більшою чутливістю до ризиків зовнішнього середовища.</w:t>
      </w:r>
    </w:p>
    <w:p w:rsidR="00B37265" w:rsidRPr="00722F7E"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 xml:space="preserve">Базовий сценарій характеризується найбільш імовірною траєкторією розвитку. Для всіх підприємств відбувається перехід до стійких лідерських позицій, при цьому значення </w:t>
      </w:r>
      <w:r w:rsidRPr="00722F7E">
        <w:rPr>
          <w:color w:val="000000"/>
          <w:sz w:val="28"/>
          <w:szCs w:val="28"/>
        </w:rPr>
        <w:t>II</w:t>
      </w:r>
      <w:r w:rsidRPr="00722F7E">
        <w:rPr>
          <w:color w:val="000000"/>
          <w:sz w:val="28"/>
          <w:szCs w:val="28"/>
          <w:vertAlign w:val="superscript"/>
        </w:rPr>
        <w:t>adj</w:t>
      </w:r>
      <w:r w:rsidRPr="00B37265">
        <w:rPr>
          <w:color w:val="000000"/>
          <w:sz w:val="28"/>
          <w:szCs w:val="28"/>
          <w:lang w:val="uk-UA"/>
        </w:rPr>
        <w:t xml:space="preserve"> у 2030 р. становлять 0,89 для </w:t>
      </w:r>
      <w:r w:rsidRPr="00722F7E">
        <w:rPr>
          <w:color w:val="000000"/>
          <w:sz w:val="28"/>
          <w:szCs w:val="28"/>
        </w:rPr>
        <w:t>Kernel</w:t>
      </w:r>
      <w:r w:rsidRPr="00B37265">
        <w:rPr>
          <w:color w:val="000000"/>
          <w:sz w:val="28"/>
          <w:szCs w:val="28"/>
          <w:lang w:val="uk-UA"/>
        </w:rPr>
        <w:t xml:space="preserve">, 0,91 для МХП та 0,85 для </w:t>
      </w:r>
      <w:r w:rsidRPr="00722F7E">
        <w:rPr>
          <w:color w:val="000000"/>
          <w:sz w:val="28"/>
          <w:szCs w:val="28"/>
        </w:rPr>
        <w:t>Astarta</w:t>
      </w:r>
      <w:r w:rsidRPr="00B37265">
        <w:rPr>
          <w:color w:val="000000"/>
          <w:sz w:val="28"/>
          <w:szCs w:val="28"/>
          <w:lang w:val="uk-UA"/>
        </w:rPr>
        <w:t>-</w:t>
      </w:r>
      <w:r w:rsidRPr="00722F7E">
        <w:rPr>
          <w:color w:val="000000"/>
          <w:sz w:val="28"/>
          <w:szCs w:val="28"/>
        </w:rPr>
        <w:t>Kyiv</w:t>
      </w:r>
      <w:r w:rsidRPr="00B37265">
        <w:rPr>
          <w:color w:val="000000"/>
          <w:sz w:val="28"/>
          <w:szCs w:val="28"/>
          <w:lang w:val="uk-UA"/>
        </w:rPr>
        <w:t xml:space="preserve">. </w:t>
      </w:r>
      <w:r w:rsidRPr="00722F7E">
        <w:rPr>
          <w:color w:val="000000"/>
          <w:sz w:val="28"/>
          <w:szCs w:val="28"/>
        </w:rPr>
        <w:t>Це свідчить про ефективність інтеграції вартісно-орієнтованого управління та ризик-менеджменту, а також про стабілізацію грошових потоків.</w:t>
      </w:r>
    </w:p>
    <w:p w:rsidR="00B37265" w:rsidRPr="00722F7E" w:rsidRDefault="00B37265" w:rsidP="00B37265">
      <w:pPr>
        <w:pStyle w:val="a5"/>
        <w:spacing w:before="0" w:beforeAutospacing="0" w:after="0" w:afterAutospacing="0" w:line="360" w:lineRule="auto"/>
        <w:ind w:firstLine="709"/>
        <w:jc w:val="both"/>
        <w:rPr>
          <w:color w:val="000000"/>
          <w:sz w:val="28"/>
          <w:szCs w:val="28"/>
        </w:rPr>
      </w:pPr>
      <w:r w:rsidRPr="00722F7E">
        <w:rPr>
          <w:color w:val="000000"/>
          <w:sz w:val="28"/>
          <w:szCs w:val="28"/>
        </w:rPr>
        <w:t>Оптимістичний сценарій демонструє найбільш сприятливу динаміку, що обумовлено синергетичним ефектом зниження ризику, оптимізації вартості капіталу та зростання грошових потоків. У цьому випадку підприємства досягають максимально високих значень інвестиційної привабливості: 0,93 для Kernel, 0,95 для МХП та 0,89 для Astarta-Kyiv. Особливо важливим є те, що навіть у цьому сценарії зберігається диференціація між підприємствами, що відображає їх структурні особливості.</w:t>
      </w:r>
    </w:p>
    <w:p w:rsidR="00B37265" w:rsidRPr="00722F7E" w:rsidRDefault="00B37265" w:rsidP="00B37265">
      <w:pPr>
        <w:pStyle w:val="a5"/>
        <w:spacing w:before="0" w:beforeAutospacing="0" w:after="0" w:afterAutospacing="0" w:line="360" w:lineRule="auto"/>
        <w:ind w:firstLine="709"/>
        <w:jc w:val="both"/>
        <w:rPr>
          <w:color w:val="000000"/>
          <w:sz w:val="28"/>
          <w:szCs w:val="28"/>
        </w:rPr>
      </w:pPr>
      <w:r w:rsidRPr="00722F7E">
        <w:rPr>
          <w:color w:val="000000"/>
          <w:sz w:val="28"/>
          <w:szCs w:val="28"/>
        </w:rPr>
        <w:lastRenderedPageBreak/>
        <w:t>Порівняльний аналіз сценаріїв дозволяє оцінити чутливість інвестиційної привабливості до змін зовнішніх умов. Найбільший розрив між песимістичним та оптимістичним сценаріями спостерігається для МХП, що свідчить про високий потенціал зростання, але й про значну залежність від зовнішніх факторів. Kernel демонструє більш збалансовану модель розвитку, тоді як Astarta-Kyiv характеризується більш плавною, але стабільною динамікою.</w:t>
      </w:r>
    </w:p>
    <w:p w:rsidR="00B37265" w:rsidRPr="00722F7E" w:rsidRDefault="00B37265" w:rsidP="00B37265">
      <w:pPr>
        <w:pStyle w:val="a5"/>
        <w:spacing w:before="0" w:beforeAutospacing="0" w:after="0" w:afterAutospacing="0" w:line="360" w:lineRule="auto"/>
        <w:ind w:firstLine="709"/>
        <w:jc w:val="both"/>
        <w:rPr>
          <w:color w:val="000000"/>
          <w:sz w:val="28"/>
          <w:szCs w:val="28"/>
        </w:rPr>
      </w:pPr>
      <w:r w:rsidRPr="00722F7E">
        <w:rPr>
          <w:color w:val="000000"/>
          <w:sz w:val="28"/>
          <w:szCs w:val="28"/>
        </w:rPr>
        <w:t>Важливим результатом є також те, що у всіх сценаріях відбувається поступове зменшення впливу ризику як обмежуючого фактора. Це підтверджує ефективність інтеграції ризик-менеджменту нового типу, який забезпечує зниження варіативності грошових потоків та підвищення їх передбачуваності.</w:t>
      </w:r>
    </w:p>
    <w:p w:rsidR="00B37265" w:rsidRPr="00722F7E" w:rsidRDefault="00B37265" w:rsidP="00B37265">
      <w:pPr>
        <w:pStyle w:val="a5"/>
        <w:spacing w:before="0" w:beforeAutospacing="0" w:after="0" w:afterAutospacing="0" w:line="360" w:lineRule="auto"/>
        <w:ind w:firstLine="709"/>
        <w:jc w:val="both"/>
        <w:rPr>
          <w:color w:val="000000"/>
          <w:sz w:val="28"/>
          <w:szCs w:val="28"/>
        </w:rPr>
      </w:pPr>
      <w:r w:rsidRPr="00722F7E">
        <w:rPr>
          <w:color w:val="000000"/>
          <w:sz w:val="28"/>
          <w:szCs w:val="28"/>
        </w:rPr>
        <w:t>Таким чином, сценарне моделювання дозволяє не лише оцінити можливі значення інвестиційної привабливості, але й визначити діапазон її варіації, що є критично важливим для інвесторів. Отримані результати свідчать про те, що навіть у несприятливих умовах підприємства зберігають потенціал зростання, а у базовому та оптимістичному сценаріях досягають лідерських позицій у стратегічній матриці. Це підтверджує доцільність застосування інтегрованого підходу до управління інвестиційною привабливістю та його високу прогностичну ефективність.</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lang w:val="uk-UA"/>
        </w:rPr>
        <w:t xml:space="preserve">Надалі також було здійснено сценарне моделювання </w:t>
      </w:r>
      <w:r w:rsidRPr="001635ED">
        <w:rPr>
          <w:color w:val="000000"/>
          <w:sz w:val="28"/>
          <w:szCs w:val="28"/>
        </w:rPr>
        <w:t>стратегічного потенціалу підприємства у контексті забезпечення його інвестиційної привабливості набуває особливого значення в умовах трансформації економічного середовища, коли конкурентні переваги формуються не лише за рахунок поточних результатів діяльності, але й через здатність до довгострокового розвитку. На відміну від інвестиційної привабливості, яка відображає інтегральний результат функціонування підприємства, стратегічний потенціал характеризує</w:t>
      </w:r>
      <w:r>
        <w:rPr>
          <w:rStyle w:val="apple-converted-space"/>
          <w:rFonts w:eastAsiaTheme="majorEastAsia"/>
          <w:color w:val="000000"/>
          <w:lang w:val="uk-UA"/>
        </w:rPr>
        <w:t xml:space="preserve"> </w:t>
      </w:r>
      <w:r w:rsidRPr="005714C9">
        <w:rPr>
          <w:rStyle w:val="af1"/>
          <w:rFonts w:eastAsiaTheme="majorEastAsia"/>
          <w:b w:val="0"/>
          <w:color w:val="000000"/>
          <w:sz w:val="28"/>
          <w:szCs w:val="28"/>
        </w:rPr>
        <w:t>його внутрішню спроможність генерувати такі результати у майбутньому</w:t>
      </w:r>
      <w:r w:rsidRPr="001635ED">
        <w:rPr>
          <w:color w:val="000000"/>
          <w:sz w:val="28"/>
          <w:szCs w:val="28"/>
        </w:rPr>
        <w:t>, що обумовлює доцільність його сценарного моделювання.</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1635ED">
        <w:rPr>
          <w:color w:val="000000"/>
          <w:sz w:val="28"/>
          <w:szCs w:val="28"/>
        </w:rPr>
        <w:lastRenderedPageBreak/>
        <w:t>Теоретично стратегічний потенціал у даному дослідженні розглядається як інтегральна категорія, що формується на основі ресурсно-функціональної декомпозиції, яка охоплює виробничий, фінансовий, інноваційний, управлінський та ринковий компоненти</w:t>
      </w:r>
      <w:r>
        <w:rPr>
          <w:color w:val="000000"/>
          <w:sz w:val="28"/>
          <w:szCs w:val="28"/>
          <w:lang w:val="uk-UA"/>
        </w:rPr>
        <w:t xml:space="preserve"> (що було представлено в розділі 3.1 та 3.2 даного дослідження)</w:t>
      </w:r>
      <w:r w:rsidRPr="001635ED">
        <w:rPr>
          <w:color w:val="000000"/>
          <w:sz w:val="28"/>
          <w:szCs w:val="28"/>
        </w:rPr>
        <w:t>. В умовах невизначеності кожен із зазначених компонентів піддається впливу зовнішніх факторів, що зумовлює необхідність формування альтернативних сценаріїв розвитку. Таким чином, стратегічний потенціал не є статичною величиною, а виступає динамічною функцією, залежною від середовища функціонування підприємства</w:t>
      </w:r>
      <w:r w:rsidR="004009DE">
        <w:rPr>
          <w:color w:val="000000"/>
          <w:sz w:val="28"/>
          <w:szCs w:val="28"/>
        </w:rPr>
        <w:t xml:space="preserve"> [57, 105]</w:t>
      </w:r>
      <w:r>
        <w:t>.</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B37265">
        <w:rPr>
          <w:color w:val="000000"/>
          <w:sz w:val="28"/>
          <w:szCs w:val="28"/>
          <w:lang w:val="uk-UA"/>
        </w:rPr>
        <w:t>Сценарна диференціація здійснюється за аналогією з попереднім підрозділом і передбачає виділення песимістичного, базового та оптимістичного сценаріїв</w:t>
      </w:r>
      <w:r>
        <w:rPr>
          <w:color w:val="000000"/>
          <w:sz w:val="28"/>
          <w:szCs w:val="28"/>
          <w:lang w:val="uk-UA"/>
        </w:rPr>
        <w:t xml:space="preserve"> (табл. П.1 (додаток П))</w:t>
      </w:r>
      <w:r w:rsidRPr="001635ED">
        <w:rPr>
          <w:color w:val="000000"/>
          <w:sz w:val="28"/>
          <w:szCs w:val="28"/>
        </w:rPr>
        <w:t>. У межах песимістичного сценарію передбачається обмеження інвестиційної активності, зниження темпів технологічного оновлення та зростання ресурсних обмежень. Базовий сценарій відображає поступову стабілізацію економічного середовища та підтримання поточних тенденцій розвитку. Оптимістичний сценарій передбачає активізацію інвестиційних процесів, модернізацію виробництва та посилення ринкових позицій.</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Особливістю моделювання стратегічного потенціалу є його інерційний характер, що обумовлює більш плавну динаміку порівняно з інвестиційною привабливістю. Водночас саме цей показник визначає довгострокову траєкторію розвитку підприємства та його здатність до переходу у вищі стратегічні зони.</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Отримані результати свідчать про наявність стійкої тенденції до зростання стратегічного потенціалу досліджуваних підприємств у всіх сценаріях розвитку, що відображає їх адаптивність до змін зовнішнього середовища та здатність до нарощування внутрішніх ресурсів. Водночас характер цієї динаміки має виражену сценарну диференціацію, що дозволяє оцінити чутливість потенціалу до змін умов функціонування.</w:t>
      </w:r>
    </w:p>
    <w:p w:rsidR="00435FDC" w:rsidRPr="00D638FA" w:rsidRDefault="00EB5B4E" w:rsidP="00D638FA">
      <w:pPr>
        <w:pStyle w:val="a5"/>
        <w:spacing w:before="0" w:beforeAutospacing="0" w:after="0" w:afterAutospacing="0" w:line="360" w:lineRule="auto"/>
        <w:ind w:firstLine="709"/>
        <w:jc w:val="both"/>
        <w:rPr>
          <w:color w:val="000000"/>
          <w:sz w:val="28"/>
          <w:szCs w:val="28"/>
        </w:rPr>
      </w:pPr>
      <w:r w:rsidRPr="00D638FA">
        <w:rPr>
          <w:color w:val="000000"/>
          <w:sz w:val="28"/>
          <w:szCs w:val="28"/>
        </w:rPr>
        <w:lastRenderedPageBreak/>
        <w:t>Розгорнуте сценарне моделювання стратегічного потенціалу наведено в додатку П (табл. П.1).</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У межах песимістичного сценарію зростання стратегічного потенціалу має поступовий характер, що обумовлено обмеженими можливостями інвестування та збереженням ресурсних обмежень. Для Kernel значення SP збільшується з 0,74 до 0,82, що свідчить про збереження базових конкурентних переваг навіть у несприятливих умовах. МХП демонструє дещо вищі значення, що пояснюється більш розвиненою виробничою базою та ефектом вертикальної інтеграції. Astarta-Kyiv характеризується більш стриманою динамікою, що відображає її більшу залежність від зовнішніх факторів</w:t>
      </w:r>
      <w:r w:rsidR="004009DE">
        <w:rPr>
          <w:color w:val="000000"/>
          <w:sz w:val="28"/>
          <w:szCs w:val="28"/>
        </w:rPr>
        <w:t xml:space="preserve"> [160]</w:t>
      </w:r>
      <w:r>
        <w:t>.</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Базовий сценарій відображає найбільш імовірну траєкторію розвитку підприємств, у межах якої стратегічний потенціал демонструє стабільне зростання. До 2030 р. значення SP досягають 0,91 для Kernel, 0,92 для МХП та 0,87 для Astarta-Kyiv. Така динаміка свідчить про ефективність реалізації стратегічних рішень, спрямованих на модернізацію виробництва, оптимізацію ресурсного забезпечення та підвищення управлінської ефективності.</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Оптимістичний сценарій характеризується найбільш інтенсивним зростанням стратегічного потенціалу, що обумовлено активізацією інвестиційної діяльності та впровадженням інновацій. У цьому випадку підприємства досягають максимально високих значень показника: 0,93 для Kernel, 0,95 для МХП та 0,89 для Astarta-Kyiv. Це свідчить про значний резерв зростання потенціалу за умови сприятливого зовнішнього середовища</w:t>
      </w:r>
      <w:r w:rsidR="004009DE">
        <w:rPr>
          <w:color w:val="000000"/>
          <w:sz w:val="28"/>
          <w:szCs w:val="28"/>
        </w:rPr>
        <w:t xml:space="preserve"> [93]</w:t>
      </w:r>
      <w:r>
        <w:t>.</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 xml:space="preserve">Порівняльний аналіз результатів показує, що стратегічний потенціал є менш чутливим до короткострокових змін порівняно з інвестиційною привабливістю, що пояснюється його структурною природою. Водночас саме цей показник визначає довгострокові можливості підприємства щодо зміцнення ринкових позицій. Найбільший приріст потенціалу спостерігається </w:t>
      </w:r>
      <w:r w:rsidRPr="001635ED">
        <w:rPr>
          <w:color w:val="000000"/>
          <w:sz w:val="28"/>
          <w:szCs w:val="28"/>
        </w:rPr>
        <w:lastRenderedPageBreak/>
        <w:t>для МХП, що підтверджує ефективність його бізнес-моделі, орієнтованої на інтеграцію та масштабування. Kernel демонструє збалансовану динаміку розвитку, тоді як Astarta-Kyiv характеризується поступовим, але стабільним зростанням.</w:t>
      </w:r>
    </w:p>
    <w:p w:rsidR="00B37265" w:rsidRPr="001635ED" w:rsidRDefault="00B37265" w:rsidP="00B37265">
      <w:pPr>
        <w:pStyle w:val="a5"/>
        <w:spacing w:before="0" w:beforeAutospacing="0" w:after="0" w:afterAutospacing="0" w:line="360" w:lineRule="auto"/>
        <w:ind w:firstLine="709"/>
        <w:jc w:val="both"/>
        <w:rPr>
          <w:color w:val="000000"/>
          <w:sz w:val="28"/>
          <w:szCs w:val="28"/>
        </w:rPr>
      </w:pPr>
      <w:r w:rsidRPr="001635ED">
        <w:rPr>
          <w:color w:val="000000"/>
          <w:sz w:val="28"/>
          <w:szCs w:val="28"/>
        </w:rPr>
        <w:t>Важливим висновком є те, що навіть у песимістичному сценарії всі підприємства зберігають позитивну динаміку стратегічного потенціалу, що свідчить про їхню здатність адаптуватися до несприятливих умов. У базовому та оптимістичному сценаріях формується основа для переходу до вищих стратегічних зон, що у поєднанні зі зростанням інвестиційної привабливості забезпечує синергетичний ефект.</w:t>
      </w:r>
    </w:p>
    <w:p w:rsidR="00B37265" w:rsidRDefault="00B37265" w:rsidP="00B37265">
      <w:pPr>
        <w:pStyle w:val="a5"/>
        <w:spacing w:before="0" w:beforeAutospacing="0" w:after="0" w:afterAutospacing="0" w:line="360" w:lineRule="auto"/>
        <w:ind w:firstLine="709"/>
        <w:jc w:val="both"/>
        <w:rPr>
          <w:color w:val="000000"/>
          <w:sz w:val="28"/>
          <w:szCs w:val="28"/>
          <w:lang w:val="uk-UA"/>
        </w:rPr>
      </w:pPr>
      <w:r w:rsidRPr="001635ED">
        <w:rPr>
          <w:color w:val="000000"/>
          <w:sz w:val="28"/>
          <w:szCs w:val="28"/>
        </w:rPr>
        <w:t>Таким чином, сценарне моделювання стратегічного потенціалу дозволяє не лише оцінити можливі траєкторії розвитку підприємств, але й визначити їхню здатність до довгострокового зростання. Отримані результати підтверджують доцільність інтеграції показника SP у систему оцінювання інвестиційної привабливості та його ключову роль у формуванні стратегічних рішень підприємства</w:t>
      </w:r>
      <w:r>
        <w:t xml:space="preserve"> </w:t>
      </w:r>
      <w:r>
        <w:rPr>
          <w:sz w:val="28"/>
          <w:szCs w:val="28"/>
        </w:rPr>
        <w:t>[126]</w:t>
      </w:r>
      <w:r>
        <w:t>.</w:t>
      </w:r>
    </w:p>
    <w:p w:rsidR="00B37265" w:rsidRPr="00B17F12" w:rsidRDefault="00B37265" w:rsidP="00B37265">
      <w:pPr>
        <w:pStyle w:val="a5"/>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Для візуалізації отриманих результатів було побудовано стратегічні матриці на основі сценарного моделювання інвестиційної привабливості </w:t>
      </w:r>
      <w:r w:rsidRPr="00B17F12">
        <w:rPr>
          <w:color w:val="000000"/>
          <w:sz w:val="28"/>
          <w:szCs w:val="28"/>
        </w:rPr>
        <w:t>Kernel</w:t>
      </w:r>
      <w:r w:rsidRPr="00B37265">
        <w:rPr>
          <w:color w:val="000000"/>
          <w:sz w:val="28"/>
          <w:szCs w:val="28"/>
          <w:lang w:val="uk-UA"/>
        </w:rPr>
        <w:t>,</w:t>
      </w:r>
      <w:r w:rsidRPr="00B17F12">
        <w:rPr>
          <w:color w:val="000000"/>
          <w:sz w:val="28"/>
          <w:szCs w:val="28"/>
          <w:lang w:val="uk-UA"/>
        </w:rPr>
        <w:t xml:space="preserve"> МХП</w:t>
      </w:r>
      <w:r w:rsidRPr="00B37265">
        <w:rPr>
          <w:color w:val="000000"/>
          <w:sz w:val="28"/>
          <w:szCs w:val="28"/>
          <w:lang w:val="uk-UA"/>
        </w:rPr>
        <w:t xml:space="preserve"> </w:t>
      </w:r>
      <w:r w:rsidRPr="00B17F12">
        <w:rPr>
          <w:color w:val="000000"/>
          <w:sz w:val="28"/>
          <w:szCs w:val="28"/>
          <w:lang w:val="uk-UA"/>
        </w:rPr>
        <w:t xml:space="preserve">та </w:t>
      </w:r>
      <w:r w:rsidRPr="00B17F12">
        <w:rPr>
          <w:color w:val="000000"/>
          <w:sz w:val="28"/>
          <w:szCs w:val="28"/>
        </w:rPr>
        <w:t>Astarta</w:t>
      </w:r>
      <w:r w:rsidRPr="00BE5A3A">
        <w:rPr>
          <w:color w:val="000000"/>
          <w:sz w:val="28"/>
          <w:szCs w:val="28"/>
          <w:lang w:val="uk-UA"/>
        </w:rPr>
        <w:t>-</w:t>
      </w:r>
      <w:r w:rsidRPr="00B17F12">
        <w:rPr>
          <w:color w:val="000000"/>
          <w:sz w:val="28"/>
          <w:szCs w:val="28"/>
        </w:rPr>
        <w:t>Kyiv</w:t>
      </w:r>
      <w:r w:rsidRPr="00B17F12">
        <w:rPr>
          <w:color w:val="000000"/>
          <w:sz w:val="28"/>
          <w:szCs w:val="28"/>
          <w:lang w:val="uk-UA"/>
        </w:rPr>
        <w:t xml:space="preserve"> на 2026 – 2030 рр. (рис. Р.1 (додаток Р)).</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B37265">
        <w:rPr>
          <w:color w:val="000000"/>
          <w:sz w:val="28"/>
          <w:szCs w:val="28"/>
          <w:lang w:val="uk-UA"/>
        </w:rPr>
        <w:t xml:space="preserve">Аналіз результатів сценарного моделювання, візуалізованих на рисунку Р.1 (додаток Р), дозволяє сформулювати низку фундаментальних наукових висновків щодо </w:t>
      </w:r>
      <w:r>
        <w:rPr>
          <w:color w:val="000000"/>
          <w:sz w:val="28"/>
          <w:szCs w:val="28"/>
          <w:lang w:val="uk-UA"/>
        </w:rPr>
        <w:t>функціонування економічного механізму інвестиційної привабливості</w:t>
      </w:r>
      <w:r w:rsidRPr="00B37265">
        <w:rPr>
          <w:color w:val="000000"/>
          <w:sz w:val="28"/>
          <w:szCs w:val="28"/>
          <w:lang w:val="uk-UA"/>
        </w:rPr>
        <w:t xml:space="preserve"> провідних агропромислових підприємств України</w:t>
      </w:r>
      <w:r w:rsidR="004009DE">
        <w:rPr>
          <w:color w:val="000000"/>
          <w:sz w:val="28"/>
          <w:szCs w:val="28"/>
          <w:lang w:val="uk-UA"/>
        </w:rPr>
        <w:t xml:space="preserve"> [</w:t>
      </w:r>
      <w:r w:rsidRPr="004009DE">
        <w:rPr>
          <w:sz w:val="28"/>
          <w:szCs w:val="28"/>
          <w:lang w:val="uk-UA"/>
        </w:rPr>
        <w:t>28]</w:t>
      </w:r>
      <w:r w:rsidRPr="004009DE">
        <w:rPr>
          <w:lang w:val="uk-UA"/>
        </w:rPr>
        <w:t>.</w:t>
      </w:r>
    </w:p>
    <w:p w:rsidR="00B37265" w:rsidRPr="00B17F12" w:rsidRDefault="00B37265" w:rsidP="00B37265">
      <w:pPr>
        <w:pStyle w:val="a5"/>
        <w:spacing w:before="0" w:beforeAutospacing="0" w:after="0" w:afterAutospacing="0" w:line="360" w:lineRule="auto"/>
        <w:ind w:firstLine="709"/>
        <w:jc w:val="both"/>
        <w:rPr>
          <w:color w:val="000000"/>
          <w:sz w:val="28"/>
          <w:szCs w:val="28"/>
        </w:rPr>
      </w:pPr>
      <w:r w:rsidRPr="00B17F12">
        <w:rPr>
          <w:color w:val="000000"/>
          <w:sz w:val="28"/>
          <w:szCs w:val="28"/>
        </w:rPr>
        <w:t>По-перше, для лідерів ринку — компаній</w:t>
      </w:r>
      <w:r>
        <w:rPr>
          <w:rStyle w:val="apple-converted-space"/>
          <w:rFonts w:eastAsiaTheme="majorEastAsia"/>
          <w:color w:val="000000"/>
          <w:lang w:val="uk-UA"/>
        </w:rPr>
        <w:t xml:space="preserve"> </w:t>
      </w:r>
      <w:r w:rsidRPr="00B17F12">
        <w:rPr>
          <w:color w:val="000000"/>
          <w:sz w:val="28"/>
          <w:szCs w:val="28"/>
        </w:rPr>
        <w:t>«Kernel»</w:t>
      </w:r>
      <w:r>
        <w:rPr>
          <w:rStyle w:val="apple-converted-space"/>
          <w:rFonts w:eastAsiaTheme="majorEastAsia"/>
          <w:color w:val="000000"/>
          <w:lang w:val="uk-UA"/>
        </w:rPr>
        <w:t xml:space="preserve"> </w:t>
      </w:r>
      <w:r w:rsidRPr="00B17F12">
        <w:rPr>
          <w:color w:val="000000"/>
          <w:sz w:val="28"/>
          <w:szCs w:val="28"/>
        </w:rPr>
        <w:t>та</w:t>
      </w:r>
      <w:r>
        <w:rPr>
          <w:rStyle w:val="apple-converted-space"/>
          <w:rFonts w:eastAsiaTheme="majorEastAsia"/>
          <w:color w:val="000000"/>
          <w:lang w:val="uk-UA"/>
        </w:rPr>
        <w:t xml:space="preserve"> </w:t>
      </w:r>
      <w:r w:rsidRPr="00B17F12">
        <w:rPr>
          <w:color w:val="000000"/>
          <w:sz w:val="28"/>
          <w:szCs w:val="28"/>
        </w:rPr>
        <w:t>«МХП»</w:t>
      </w:r>
      <w:r>
        <w:rPr>
          <w:rStyle w:val="apple-converted-space"/>
          <w:rFonts w:eastAsiaTheme="majorEastAsia"/>
          <w:color w:val="000000"/>
          <w:lang w:val="uk-UA"/>
        </w:rPr>
        <w:t xml:space="preserve"> </w:t>
      </w:r>
      <w:r w:rsidRPr="00B17F12">
        <w:rPr>
          <w:color w:val="000000"/>
          <w:sz w:val="28"/>
          <w:szCs w:val="28"/>
        </w:rPr>
        <w:t xml:space="preserve">— характерною є траєкторія «стабільного домінування». Попри </w:t>
      </w:r>
      <w:r w:rsidRPr="00D638FA">
        <w:rPr>
          <w:color w:val="000000"/>
          <w:sz w:val="28"/>
          <w:szCs w:val="28"/>
        </w:rPr>
        <w:t>суттєві деструктивні ризики,</w:t>
      </w:r>
      <w:r w:rsidRPr="00B17F12">
        <w:rPr>
          <w:color w:val="000000"/>
          <w:sz w:val="28"/>
          <w:szCs w:val="28"/>
        </w:rPr>
        <w:t xml:space="preserve"> ці суб’єкти демонструють високу резистентність до </w:t>
      </w:r>
      <w:r w:rsidRPr="00D638FA">
        <w:rPr>
          <w:color w:val="000000"/>
          <w:sz w:val="28"/>
          <w:szCs w:val="28"/>
        </w:rPr>
        <w:t>зовнішніх</w:t>
      </w:r>
      <w:r w:rsidRPr="00B17F12">
        <w:rPr>
          <w:color w:val="000000"/>
          <w:sz w:val="28"/>
          <w:szCs w:val="28"/>
        </w:rPr>
        <w:t xml:space="preserve"> шоків. Згідно з базовим сценарієм, їхні показники у 2026–2030 рр. концентруються у квадранті III («Лідерська позиція»), що свідчить про сформований запас міцності стратегічного потенціалу.</w:t>
      </w:r>
    </w:p>
    <w:p w:rsidR="00435FDC" w:rsidRPr="00D638FA" w:rsidRDefault="00EB5B4E" w:rsidP="00D638FA">
      <w:pPr>
        <w:pStyle w:val="a5"/>
        <w:spacing w:before="0" w:beforeAutospacing="0" w:after="0" w:afterAutospacing="0" w:line="360" w:lineRule="auto"/>
        <w:ind w:firstLine="709"/>
        <w:jc w:val="both"/>
        <w:rPr>
          <w:color w:val="000000"/>
          <w:sz w:val="28"/>
          <w:szCs w:val="28"/>
        </w:rPr>
      </w:pPr>
      <w:r w:rsidRPr="00D638FA">
        <w:rPr>
          <w:color w:val="000000"/>
          <w:sz w:val="28"/>
          <w:szCs w:val="28"/>
        </w:rPr>
        <w:lastRenderedPageBreak/>
        <w:t>Прогнозне моделювання траєкторій позиціонування наведено в додатку Р (рис. Р.1).</w:t>
      </w:r>
    </w:p>
    <w:p w:rsidR="00B37265" w:rsidRPr="00B37265" w:rsidRDefault="00B37265" w:rsidP="00B37265">
      <w:pPr>
        <w:pStyle w:val="a5"/>
        <w:spacing w:before="0" w:beforeAutospacing="0" w:after="0" w:afterAutospacing="0" w:line="360" w:lineRule="auto"/>
        <w:ind w:firstLine="709"/>
        <w:jc w:val="both"/>
        <w:rPr>
          <w:color w:val="000000"/>
          <w:sz w:val="28"/>
          <w:szCs w:val="28"/>
          <w:lang w:val="uk-UA"/>
        </w:rPr>
      </w:pPr>
      <w:r w:rsidRPr="00D638FA">
        <w:rPr>
          <w:color w:val="000000"/>
          <w:sz w:val="28"/>
          <w:szCs w:val="28"/>
        </w:rPr>
        <w:t>Зокрема, для «</w:t>
      </w:r>
      <w:r w:rsidRPr="00B17F12">
        <w:rPr>
          <w:color w:val="000000"/>
          <w:sz w:val="28"/>
          <w:szCs w:val="28"/>
        </w:rPr>
        <w:t>Kernel</w:t>
      </w:r>
      <w:r w:rsidRPr="00B37265">
        <w:rPr>
          <w:color w:val="000000"/>
          <w:sz w:val="28"/>
          <w:szCs w:val="28"/>
          <w:lang w:val="uk-UA"/>
        </w:rPr>
        <w:t>» прогнозується посилення позицій за рахунок оптимізації зернової логістики та розширення переробних потужностей, що конвертується у зростання індексу</w:t>
      </w:r>
      <w:r>
        <w:rPr>
          <w:rStyle w:val="apple-converted-space"/>
          <w:rFonts w:eastAsiaTheme="majorEastAsia"/>
          <w:color w:val="000000"/>
          <w:lang w:val="uk-UA"/>
        </w:rPr>
        <w:t xml:space="preserve"> ІІ</w:t>
      </w:r>
      <w:r>
        <w:rPr>
          <w:rStyle w:val="apple-converted-space"/>
          <w:rFonts w:eastAsiaTheme="majorEastAsia"/>
          <w:color w:val="000000"/>
          <w:vertAlign w:val="superscript"/>
          <w:lang w:val="en-US"/>
        </w:rPr>
        <w:t>adj</w:t>
      </w:r>
      <w:r>
        <w:rPr>
          <w:rStyle w:val="apple-converted-space"/>
          <w:rFonts w:eastAsiaTheme="majorEastAsia"/>
          <w:color w:val="000000"/>
          <w:lang w:val="uk-UA"/>
        </w:rPr>
        <w:t xml:space="preserve"> </w:t>
      </w:r>
      <w:r w:rsidRPr="00B37265">
        <w:rPr>
          <w:color w:val="000000"/>
          <w:sz w:val="28"/>
          <w:szCs w:val="28"/>
          <w:lang w:val="uk-UA"/>
        </w:rPr>
        <w:t>до рівня 0,91–0,93. Для «МХП» ключовим драйвером виступає поглиблення вертикальної інтеграції та розвиток сегменту продуктів з доданою вартістю, що забезпечує стабільне утримання високої інвестиційної привабливості навіть за песимістичним сценарієм. Це підтверджує гіпотезу дослідження про те, що диверсифікація бізнес-процесів є базисом економічної безпеки в агробізнесі.</w:t>
      </w:r>
    </w:p>
    <w:p w:rsidR="00B37265" w:rsidRPr="00B17F12" w:rsidRDefault="00B37265" w:rsidP="00B37265">
      <w:pPr>
        <w:pStyle w:val="a5"/>
        <w:spacing w:before="0" w:beforeAutospacing="0" w:after="0" w:afterAutospacing="0" w:line="360" w:lineRule="auto"/>
        <w:ind w:firstLine="709"/>
        <w:jc w:val="both"/>
        <w:rPr>
          <w:color w:val="000000"/>
          <w:sz w:val="28"/>
          <w:szCs w:val="28"/>
        </w:rPr>
      </w:pPr>
      <w:r w:rsidRPr="00B17F12">
        <w:rPr>
          <w:color w:val="000000"/>
          <w:sz w:val="28"/>
          <w:szCs w:val="28"/>
        </w:rPr>
        <w:t>По-друге, особливий науковий інтерес викликає динаміка розвитку</w:t>
      </w:r>
      <w:r>
        <w:rPr>
          <w:rStyle w:val="apple-converted-space"/>
          <w:rFonts w:eastAsiaTheme="majorEastAsia"/>
          <w:color w:val="000000"/>
          <w:lang w:val="uk-UA"/>
        </w:rPr>
        <w:t xml:space="preserve"> </w:t>
      </w:r>
      <w:r w:rsidRPr="00B17F12">
        <w:rPr>
          <w:color w:val="000000"/>
          <w:sz w:val="28"/>
          <w:szCs w:val="28"/>
        </w:rPr>
        <w:t xml:space="preserve">«Astarta-Kyiv». На відміну від стабільних лідерів, дана компанія демонструє «трансформаційну траєкторію». Початкова позиція на межі зон VI та III у 2026 році вказує на наявність певного розриву між наявним потенціалом та його реалізацією. Проте, змодельований вектор руху спрямований на впевнене закріплення в зоні III до 2030 року. Така позитивна динаміка обумовлена стратегічною орієнтацією на </w:t>
      </w:r>
      <w:r>
        <w:rPr>
          <w:color w:val="000000"/>
          <w:sz w:val="28"/>
          <w:szCs w:val="28"/>
          <w:lang w:val="uk-UA"/>
        </w:rPr>
        <w:t>посилення ролі економічного механізму</w:t>
      </w:r>
      <w:r w:rsidRPr="00B17F12">
        <w:rPr>
          <w:color w:val="000000"/>
          <w:sz w:val="28"/>
          <w:szCs w:val="28"/>
        </w:rPr>
        <w:t>, що в умовах глобального «зеленого» переходу стає критичним фактором привабливості для міжнародних фінансових інституцій. Перехід із зони «Потенційного лідера» до «Лідерської позиції» є класичним прикладом реалізації стратегії випереджаючого розвитку через модернізацію технологічного базису</w:t>
      </w:r>
      <w:r w:rsidR="004009DE">
        <w:rPr>
          <w:color w:val="000000"/>
          <w:sz w:val="28"/>
          <w:szCs w:val="28"/>
        </w:rPr>
        <w:t xml:space="preserve"> [52, 144]</w:t>
      </w:r>
      <w:r>
        <w:t>.</w:t>
      </w:r>
    </w:p>
    <w:p w:rsidR="00B37265" w:rsidRPr="00B17F12" w:rsidRDefault="00B37265" w:rsidP="00B37265">
      <w:pPr>
        <w:pStyle w:val="a5"/>
        <w:spacing w:before="0" w:beforeAutospacing="0" w:after="0" w:afterAutospacing="0" w:line="360" w:lineRule="auto"/>
        <w:ind w:firstLine="709"/>
        <w:jc w:val="both"/>
        <w:rPr>
          <w:color w:val="000000"/>
          <w:sz w:val="28"/>
          <w:szCs w:val="28"/>
        </w:rPr>
      </w:pPr>
      <w:r w:rsidRPr="00E8113A">
        <w:rPr>
          <w:color w:val="000000"/>
          <w:sz w:val="28"/>
          <w:szCs w:val="28"/>
        </w:rPr>
        <w:t>По-третє</w:t>
      </w:r>
      <w:r w:rsidRPr="00B17F12">
        <w:rPr>
          <w:color w:val="000000"/>
          <w:sz w:val="28"/>
          <w:szCs w:val="28"/>
        </w:rPr>
        <w:t>, порівняльний аналіз сценарних пучків (песимістичного, базового та оптимістичного) виявляє рівень чутливості підприємств до чинників середовища. Найменша амплітуда розходження сценаріїв спостерігається у напрямку стратегічного потенціалу (вісь SP), що вказує на контрольованість внутрішніх ресурсів менеджментом. Водночас, розмах значень по осі</w:t>
      </w:r>
      <w:r>
        <w:rPr>
          <w:rStyle w:val="apple-converted-space"/>
          <w:rFonts w:eastAsiaTheme="majorEastAsia"/>
          <w:color w:val="000000"/>
          <w:lang w:val="uk-UA"/>
        </w:rPr>
        <w:t xml:space="preserve"> ІІ</w:t>
      </w:r>
      <w:r w:rsidRPr="00E8113A">
        <w:rPr>
          <w:rStyle w:val="apple-converted-space"/>
          <w:rFonts w:eastAsiaTheme="majorEastAsia"/>
          <w:color w:val="000000"/>
          <w:vertAlign w:val="superscript"/>
        </w:rPr>
        <w:t>adj</w:t>
      </w:r>
      <w:r>
        <w:rPr>
          <w:rStyle w:val="apple-converted-space"/>
          <w:rFonts w:eastAsiaTheme="majorEastAsia"/>
          <w:color w:val="000000"/>
          <w:lang w:val="uk-UA"/>
        </w:rPr>
        <w:t xml:space="preserve"> </w:t>
      </w:r>
      <w:r w:rsidRPr="00B17F12">
        <w:rPr>
          <w:color w:val="000000"/>
          <w:sz w:val="28"/>
          <w:szCs w:val="28"/>
        </w:rPr>
        <w:t>є значно більшим, що підтверджує високу залежність інвестиційного сприйняття від зовнішньополітичних та макроекономічних чинників, які знаходяться поза зоною безпосереднього впливу підприємства.</w:t>
      </w:r>
    </w:p>
    <w:p w:rsidR="00B37265" w:rsidRPr="00B17F12" w:rsidRDefault="00B37265" w:rsidP="00B37265">
      <w:pPr>
        <w:pStyle w:val="a5"/>
        <w:spacing w:before="0" w:beforeAutospacing="0" w:after="0" w:afterAutospacing="0" w:line="360" w:lineRule="auto"/>
        <w:ind w:firstLine="709"/>
        <w:jc w:val="both"/>
        <w:rPr>
          <w:color w:val="000000"/>
          <w:sz w:val="28"/>
          <w:szCs w:val="28"/>
        </w:rPr>
      </w:pPr>
      <w:r w:rsidRPr="00E8113A">
        <w:rPr>
          <w:color w:val="000000"/>
          <w:sz w:val="28"/>
          <w:szCs w:val="28"/>
          <w:lang w:val="uk-UA"/>
        </w:rPr>
        <w:lastRenderedPageBreak/>
        <w:t>Відповідно,</w:t>
      </w:r>
      <w:r>
        <w:rPr>
          <w:b/>
          <w:bCs/>
          <w:color w:val="000000"/>
          <w:sz w:val="28"/>
          <w:szCs w:val="28"/>
          <w:lang w:val="uk-UA"/>
        </w:rPr>
        <w:t xml:space="preserve"> </w:t>
      </w:r>
      <w:r>
        <w:rPr>
          <w:rStyle w:val="apple-converted-space"/>
          <w:rFonts w:eastAsiaTheme="majorEastAsia"/>
          <w:color w:val="000000"/>
          <w:lang w:val="uk-UA"/>
        </w:rPr>
        <w:t xml:space="preserve"> </w:t>
      </w:r>
      <w:r w:rsidRPr="00B17F12">
        <w:rPr>
          <w:color w:val="000000"/>
          <w:sz w:val="28"/>
          <w:szCs w:val="28"/>
        </w:rPr>
        <w:t>отриман</w:t>
      </w:r>
      <w:r>
        <w:rPr>
          <w:color w:val="000000"/>
          <w:sz w:val="28"/>
          <w:szCs w:val="28"/>
          <w:lang w:val="uk-UA"/>
        </w:rPr>
        <w:t>і</w:t>
      </w:r>
      <w:r w:rsidRPr="00B17F12">
        <w:rPr>
          <w:color w:val="000000"/>
          <w:sz w:val="28"/>
          <w:szCs w:val="28"/>
        </w:rPr>
        <w:t xml:space="preserve"> результат</w:t>
      </w:r>
      <w:r>
        <w:rPr>
          <w:color w:val="000000"/>
          <w:sz w:val="28"/>
          <w:szCs w:val="28"/>
          <w:lang w:val="uk-UA"/>
        </w:rPr>
        <w:t>и</w:t>
      </w:r>
      <w:r w:rsidRPr="00B17F12">
        <w:rPr>
          <w:color w:val="000000"/>
          <w:sz w:val="28"/>
          <w:szCs w:val="28"/>
        </w:rPr>
        <w:t xml:space="preserve"> поляга</w:t>
      </w:r>
      <w:r>
        <w:rPr>
          <w:color w:val="000000"/>
          <w:sz w:val="28"/>
          <w:szCs w:val="28"/>
          <w:lang w:val="uk-UA"/>
        </w:rPr>
        <w:t>ють</w:t>
      </w:r>
      <w:r w:rsidRPr="00B17F12">
        <w:rPr>
          <w:color w:val="000000"/>
          <w:sz w:val="28"/>
          <w:szCs w:val="28"/>
        </w:rPr>
        <w:t xml:space="preserve"> в ідентифікації феномену «стратегічної інерції </w:t>
      </w:r>
      <w:r>
        <w:rPr>
          <w:color w:val="000000"/>
          <w:sz w:val="28"/>
          <w:szCs w:val="28"/>
          <w:lang w:val="uk-UA"/>
        </w:rPr>
        <w:t>інвестиційної привабливості</w:t>
      </w:r>
      <w:r w:rsidRPr="00B17F12">
        <w:rPr>
          <w:color w:val="000000"/>
          <w:sz w:val="28"/>
          <w:szCs w:val="28"/>
        </w:rPr>
        <w:t>». Встановлено, що підприємства, які досягли критичної маси потенціалу (SP &gt; 0,66), формують авторегресійний механізм підтримки власної безпеки, де кожне попереднє успішне рішення підсилює майбутню привабливість. Це дозволяє стверджувати, що для великих агрохолдингів головним завданням безпекового менеджменту є не просто виживання, а управління швидкістю капіталізації стратегічних переваг.</w:t>
      </w:r>
    </w:p>
    <w:p w:rsidR="00B37265" w:rsidRPr="00B17F12" w:rsidRDefault="00B37265" w:rsidP="00B37265">
      <w:pPr>
        <w:pStyle w:val="a5"/>
        <w:spacing w:before="0" w:beforeAutospacing="0" w:after="0" w:afterAutospacing="0" w:line="360" w:lineRule="auto"/>
        <w:ind w:firstLine="709"/>
        <w:jc w:val="both"/>
        <w:rPr>
          <w:color w:val="000000"/>
          <w:sz w:val="28"/>
          <w:szCs w:val="28"/>
        </w:rPr>
      </w:pPr>
      <w:r w:rsidRPr="00B17F12">
        <w:rPr>
          <w:color w:val="000000"/>
          <w:sz w:val="28"/>
          <w:szCs w:val="28"/>
        </w:rPr>
        <w:t xml:space="preserve">Таким чином, результати моделювання доводять, що </w:t>
      </w:r>
      <w:r>
        <w:rPr>
          <w:color w:val="000000"/>
          <w:sz w:val="28"/>
          <w:szCs w:val="28"/>
          <w:lang w:val="uk-UA"/>
        </w:rPr>
        <w:t>моделювання розвитку економічного механізму інвестиційної привабливості</w:t>
      </w:r>
      <w:r w:rsidRPr="00B17F12">
        <w:rPr>
          <w:color w:val="000000"/>
          <w:sz w:val="28"/>
          <w:szCs w:val="28"/>
        </w:rPr>
        <w:t xml:space="preserve"> в період до 2030 року потребує переходу від моделі «реагування на загрози» до моделі «керування можливостями». Підприємства, що спроможні забезпечити траєкторію руху в напрямку правої верхньої точки матриці, не лише гарантують власну фінансову стабільність, а й стають локомотивами відновлення всієї економіки країни. Отримані прогнозні дані слугують фундаментом для розроблення конкретних рекомендацій щодо розподілу інвестиційних ресурсів та коригування стратегічних планів розвитку аграрних підприємств у довгостроковій перспективі.</w:t>
      </w:r>
    </w:p>
    <w:p w:rsidR="00B37265" w:rsidRPr="00E8113A" w:rsidRDefault="00B37265" w:rsidP="00B37265">
      <w:pPr>
        <w:pStyle w:val="a5"/>
        <w:spacing w:before="0" w:beforeAutospacing="0" w:after="0" w:afterAutospacing="0" w:line="360" w:lineRule="auto"/>
        <w:ind w:firstLine="709"/>
        <w:jc w:val="both"/>
        <w:rPr>
          <w:color w:val="000000"/>
          <w:sz w:val="28"/>
          <w:szCs w:val="28"/>
        </w:rPr>
      </w:pPr>
    </w:p>
    <w:p w:rsidR="00B37265" w:rsidRPr="004C1519" w:rsidRDefault="004C1519" w:rsidP="00B37265">
      <w:pPr>
        <w:pStyle w:val="a6"/>
        <w:spacing w:after="0" w:line="360" w:lineRule="auto"/>
        <w:ind w:left="0" w:firstLine="709"/>
        <w:jc w:val="both"/>
        <w:rPr>
          <w:rFonts w:ascii="Times New Roman" w:hAnsi="Times New Roman"/>
          <w:b/>
          <w:bCs/>
          <w:color w:val="000000"/>
          <w:sz w:val="28"/>
          <w:szCs w:val="28"/>
          <w:lang w:val="uk-UA"/>
        </w:rPr>
      </w:pPr>
      <w:r w:rsidRPr="004C1519">
        <w:rPr>
          <w:rStyle w:val="docdata"/>
          <w:rFonts w:ascii="Times New Roman" w:eastAsia="Aptos" w:hAnsi="Times New Roman"/>
          <w:b/>
          <w:color w:val="000000"/>
          <w:kern w:val="2"/>
          <w:sz w:val="28"/>
          <w:szCs w:val="28"/>
          <w:lang w:val="uk-UA"/>
        </w:rPr>
        <w:t>Висновки до третього розділу</w:t>
      </w:r>
    </w:p>
    <w:p w:rsidR="00B37265" w:rsidRDefault="00B37265" w:rsidP="00B37265">
      <w:pPr>
        <w:pStyle w:val="a6"/>
        <w:spacing w:after="0" w:line="360" w:lineRule="auto"/>
        <w:ind w:left="0" w:firstLine="709"/>
        <w:jc w:val="both"/>
        <w:rPr>
          <w:rFonts w:ascii="Times New Roman" w:hAnsi="Times New Roman"/>
          <w:b/>
          <w:bCs/>
          <w:color w:val="000000"/>
          <w:sz w:val="28"/>
          <w:szCs w:val="28"/>
          <w:lang w:val="uk-UA"/>
        </w:rPr>
      </w:pPr>
    </w:p>
    <w:p w:rsidR="00B37265" w:rsidRPr="00B37265" w:rsidRDefault="00B37265" w:rsidP="00B37265">
      <w:pPr>
        <w:pStyle w:val="a5"/>
        <w:numPr>
          <w:ilvl w:val="0"/>
          <w:numId w:val="29"/>
        </w:numPr>
        <w:spacing w:before="0" w:beforeAutospacing="0" w:after="0" w:afterAutospacing="0" w:line="360" w:lineRule="auto"/>
        <w:ind w:left="0" w:firstLine="709"/>
        <w:jc w:val="both"/>
        <w:rPr>
          <w:color w:val="000000"/>
          <w:sz w:val="28"/>
          <w:szCs w:val="28"/>
          <w:lang w:val="uk-UA"/>
        </w:rPr>
      </w:pPr>
      <w:r>
        <w:rPr>
          <w:color w:val="000000"/>
          <w:sz w:val="28"/>
          <w:szCs w:val="28"/>
          <w:lang w:val="uk-UA"/>
        </w:rPr>
        <w:t>О</w:t>
      </w:r>
      <w:r w:rsidRPr="00B37265">
        <w:rPr>
          <w:color w:val="000000"/>
          <w:sz w:val="28"/>
          <w:szCs w:val="28"/>
          <w:lang w:val="uk-UA"/>
        </w:rPr>
        <w:t xml:space="preserve">бґрунтовано концептуальні засади формування економічного механізму розвитку інвестиційної привабливості сільськогосподарських підприємств, що ґрунтуються на інтеграції ресурсних, функціональних та інструментальних компонентів у єдину адаптивну систему управління. Доведено, що в умовах макроекономічної турбулентності, високої волатильності аграрних ринків та зростання ролі </w:t>
      </w:r>
      <w:r w:rsidRPr="00275617">
        <w:rPr>
          <w:color w:val="000000"/>
          <w:sz w:val="28"/>
          <w:szCs w:val="28"/>
        </w:rPr>
        <w:t>ESG</w:t>
      </w:r>
      <w:r w:rsidRPr="00B37265">
        <w:rPr>
          <w:color w:val="000000"/>
          <w:sz w:val="28"/>
          <w:szCs w:val="28"/>
          <w:lang w:val="uk-UA"/>
        </w:rPr>
        <w:noBreakHyphen/>
        <w:t>факторів традиційні підходи до управління інвестиційною діяльністю втрачають ефективність. Натомість запропонована структурно</w:t>
      </w:r>
      <w:r w:rsidRPr="00B37265">
        <w:rPr>
          <w:color w:val="000000"/>
          <w:sz w:val="28"/>
          <w:szCs w:val="28"/>
          <w:lang w:val="uk-UA"/>
        </w:rPr>
        <w:noBreakHyphen/>
        <w:t xml:space="preserve">функціональна модель механізму забезпечує системне поєднання внутрішнього потенціалу підприємства з </w:t>
      </w:r>
      <w:r w:rsidRPr="00B37265">
        <w:rPr>
          <w:color w:val="000000"/>
          <w:sz w:val="28"/>
          <w:szCs w:val="28"/>
          <w:lang w:val="uk-UA"/>
        </w:rPr>
        <w:lastRenderedPageBreak/>
        <w:t>вимогами глобального інвестиційного середовища, що дозволяє формувати стійкі конкурентні переваги та підвищувати рівень довіри інвесторів.</w:t>
      </w:r>
    </w:p>
    <w:p w:rsidR="00B37265" w:rsidRPr="00711E9F" w:rsidRDefault="00B37265" w:rsidP="00B37265">
      <w:pPr>
        <w:pStyle w:val="a5"/>
        <w:spacing w:before="0" w:beforeAutospacing="0" w:after="0" w:afterAutospacing="0" w:line="360" w:lineRule="auto"/>
        <w:ind w:firstLine="709"/>
        <w:jc w:val="both"/>
        <w:rPr>
          <w:color w:val="000000"/>
          <w:sz w:val="28"/>
          <w:szCs w:val="28"/>
          <w:lang w:val="uk-UA"/>
        </w:rPr>
      </w:pPr>
      <w:r w:rsidRPr="00711E9F">
        <w:rPr>
          <w:color w:val="000000"/>
          <w:sz w:val="28"/>
          <w:szCs w:val="28"/>
          <w:lang w:val="uk-UA"/>
        </w:rPr>
        <w:t xml:space="preserve">У межах дослідження визначено ключові принципи функціонування механізму — стратегічної імперативності, інформаційної симетрії, синергії та динамічної адаптивності, які забезпечують його здатність до самокорекції та реагування на зміни зовнішнього середовища. Формалізовано економічний зміст механізму через моделі вартості підприємства, виробничої функції та інтегрального індексу інвестиційної привабливості, що дозволяє кількісно оцінювати ефективність управлінських рішень. Доведено, що центральним ядром механізму виступає процес формування вартості підприємства, який визначає здатність генерувати грошові потоки, оптимізувати структуру капіталу та забезпечувати довгострокове зростання. Таким чином, </w:t>
      </w:r>
      <w:r>
        <w:rPr>
          <w:color w:val="000000"/>
          <w:sz w:val="28"/>
          <w:szCs w:val="28"/>
          <w:lang w:val="uk-UA"/>
        </w:rPr>
        <w:t xml:space="preserve">сформовано </w:t>
      </w:r>
      <w:r w:rsidRPr="00711E9F">
        <w:rPr>
          <w:color w:val="000000"/>
          <w:sz w:val="28"/>
          <w:szCs w:val="28"/>
          <w:lang w:val="uk-UA"/>
        </w:rPr>
        <w:t>теоретико</w:t>
      </w:r>
      <w:r w:rsidRPr="00711E9F">
        <w:rPr>
          <w:color w:val="000000"/>
          <w:sz w:val="28"/>
          <w:szCs w:val="28"/>
          <w:lang w:val="uk-UA"/>
        </w:rPr>
        <w:noBreakHyphen/>
        <w:t>методологічний фундамент для подальшої розробки інструментів та алгоритмів реалізації механізму, що забезпечують трансформацію ресурсного потенціалу у зростання інвестиційної привабливості.</w:t>
      </w:r>
    </w:p>
    <w:p w:rsidR="00B37265" w:rsidRPr="00711E9F" w:rsidRDefault="00B37265" w:rsidP="00B37265">
      <w:pPr>
        <w:pStyle w:val="a5"/>
        <w:numPr>
          <w:ilvl w:val="0"/>
          <w:numId w:val="29"/>
        </w:numPr>
        <w:spacing w:before="0" w:beforeAutospacing="0" w:after="0" w:afterAutospacing="0" w:line="360" w:lineRule="auto"/>
        <w:ind w:left="0" w:firstLine="709"/>
        <w:jc w:val="both"/>
        <w:rPr>
          <w:color w:val="000000"/>
          <w:sz w:val="28"/>
          <w:szCs w:val="28"/>
          <w:lang w:val="uk-UA"/>
        </w:rPr>
      </w:pPr>
      <w:r>
        <w:rPr>
          <w:color w:val="000000"/>
          <w:sz w:val="28"/>
          <w:szCs w:val="28"/>
          <w:lang w:val="uk-UA"/>
        </w:rPr>
        <w:t>С</w:t>
      </w:r>
      <w:r w:rsidRPr="00711E9F">
        <w:rPr>
          <w:color w:val="000000"/>
          <w:sz w:val="28"/>
          <w:szCs w:val="28"/>
          <w:lang w:val="uk-UA"/>
        </w:rPr>
        <w:t>формовано комплексний інструментарій реалізації економічного механізму розвитку інвестиційної привабливості, який охоплює фінансово</w:t>
      </w:r>
      <w:r w:rsidRPr="00711E9F">
        <w:rPr>
          <w:color w:val="000000"/>
          <w:sz w:val="28"/>
          <w:szCs w:val="28"/>
          <w:lang w:val="uk-UA"/>
        </w:rPr>
        <w:noBreakHyphen/>
        <w:t>економічні, аналітичні, ризик</w:t>
      </w:r>
      <w:r w:rsidRPr="00711E9F">
        <w:rPr>
          <w:color w:val="000000"/>
          <w:sz w:val="28"/>
          <w:szCs w:val="28"/>
          <w:lang w:val="uk-UA"/>
        </w:rPr>
        <w:noBreakHyphen/>
        <w:t xml:space="preserve">орієнтовані, цифрові, </w:t>
      </w:r>
      <w:r w:rsidRPr="00275617">
        <w:rPr>
          <w:color w:val="000000"/>
          <w:sz w:val="28"/>
          <w:szCs w:val="28"/>
        </w:rPr>
        <w:t>ESG</w:t>
      </w:r>
      <w:r w:rsidRPr="00711E9F">
        <w:rPr>
          <w:color w:val="000000"/>
          <w:sz w:val="28"/>
          <w:szCs w:val="28"/>
          <w:lang w:val="uk-UA"/>
        </w:rPr>
        <w:t xml:space="preserve"> та інституційні інструменти. На основі реальних даних </w:t>
      </w:r>
      <w:r w:rsidRPr="00275617">
        <w:rPr>
          <w:color w:val="000000"/>
          <w:sz w:val="28"/>
          <w:szCs w:val="28"/>
        </w:rPr>
        <w:t>Kernel</w:t>
      </w:r>
      <w:r w:rsidRPr="00711E9F">
        <w:rPr>
          <w:color w:val="000000"/>
          <w:sz w:val="28"/>
          <w:szCs w:val="28"/>
          <w:lang w:val="uk-UA"/>
        </w:rPr>
        <w:t xml:space="preserve">, МХП та </w:t>
      </w:r>
      <w:r w:rsidRPr="00275617">
        <w:rPr>
          <w:color w:val="000000"/>
          <w:sz w:val="28"/>
          <w:szCs w:val="28"/>
        </w:rPr>
        <w:t>Astarta</w:t>
      </w:r>
      <w:r w:rsidRPr="00711E9F">
        <w:rPr>
          <w:color w:val="000000"/>
          <w:sz w:val="28"/>
          <w:szCs w:val="28"/>
          <w:lang w:val="uk-UA"/>
        </w:rPr>
        <w:t>-</w:t>
      </w:r>
      <w:r w:rsidRPr="00275617">
        <w:rPr>
          <w:color w:val="000000"/>
          <w:sz w:val="28"/>
          <w:szCs w:val="28"/>
        </w:rPr>
        <w:t>Kyiv</w:t>
      </w:r>
      <w:r w:rsidRPr="00711E9F">
        <w:rPr>
          <w:color w:val="000000"/>
          <w:sz w:val="28"/>
          <w:szCs w:val="28"/>
          <w:lang w:val="uk-UA"/>
        </w:rPr>
        <w:t xml:space="preserve"> за 2021–202</w:t>
      </w:r>
      <w:r>
        <w:rPr>
          <w:color w:val="000000"/>
          <w:sz w:val="28"/>
          <w:szCs w:val="28"/>
          <w:lang w:val="uk-UA"/>
        </w:rPr>
        <w:t>5</w:t>
      </w:r>
      <w:r w:rsidRPr="00711E9F">
        <w:rPr>
          <w:color w:val="000000"/>
          <w:sz w:val="28"/>
          <w:szCs w:val="28"/>
          <w:lang w:val="uk-UA"/>
        </w:rPr>
        <w:t xml:space="preserve"> рр. здійснено кількісну оцінку ключових параметрів формування вартості — грошових потоків, структури капіталу, вартості фінансових ресурсів та ризикового профілю. Розраховано </w:t>
      </w:r>
      <w:r w:rsidRPr="00275617">
        <w:rPr>
          <w:color w:val="000000"/>
          <w:sz w:val="28"/>
          <w:szCs w:val="28"/>
        </w:rPr>
        <w:t>WACC</w:t>
      </w:r>
      <w:r w:rsidRPr="00711E9F">
        <w:rPr>
          <w:color w:val="000000"/>
          <w:sz w:val="28"/>
          <w:szCs w:val="28"/>
          <w:lang w:val="uk-UA"/>
        </w:rPr>
        <w:t xml:space="preserve">, </w:t>
      </w:r>
      <w:r w:rsidRPr="00275617">
        <w:rPr>
          <w:color w:val="000000"/>
          <w:sz w:val="28"/>
          <w:szCs w:val="28"/>
        </w:rPr>
        <w:t>FCFF</w:t>
      </w:r>
      <w:r w:rsidRPr="00711E9F">
        <w:rPr>
          <w:color w:val="000000"/>
          <w:sz w:val="28"/>
          <w:szCs w:val="28"/>
          <w:lang w:val="uk-UA"/>
        </w:rPr>
        <w:t xml:space="preserve">, </w:t>
      </w:r>
      <w:r w:rsidRPr="00275617">
        <w:rPr>
          <w:color w:val="000000"/>
          <w:sz w:val="28"/>
          <w:szCs w:val="28"/>
        </w:rPr>
        <w:t>EVA</w:t>
      </w:r>
      <w:r w:rsidRPr="00711E9F">
        <w:rPr>
          <w:color w:val="000000"/>
          <w:sz w:val="28"/>
          <w:szCs w:val="28"/>
          <w:lang w:val="uk-UA"/>
        </w:rPr>
        <w:t xml:space="preserve"> та інтегральний індекс інвестиційної привабливості, що дозволило виявити суттєві відмінності у фінансовій стійкості та ефективності використання ресурсів між підприємствами. Доведено, що саме здатність генерувати стабільні грошові потоки та підтримувати оптимальне співвідношення власного і позикового капіталу визначає рівень інвестиційної привабливості в умовах високої невизначеності.</w:t>
      </w:r>
    </w:p>
    <w:p w:rsidR="00B37265" w:rsidRPr="00711E9F" w:rsidRDefault="00B37265" w:rsidP="00B37265">
      <w:pPr>
        <w:pStyle w:val="a5"/>
        <w:spacing w:before="0" w:beforeAutospacing="0" w:after="0" w:afterAutospacing="0" w:line="360" w:lineRule="auto"/>
        <w:ind w:firstLine="709"/>
        <w:jc w:val="both"/>
        <w:rPr>
          <w:color w:val="000000"/>
          <w:sz w:val="28"/>
          <w:szCs w:val="28"/>
          <w:lang w:val="uk-UA"/>
        </w:rPr>
      </w:pPr>
      <w:r w:rsidRPr="00711E9F">
        <w:rPr>
          <w:color w:val="000000"/>
          <w:sz w:val="28"/>
          <w:szCs w:val="28"/>
          <w:lang w:val="uk-UA"/>
        </w:rPr>
        <w:lastRenderedPageBreak/>
        <w:t>Результати аналізу засвідчили, що підприємства з нижчим рівнем боргового навантаження, вищою операційною ефективністю та більш прогнозованими грошовими потоками демонструють вищі значення інтегрального індексу інвестиційної привабливості. Водночас виявлено диспропорції між стратегічним потенціалом підприємств та фактичним рівнем його реалізації, що обумовлює необхідність впровадження інструментів оптимізації структури капіталу, підвищення ефективності операційної діяльності та зниження ризиковості. Запропонований інструментарій забезпечує можливість системного впливу на ключові драйвери вартості, формуючи підґрунтя для підвищення капіталізації підприємств та зміцнення їх позицій на інвестиційному ринку.</w:t>
      </w:r>
    </w:p>
    <w:p w:rsidR="00B37265" w:rsidRPr="00711E9F" w:rsidRDefault="00B37265" w:rsidP="00B37265">
      <w:pPr>
        <w:pStyle w:val="a5"/>
        <w:numPr>
          <w:ilvl w:val="0"/>
          <w:numId w:val="29"/>
        </w:numPr>
        <w:spacing w:before="0" w:beforeAutospacing="0" w:after="0" w:afterAutospacing="0" w:line="360" w:lineRule="auto"/>
        <w:ind w:left="0" w:firstLine="709"/>
        <w:jc w:val="both"/>
        <w:rPr>
          <w:color w:val="000000"/>
          <w:sz w:val="28"/>
          <w:szCs w:val="28"/>
          <w:lang w:val="uk-UA"/>
        </w:rPr>
      </w:pPr>
      <w:r>
        <w:rPr>
          <w:color w:val="000000"/>
          <w:sz w:val="28"/>
          <w:szCs w:val="28"/>
          <w:lang w:val="uk-UA"/>
        </w:rPr>
        <w:t>Р</w:t>
      </w:r>
      <w:r w:rsidRPr="00711E9F">
        <w:rPr>
          <w:color w:val="000000"/>
          <w:sz w:val="28"/>
          <w:szCs w:val="28"/>
          <w:lang w:val="uk-UA"/>
        </w:rPr>
        <w:t>озроблено алгоритм функціонування економічного механізму розвитку інвестиційної привабливості, який забезпечує практичну реалізацію концептуальних положень та інструментального забезпечення, сформованих у попередніх підрозділах. Алгоритм включає послідовні етапи діагностики, стратегічного планування, ресурсного забезпечення, операційної реалізації та моніторингу результатів, що дозволяє забезпечити циклічність, адаптивність та безперервне вдосконалення управлінських рішень. Особливу увагу приділено інтеграції інструментів управління грошовими потоками, структурою капіталу та ризиками, що забезпечує узгоджений вплив на ключові параметри формування вартості підприємства.</w:t>
      </w:r>
    </w:p>
    <w:p w:rsidR="009C275C" w:rsidRDefault="00B37265" w:rsidP="005C38DA">
      <w:pPr>
        <w:pStyle w:val="a5"/>
        <w:spacing w:before="0" w:beforeAutospacing="0" w:after="0" w:afterAutospacing="0" w:line="360" w:lineRule="auto"/>
        <w:ind w:firstLine="709"/>
        <w:jc w:val="both"/>
        <w:rPr>
          <w:color w:val="000000"/>
          <w:sz w:val="28"/>
          <w:szCs w:val="28"/>
          <w:lang w:val="uk-UA"/>
        </w:rPr>
      </w:pPr>
      <w:r w:rsidRPr="00711E9F">
        <w:rPr>
          <w:color w:val="000000"/>
          <w:sz w:val="28"/>
          <w:szCs w:val="28"/>
          <w:lang w:val="uk-UA"/>
        </w:rPr>
        <w:t xml:space="preserve">Алгоритм базується на застосуванні </w:t>
      </w:r>
      <w:r w:rsidRPr="00275617">
        <w:rPr>
          <w:color w:val="000000"/>
          <w:sz w:val="28"/>
          <w:szCs w:val="28"/>
        </w:rPr>
        <w:t>PDCA</w:t>
      </w:r>
      <w:r w:rsidRPr="00711E9F">
        <w:rPr>
          <w:color w:val="000000"/>
          <w:sz w:val="28"/>
          <w:szCs w:val="28"/>
          <w:lang w:val="uk-UA"/>
        </w:rPr>
        <w:noBreakHyphen/>
        <w:t xml:space="preserve">циклу, що забезпечує можливість оперативного коригування управлінських рішень відповідно до змін зовнішнього середовища та внутрішніх параметрів діяльності. Доведено, що реалізація алгоритму сприяє зростанню грошових потоків, зниженню вартості капіталу, підвищенню фінансової стійкості та зменшенню ризиковості діяльності, що у сукупності забезпечує зростання ринкової вартості підприємства та підвищення його інвестиційної привабливості. </w:t>
      </w:r>
      <w:r w:rsidR="009C275C">
        <w:rPr>
          <w:color w:val="000000"/>
          <w:sz w:val="28"/>
          <w:szCs w:val="28"/>
          <w:lang w:val="uk-UA"/>
        </w:rPr>
        <w:br w:type="page"/>
      </w:r>
    </w:p>
    <w:p w:rsidR="009C275C" w:rsidRDefault="009C275C" w:rsidP="00566A83">
      <w:pPr>
        <w:shd w:val="clear" w:color="auto" w:fill="FFFFFF"/>
        <w:spacing w:after="0" w:line="360" w:lineRule="auto"/>
        <w:ind w:firstLine="709"/>
        <w:jc w:val="center"/>
        <w:rPr>
          <w:rFonts w:ascii="Times New Roman" w:eastAsia="Aptos" w:hAnsi="Times New Roman"/>
          <w:b/>
          <w:bCs/>
          <w:sz w:val="28"/>
          <w:szCs w:val="28"/>
          <w:lang w:val="uk-UA"/>
        </w:rPr>
      </w:pPr>
      <w:r w:rsidRPr="0061323F">
        <w:rPr>
          <w:rFonts w:ascii="Times New Roman" w:eastAsia="Aptos" w:hAnsi="Times New Roman"/>
          <w:b/>
          <w:bCs/>
          <w:sz w:val="28"/>
          <w:szCs w:val="28"/>
          <w:lang w:val="uk-UA"/>
        </w:rPr>
        <w:lastRenderedPageBreak/>
        <w:t>ВИСНОВКИ</w:t>
      </w:r>
    </w:p>
    <w:p w:rsidR="00566A83" w:rsidRPr="0061323F" w:rsidRDefault="00566A83" w:rsidP="00566A83">
      <w:pPr>
        <w:shd w:val="clear" w:color="auto" w:fill="FFFFFF"/>
        <w:spacing w:after="0" w:line="360" w:lineRule="auto"/>
        <w:ind w:firstLine="709"/>
        <w:jc w:val="center"/>
        <w:rPr>
          <w:rFonts w:ascii="Times New Roman" w:eastAsia="Times New Roman" w:hAnsi="Times New Roman"/>
          <w:sz w:val="28"/>
          <w:szCs w:val="28"/>
          <w:lang w:val="uk-UA" w:eastAsia="de-DE"/>
        </w:rPr>
      </w:pPr>
    </w:p>
    <w:p w:rsidR="009C275C" w:rsidRPr="0019142E" w:rsidRDefault="009C275C" w:rsidP="00566A83">
      <w:pPr>
        <w:shd w:val="clear" w:color="auto" w:fill="FFFFFF"/>
        <w:spacing w:after="0" w:line="360" w:lineRule="auto"/>
        <w:ind w:firstLine="709"/>
        <w:jc w:val="both"/>
        <w:rPr>
          <w:rFonts w:ascii="Times New Roman" w:eastAsia="Times New Roman" w:hAnsi="Times New Roman"/>
          <w:sz w:val="28"/>
          <w:szCs w:val="28"/>
          <w:shd w:val="clear" w:color="auto" w:fill="FFFFFF"/>
          <w:lang w:val="uk-UA" w:eastAsia="ru-RU"/>
        </w:rPr>
      </w:pPr>
      <w:r w:rsidRPr="0061323F">
        <w:rPr>
          <w:rFonts w:ascii="Times New Roman" w:eastAsia="Times New Roman" w:hAnsi="Times New Roman"/>
          <w:sz w:val="28"/>
          <w:szCs w:val="28"/>
          <w:shd w:val="clear" w:color="auto" w:fill="FFFFFF"/>
          <w:lang w:val="uk-UA" w:eastAsia="ru-RU"/>
        </w:rPr>
        <w:t xml:space="preserve">У дисертаційній роботі здійснено комплексне теоретичне узагальнення та запропоновано науково обґрунтоване вирішення актуального наукового завдання щодо </w:t>
      </w:r>
      <w:r w:rsidRPr="00912C73">
        <w:rPr>
          <w:rFonts w:ascii="Times New Roman" w:hAnsi="Times New Roman"/>
          <w:sz w:val="28"/>
          <w:szCs w:val="28"/>
          <w:lang w:val="uk-UA"/>
        </w:rPr>
        <w:t xml:space="preserve">формування </w:t>
      </w:r>
      <w:r w:rsidRPr="001878F2">
        <w:rPr>
          <w:rStyle w:val="docdata"/>
          <w:rFonts w:ascii="Times New Roman" w:hAnsi="Times New Roman"/>
          <w:color w:val="000000"/>
          <w:sz w:val="28"/>
          <w:szCs w:val="28"/>
          <w:lang w:val="uk-UA"/>
        </w:rPr>
        <w:t>економічн</w:t>
      </w:r>
      <w:r>
        <w:rPr>
          <w:rStyle w:val="docdata"/>
          <w:rFonts w:ascii="Times New Roman" w:hAnsi="Times New Roman"/>
          <w:color w:val="000000"/>
          <w:sz w:val="28"/>
          <w:szCs w:val="28"/>
          <w:lang w:val="uk-UA"/>
        </w:rPr>
        <w:t>ого</w:t>
      </w:r>
      <w:r w:rsidRPr="001878F2">
        <w:rPr>
          <w:rStyle w:val="docdata"/>
          <w:rFonts w:ascii="Times New Roman" w:hAnsi="Times New Roman"/>
          <w:color w:val="000000"/>
          <w:sz w:val="28"/>
          <w:szCs w:val="28"/>
          <w:lang w:val="uk-UA"/>
        </w:rPr>
        <w:t xml:space="preserve"> механізм</w:t>
      </w:r>
      <w:r>
        <w:rPr>
          <w:rStyle w:val="docdata"/>
          <w:rFonts w:ascii="Times New Roman" w:hAnsi="Times New Roman"/>
          <w:color w:val="000000"/>
          <w:sz w:val="28"/>
          <w:szCs w:val="28"/>
          <w:lang w:val="uk-UA"/>
        </w:rPr>
        <w:t>у</w:t>
      </w:r>
      <w:r w:rsidRPr="001878F2">
        <w:rPr>
          <w:rStyle w:val="docdata"/>
          <w:rFonts w:ascii="Times New Roman" w:hAnsi="Times New Roman"/>
          <w:color w:val="000000"/>
          <w:sz w:val="28"/>
          <w:szCs w:val="28"/>
          <w:lang w:val="uk-UA"/>
        </w:rPr>
        <w:t xml:space="preserve"> розвитку інвестиційної привабливості сільськогосподарських підприємств</w:t>
      </w:r>
      <w:r w:rsidRPr="0061323F">
        <w:rPr>
          <w:rFonts w:ascii="Times New Roman" w:eastAsia="Times New Roman" w:hAnsi="Times New Roman"/>
          <w:sz w:val="28"/>
          <w:szCs w:val="28"/>
          <w:shd w:val="clear" w:color="auto" w:fill="FFFFFF"/>
          <w:lang w:val="uk-UA" w:eastAsia="ru-RU"/>
        </w:rPr>
        <w:t xml:space="preserve"> в умовах посилення екологічних викликів, трансформації економічного середовища та імплементації принципів сталого розвитку й </w:t>
      </w:r>
      <w:r w:rsidRPr="0061323F">
        <w:rPr>
          <w:rFonts w:ascii="Times New Roman" w:eastAsia="Times New Roman" w:hAnsi="Times New Roman"/>
          <w:sz w:val="28"/>
          <w:szCs w:val="28"/>
          <w:shd w:val="clear" w:color="auto" w:fill="FFFFFF"/>
          <w:lang w:eastAsia="ru-RU"/>
        </w:rPr>
        <w:t>ESG</w:t>
      </w:r>
      <w:r w:rsidRPr="0061323F">
        <w:rPr>
          <w:rFonts w:ascii="Times New Roman" w:eastAsia="Times New Roman" w:hAnsi="Times New Roman"/>
          <w:sz w:val="28"/>
          <w:szCs w:val="28"/>
          <w:shd w:val="clear" w:color="auto" w:fill="FFFFFF"/>
          <w:lang w:val="uk-UA" w:eastAsia="ru-RU"/>
        </w:rPr>
        <w:t>-</w:t>
      </w:r>
      <w:r w:rsidRPr="0019142E">
        <w:rPr>
          <w:rFonts w:ascii="Times New Roman" w:eastAsia="Times New Roman" w:hAnsi="Times New Roman"/>
          <w:sz w:val="28"/>
          <w:szCs w:val="28"/>
          <w:shd w:val="clear" w:color="auto" w:fill="FFFFFF"/>
          <w:lang w:val="uk-UA" w:eastAsia="ru-RU"/>
        </w:rPr>
        <w:t xml:space="preserve">орієнтації. Узагальнення теоретичних положень, результати порівняльного аналізу динаміки розвитку аграрного сектору, оцінювання діяльності провідних </w:t>
      </w:r>
      <w:r w:rsidRPr="001878F2">
        <w:rPr>
          <w:rStyle w:val="docdata"/>
          <w:rFonts w:ascii="Times New Roman" w:hAnsi="Times New Roman"/>
          <w:color w:val="000000"/>
          <w:sz w:val="28"/>
          <w:szCs w:val="28"/>
          <w:lang w:val="uk-UA"/>
        </w:rPr>
        <w:t>сільськогосподарських підприємств</w:t>
      </w:r>
      <w:r w:rsidRPr="0019142E">
        <w:rPr>
          <w:rFonts w:ascii="Times New Roman" w:eastAsia="Times New Roman" w:hAnsi="Times New Roman"/>
          <w:sz w:val="28"/>
          <w:szCs w:val="28"/>
          <w:shd w:val="clear" w:color="auto" w:fill="FFFFFF"/>
          <w:lang w:val="uk-UA" w:eastAsia="ru-RU"/>
        </w:rPr>
        <w:t xml:space="preserve"> та розроблення методичного й інструментального забезпечення стратегічного управління дозволили сформувати цілісну концепцію модернізації екологічно орієнтованого розвитку </w:t>
      </w:r>
      <w:r w:rsidRPr="001878F2">
        <w:rPr>
          <w:rStyle w:val="docdata"/>
          <w:rFonts w:ascii="Times New Roman" w:hAnsi="Times New Roman"/>
          <w:color w:val="000000"/>
          <w:sz w:val="28"/>
          <w:szCs w:val="28"/>
          <w:lang w:val="uk-UA"/>
        </w:rPr>
        <w:t>сільськогосподарських підприємств</w:t>
      </w:r>
      <w:r w:rsidRPr="0019142E">
        <w:rPr>
          <w:rFonts w:ascii="Times New Roman" w:eastAsia="Times New Roman" w:hAnsi="Times New Roman"/>
          <w:sz w:val="28"/>
          <w:szCs w:val="28"/>
          <w:shd w:val="clear" w:color="auto" w:fill="FFFFFF"/>
          <w:lang w:val="uk-UA" w:eastAsia="ru-RU"/>
        </w:rPr>
        <w:t>. За результатами проведеного дослідження зроблені наступні висновки</w:t>
      </w:r>
      <w:r>
        <w:t>.</w:t>
      </w:r>
    </w:p>
    <w:p w:rsidR="009C275C" w:rsidRPr="0019142E" w:rsidRDefault="009C275C" w:rsidP="00566A83">
      <w:pPr>
        <w:pStyle w:val="a6"/>
        <w:numPr>
          <w:ilvl w:val="1"/>
          <w:numId w:val="32"/>
        </w:numPr>
        <w:tabs>
          <w:tab w:val="left" w:pos="1134"/>
        </w:tabs>
        <w:spacing w:after="0" w:line="360" w:lineRule="auto"/>
        <w:ind w:left="0" w:firstLine="709"/>
        <w:contextualSpacing w:val="0"/>
        <w:jc w:val="both"/>
        <w:rPr>
          <w:rFonts w:ascii="Times New Roman" w:hAnsi="Times New Roman"/>
          <w:sz w:val="28"/>
          <w:szCs w:val="28"/>
          <w:shd w:val="clear" w:color="auto" w:fill="FFFFFF"/>
          <w:lang w:val="uk-UA"/>
        </w:rPr>
      </w:pPr>
      <w:r w:rsidRPr="0019142E">
        <w:rPr>
          <w:rFonts w:ascii="Times New Roman" w:hAnsi="Times New Roman"/>
          <w:sz w:val="28"/>
          <w:szCs w:val="28"/>
          <w:shd w:val="clear" w:color="auto" w:fill="FFFFFF"/>
          <w:lang w:val="uk-UA"/>
        </w:rPr>
        <w:t>Теоретичну основу дослідження становить узагальнення економічної сутності, зміни критеріїв оцінювання та сучасного поєднання фінансово-інвестиційних, ризикових, вартісних і ESG-підходів до інвестиційної привабливості сільськогосподарських підприємств, що дозволило забезпечить експертизу інвестиційної привабливості та  побудови прогнозів. Простежено синтез методів оцінки життєздатності інвестиційної привабливості: інвестування коштів</w:t>
      </w:r>
      <w:r>
        <w:rPr>
          <w:rFonts w:ascii="Times New Roman" w:hAnsi="Times New Roman"/>
          <w:sz w:val="28"/>
          <w:szCs w:val="28"/>
          <w:shd w:val="clear" w:color="auto" w:fill="FFFFFF"/>
          <w:lang w:val="uk-UA"/>
        </w:rPr>
        <w:t xml:space="preserve">; </w:t>
      </w:r>
      <w:r w:rsidRPr="0019142E">
        <w:rPr>
          <w:rFonts w:ascii="Times New Roman" w:hAnsi="Times New Roman"/>
          <w:sz w:val="28"/>
          <w:szCs w:val="28"/>
          <w:shd w:val="clear" w:color="auto" w:fill="FFFFFF"/>
          <w:lang w:val="uk-UA"/>
        </w:rPr>
        <w:t>вкладення коштів через спеціалізовані інвестиційні фонди. Уточнення змісту поняття реалізується за рахунок формування та управління  портфелем агрокомпаній, модернізацію, розширення земельного банку; придбання сільськогосподарської техніки, обладнання, земельних ділянок у л</w:t>
      </w:r>
      <w:r>
        <w:rPr>
          <w:rFonts w:ascii="Times New Roman" w:hAnsi="Times New Roman"/>
          <w:sz w:val="28"/>
          <w:szCs w:val="28"/>
          <w:shd w:val="clear" w:color="auto" w:fill="FFFFFF"/>
          <w:lang w:val="uk-UA"/>
        </w:rPr>
        <w:t>ізинг</w:t>
      </w:r>
      <w:r w:rsidRPr="0019142E">
        <w:rPr>
          <w:rFonts w:ascii="Times New Roman" w:hAnsi="Times New Roman"/>
          <w:sz w:val="28"/>
          <w:szCs w:val="28"/>
          <w:shd w:val="clear" w:color="auto" w:fill="FFFFFF"/>
          <w:lang w:val="uk-UA"/>
        </w:rPr>
        <w:t>; грантового фінансування та державної підтримки (купівля майбутнього врожаю (форвардні контракти)</w:t>
      </w:r>
      <w:r>
        <w:rPr>
          <w:rFonts w:ascii="Times New Roman" w:hAnsi="Times New Roman"/>
          <w:sz w:val="28"/>
          <w:szCs w:val="28"/>
          <w:shd w:val="clear" w:color="auto" w:fill="FFFFFF"/>
          <w:lang w:val="uk-UA"/>
        </w:rPr>
        <w:t xml:space="preserve"> </w:t>
      </w:r>
      <w:r w:rsidRPr="00625F6D">
        <w:rPr>
          <w:rFonts w:ascii="Times New Roman" w:hAnsi="Times New Roman"/>
          <w:sz w:val="28"/>
          <w:szCs w:val="28"/>
          <w:lang w:val="uk-UA"/>
        </w:rPr>
        <w:t>для забезпечення оборотності коштів; створення регіональних інвестиційних корпорацій)</w:t>
      </w:r>
      <w:r w:rsidRPr="0019142E">
        <w:rPr>
          <w:rFonts w:ascii="Times New Roman" w:hAnsi="Times New Roman"/>
          <w:sz w:val="28"/>
          <w:szCs w:val="28"/>
          <w:shd w:val="clear" w:color="auto" w:fill="FFFFFF"/>
          <w:lang w:val="uk-UA"/>
        </w:rPr>
        <w:t xml:space="preserve">. </w:t>
      </w:r>
    </w:p>
    <w:p w:rsidR="009C275C" w:rsidRPr="0019142E" w:rsidRDefault="009C275C" w:rsidP="00566A83">
      <w:pPr>
        <w:pStyle w:val="a6"/>
        <w:numPr>
          <w:ilvl w:val="1"/>
          <w:numId w:val="32"/>
        </w:numPr>
        <w:tabs>
          <w:tab w:val="left" w:pos="1134"/>
        </w:tabs>
        <w:spacing w:after="0" w:line="360" w:lineRule="auto"/>
        <w:ind w:left="0" w:firstLine="709"/>
        <w:contextualSpacing w:val="0"/>
        <w:jc w:val="both"/>
        <w:rPr>
          <w:rFonts w:ascii="Times New Roman" w:hAnsi="Times New Roman"/>
          <w:spacing w:val="-4"/>
          <w:sz w:val="28"/>
          <w:szCs w:val="28"/>
          <w:lang w:val="uk-UA"/>
        </w:rPr>
      </w:pPr>
      <w:r w:rsidRPr="0019142E">
        <w:rPr>
          <w:rFonts w:ascii="Times New Roman" w:hAnsi="Times New Roman"/>
          <w:sz w:val="28"/>
          <w:szCs w:val="28"/>
          <w:shd w:val="clear" w:color="auto" w:fill="FFFFFF"/>
          <w:lang w:val="uk-UA"/>
        </w:rPr>
        <w:lastRenderedPageBreak/>
        <w:t xml:space="preserve">Основними стимулюючими чинниками розвитку </w:t>
      </w:r>
      <w:r w:rsidRPr="00625F6D">
        <w:rPr>
          <w:rFonts w:ascii="Times New Roman" w:hAnsi="Times New Roman"/>
          <w:sz w:val="28"/>
          <w:szCs w:val="28"/>
          <w:lang w:val="uk-UA"/>
        </w:rPr>
        <w:t>інвестиційної привабливості сільськогосподарських підприємств</w:t>
      </w:r>
      <w:r w:rsidRPr="0019142E">
        <w:rPr>
          <w:rFonts w:ascii="Times New Roman" w:hAnsi="Times New Roman"/>
          <w:spacing w:val="-4"/>
          <w:sz w:val="28"/>
          <w:szCs w:val="28"/>
          <w:shd w:val="clear" w:color="auto" w:fill="FFFFFF"/>
          <w:lang w:val="uk-UA"/>
        </w:rPr>
        <w:t xml:space="preserve"> </w:t>
      </w:r>
      <w:r>
        <w:rPr>
          <w:rFonts w:ascii="Times New Roman" w:hAnsi="Times New Roman"/>
          <w:spacing w:val="-4"/>
          <w:sz w:val="28"/>
          <w:szCs w:val="28"/>
          <w:shd w:val="clear" w:color="auto" w:fill="FFFFFF"/>
          <w:lang w:val="uk-UA"/>
        </w:rPr>
        <w:t xml:space="preserve">є </w:t>
      </w:r>
      <w:r w:rsidRPr="00625F6D">
        <w:rPr>
          <w:rFonts w:ascii="Times New Roman" w:hAnsi="Times New Roman"/>
          <w:sz w:val="28"/>
          <w:szCs w:val="28"/>
          <w:lang w:val="uk-UA"/>
        </w:rPr>
        <w:t>створення екосистеми для підвищення фінансової стійкості, сталого розвитку та гарантує окупність інвестицій</w:t>
      </w:r>
      <w:r w:rsidRPr="0019142E">
        <w:rPr>
          <w:rFonts w:ascii="Times New Roman" w:hAnsi="Times New Roman"/>
          <w:spacing w:val="-4"/>
          <w:sz w:val="28"/>
          <w:szCs w:val="28"/>
          <w:shd w:val="clear" w:color="auto" w:fill="FFFFFF"/>
          <w:lang w:val="uk-UA"/>
        </w:rPr>
        <w:t xml:space="preserve">. Обґрунтування даного </w:t>
      </w:r>
      <w:r>
        <w:rPr>
          <w:rFonts w:ascii="Times New Roman" w:hAnsi="Times New Roman"/>
          <w:spacing w:val="-4"/>
          <w:sz w:val="28"/>
          <w:szCs w:val="28"/>
          <w:shd w:val="clear" w:color="auto" w:fill="FFFFFF"/>
          <w:lang w:val="uk-UA"/>
        </w:rPr>
        <w:t xml:space="preserve">твердження </w:t>
      </w:r>
      <w:r w:rsidRPr="0019142E">
        <w:rPr>
          <w:rFonts w:ascii="Times New Roman" w:hAnsi="Times New Roman"/>
          <w:spacing w:val="-4"/>
          <w:sz w:val="28"/>
          <w:szCs w:val="28"/>
          <w:shd w:val="clear" w:color="auto" w:fill="FFFFFF"/>
          <w:lang w:val="uk-UA"/>
        </w:rPr>
        <w:t xml:space="preserve">базується на </w:t>
      </w:r>
      <w:r w:rsidRPr="00625F6D">
        <w:rPr>
          <w:rFonts w:ascii="Times New Roman" w:hAnsi="Times New Roman"/>
          <w:sz w:val="28"/>
          <w:szCs w:val="28"/>
          <w:lang w:val="uk-UA"/>
        </w:rPr>
        <w:t>концептуальній моделі</w:t>
      </w:r>
      <w:r w:rsidRPr="0019142E">
        <w:rPr>
          <w:rFonts w:ascii="Times New Roman" w:hAnsi="Times New Roman"/>
          <w:spacing w:val="-4"/>
          <w:sz w:val="28"/>
          <w:szCs w:val="28"/>
          <w:shd w:val="clear" w:color="auto" w:fill="FFFFFF"/>
          <w:lang w:val="uk-UA"/>
        </w:rPr>
        <w:t>. Встановлен</w:t>
      </w:r>
      <w:r>
        <w:rPr>
          <w:rFonts w:ascii="Times New Roman" w:hAnsi="Times New Roman"/>
          <w:spacing w:val="-4"/>
          <w:sz w:val="28"/>
          <w:szCs w:val="28"/>
          <w:shd w:val="clear" w:color="auto" w:fill="FFFFFF"/>
          <w:lang w:val="uk-UA"/>
        </w:rPr>
        <w:t xml:space="preserve">а реалізація за рахунок </w:t>
      </w:r>
      <w:r w:rsidRPr="00625F6D">
        <w:rPr>
          <w:rFonts w:ascii="Times New Roman" w:hAnsi="Times New Roman"/>
          <w:sz w:val="28"/>
          <w:szCs w:val="28"/>
          <w:lang w:val="uk-UA"/>
        </w:rPr>
        <w:t>фінансово-економічн</w:t>
      </w:r>
      <w:r>
        <w:rPr>
          <w:rFonts w:ascii="Times New Roman" w:hAnsi="Times New Roman"/>
          <w:sz w:val="28"/>
          <w:szCs w:val="28"/>
          <w:lang w:val="uk-UA"/>
        </w:rPr>
        <w:t>ого</w:t>
      </w:r>
      <w:r w:rsidRPr="00625F6D">
        <w:rPr>
          <w:rFonts w:ascii="Times New Roman" w:hAnsi="Times New Roman"/>
          <w:sz w:val="28"/>
          <w:szCs w:val="28"/>
          <w:lang w:val="uk-UA"/>
        </w:rPr>
        <w:t xml:space="preserve"> блок</w:t>
      </w:r>
      <w:r>
        <w:rPr>
          <w:rFonts w:ascii="Times New Roman" w:hAnsi="Times New Roman"/>
          <w:sz w:val="28"/>
          <w:szCs w:val="28"/>
          <w:lang w:val="uk-UA"/>
        </w:rPr>
        <w:t>у</w:t>
      </w:r>
      <w:r w:rsidRPr="00625F6D">
        <w:rPr>
          <w:rFonts w:ascii="Times New Roman" w:hAnsi="Times New Roman"/>
          <w:sz w:val="28"/>
          <w:szCs w:val="28"/>
          <w:lang w:val="uk-UA"/>
        </w:rPr>
        <w:t>; показник</w:t>
      </w:r>
      <w:r>
        <w:rPr>
          <w:rFonts w:ascii="Times New Roman" w:hAnsi="Times New Roman"/>
          <w:sz w:val="28"/>
          <w:szCs w:val="28"/>
          <w:lang w:val="uk-UA"/>
        </w:rPr>
        <w:t>ів</w:t>
      </w:r>
      <w:r w:rsidRPr="00625F6D">
        <w:rPr>
          <w:rFonts w:ascii="Times New Roman" w:hAnsi="Times New Roman"/>
          <w:sz w:val="28"/>
          <w:szCs w:val="28"/>
          <w:lang w:val="uk-UA"/>
        </w:rPr>
        <w:t>, що характеризують дивідендну політику підприємства; виробничо-технологічний блок (будівництво, розширення, реконструкція, технічне переозброєння об'єктів виробничого та невиробничого призначення; придбанн</w:t>
      </w:r>
      <w:r>
        <w:rPr>
          <w:rFonts w:ascii="Times New Roman" w:hAnsi="Times New Roman"/>
          <w:sz w:val="28"/>
          <w:szCs w:val="28"/>
          <w:lang w:val="uk-UA"/>
        </w:rPr>
        <w:t>я рухомого та нерухомого майна</w:t>
      </w:r>
      <w:r w:rsidRPr="00625F6D">
        <w:rPr>
          <w:rFonts w:ascii="Times New Roman" w:hAnsi="Times New Roman"/>
          <w:sz w:val="28"/>
          <w:szCs w:val="28"/>
          <w:lang w:val="uk-UA"/>
        </w:rPr>
        <w:t>); управлінськ</w:t>
      </w:r>
      <w:r>
        <w:rPr>
          <w:rFonts w:ascii="Times New Roman" w:hAnsi="Times New Roman"/>
          <w:sz w:val="28"/>
          <w:szCs w:val="28"/>
          <w:lang w:val="uk-UA"/>
        </w:rPr>
        <w:t>ого</w:t>
      </w:r>
      <w:r w:rsidRPr="00625F6D">
        <w:rPr>
          <w:rFonts w:ascii="Times New Roman" w:hAnsi="Times New Roman"/>
          <w:sz w:val="28"/>
          <w:szCs w:val="28"/>
          <w:lang w:val="uk-UA"/>
        </w:rPr>
        <w:t xml:space="preserve"> блок</w:t>
      </w:r>
      <w:r>
        <w:rPr>
          <w:rFonts w:ascii="Times New Roman" w:hAnsi="Times New Roman"/>
          <w:sz w:val="28"/>
          <w:szCs w:val="28"/>
          <w:lang w:val="uk-UA"/>
        </w:rPr>
        <w:t>у</w:t>
      </w:r>
      <w:r w:rsidRPr="00625F6D">
        <w:rPr>
          <w:rFonts w:ascii="Times New Roman" w:hAnsi="Times New Roman"/>
          <w:sz w:val="28"/>
          <w:szCs w:val="28"/>
          <w:lang w:val="uk-UA"/>
        </w:rPr>
        <w:t xml:space="preserve"> (показники організаційно-технічного та кадрового рівня підприємства; показники використання ресурсів для підприємства); зовнішн</w:t>
      </w:r>
      <w:r>
        <w:rPr>
          <w:rFonts w:ascii="Times New Roman" w:hAnsi="Times New Roman"/>
          <w:sz w:val="28"/>
          <w:szCs w:val="28"/>
          <w:lang w:val="uk-UA"/>
        </w:rPr>
        <w:t>ього</w:t>
      </w:r>
      <w:r w:rsidRPr="00625F6D">
        <w:rPr>
          <w:rFonts w:ascii="Times New Roman" w:hAnsi="Times New Roman"/>
          <w:sz w:val="28"/>
          <w:szCs w:val="28"/>
          <w:lang w:val="uk-UA"/>
        </w:rPr>
        <w:t xml:space="preserve"> блок</w:t>
      </w:r>
      <w:r>
        <w:rPr>
          <w:rFonts w:ascii="Times New Roman" w:hAnsi="Times New Roman"/>
          <w:sz w:val="28"/>
          <w:szCs w:val="28"/>
          <w:lang w:val="uk-UA"/>
        </w:rPr>
        <w:t>у</w:t>
      </w:r>
      <w:r w:rsidRPr="00625F6D">
        <w:rPr>
          <w:rFonts w:ascii="Times New Roman" w:hAnsi="Times New Roman"/>
          <w:sz w:val="28"/>
          <w:szCs w:val="28"/>
          <w:lang w:val="uk-UA"/>
        </w:rPr>
        <w:t xml:space="preserve"> (можливості реагування на зміну ринкового попиту; показники ринкового стану та конкурентоспроможності продукції підприємства)</w:t>
      </w:r>
      <w:r>
        <w:rPr>
          <w:rFonts w:ascii="Times New Roman" w:hAnsi="Times New Roman"/>
          <w:sz w:val="28"/>
          <w:szCs w:val="28"/>
          <w:lang w:val="uk-UA"/>
        </w:rPr>
        <w:t>.</w:t>
      </w:r>
    </w:p>
    <w:p w:rsidR="009C275C" w:rsidRPr="0019142E" w:rsidRDefault="009C275C" w:rsidP="00566A83">
      <w:pPr>
        <w:pStyle w:val="a6"/>
        <w:numPr>
          <w:ilvl w:val="1"/>
          <w:numId w:val="32"/>
        </w:numPr>
        <w:tabs>
          <w:tab w:val="left" w:pos="1134"/>
        </w:tabs>
        <w:spacing w:after="0" w:line="360" w:lineRule="auto"/>
        <w:ind w:left="0" w:firstLine="709"/>
        <w:contextualSpacing w:val="0"/>
        <w:jc w:val="both"/>
        <w:rPr>
          <w:rFonts w:ascii="Times New Roman" w:hAnsi="Times New Roman"/>
          <w:sz w:val="28"/>
          <w:szCs w:val="28"/>
          <w:lang w:val="uk-UA"/>
        </w:rPr>
      </w:pPr>
      <w:r>
        <w:rPr>
          <w:rFonts w:ascii="Times New Roman" w:hAnsi="Times New Roman"/>
          <w:sz w:val="28"/>
          <w:szCs w:val="28"/>
          <w:lang w:val="uk-UA"/>
        </w:rPr>
        <w:t>К</w:t>
      </w:r>
      <w:r w:rsidRPr="00625F6D">
        <w:rPr>
          <w:rFonts w:ascii="Times New Roman" w:hAnsi="Times New Roman"/>
          <w:sz w:val="28"/>
          <w:szCs w:val="28"/>
          <w:lang w:val="uk-UA"/>
        </w:rPr>
        <w:t>огнітивне моделювання розвитку інвестиційної привабливості сільськогосподарських підприємств</w:t>
      </w:r>
      <w:r w:rsidRPr="0019142E">
        <w:rPr>
          <w:rFonts w:ascii="Times New Roman" w:hAnsi="Times New Roman"/>
          <w:sz w:val="28"/>
          <w:szCs w:val="28"/>
          <w:shd w:val="clear" w:color="auto" w:fill="FFFFFF"/>
          <w:lang w:val="uk-UA"/>
        </w:rPr>
        <w:t xml:space="preserve"> є багаторівневою системою, що </w:t>
      </w:r>
      <w:r w:rsidRPr="00625F6D">
        <w:rPr>
          <w:rFonts w:ascii="Times New Roman" w:hAnsi="Times New Roman"/>
          <w:sz w:val="28"/>
          <w:szCs w:val="28"/>
          <w:lang w:val="uk-UA"/>
        </w:rPr>
        <w:t>базується на інтеграції методики UNIDO у архітектуру управління</w:t>
      </w:r>
      <w:r w:rsidRPr="0019142E">
        <w:rPr>
          <w:rFonts w:ascii="Times New Roman" w:hAnsi="Times New Roman"/>
          <w:sz w:val="28"/>
          <w:szCs w:val="28"/>
          <w:shd w:val="clear" w:color="auto" w:fill="FFFFFF"/>
          <w:lang w:val="uk-UA"/>
        </w:rPr>
        <w:t xml:space="preserve">. </w:t>
      </w:r>
      <w:r>
        <w:rPr>
          <w:rFonts w:ascii="Times New Roman" w:hAnsi="Times New Roman"/>
          <w:sz w:val="28"/>
          <w:szCs w:val="28"/>
          <w:lang w:val="uk-UA"/>
        </w:rPr>
        <w:t>Р</w:t>
      </w:r>
      <w:r w:rsidRPr="00625F6D">
        <w:rPr>
          <w:rFonts w:ascii="Times New Roman" w:hAnsi="Times New Roman"/>
          <w:sz w:val="28"/>
          <w:szCs w:val="28"/>
          <w:lang w:val="uk-UA"/>
        </w:rPr>
        <w:t>еалізує алгоритм багатокритеріальної оцінки прийняття рішень у процесі формування інвестиційної привабливості підприємств</w:t>
      </w:r>
      <w:r>
        <w:rPr>
          <w:rFonts w:ascii="Times New Roman" w:hAnsi="Times New Roman"/>
          <w:sz w:val="28"/>
          <w:szCs w:val="28"/>
          <w:shd w:val="clear" w:color="auto" w:fill="FFFFFF"/>
          <w:lang w:val="uk-UA"/>
        </w:rPr>
        <w:t xml:space="preserve"> за рахунок </w:t>
      </w:r>
      <w:r w:rsidRPr="00625F6D">
        <w:rPr>
          <w:rFonts w:ascii="Times New Roman" w:hAnsi="Times New Roman"/>
          <w:sz w:val="28"/>
          <w:szCs w:val="28"/>
          <w:lang w:val="uk-UA"/>
        </w:rPr>
        <w:t>поєднання: орієнтованість на інвестора (оцінити ефективність використання капіталу, сценарні варіанти розвитку економічного оточення та організаційно-пр</w:t>
      </w:r>
      <w:r>
        <w:rPr>
          <w:rFonts w:ascii="Times New Roman" w:hAnsi="Times New Roman"/>
          <w:sz w:val="28"/>
          <w:szCs w:val="28"/>
          <w:lang w:val="uk-UA"/>
        </w:rPr>
        <w:t>авових форм реалізації проєкту</w:t>
      </w:r>
      <w:r w:rsidRPr="00625F6D">
        <w:rPr>
          <w:rFonts w:ascii="Times New Roman" w:hAnsi="Times New Roman"/>
          <w:sz w:val="28"/>
          <w:szCs w:val="28"/>
          <w:lang w:val="uk-UA"/>
        </w:rPr>
        <w:t>); ефекту від реалізації проєкту (фінансово-економічний, науково-технічний, соціально-екологічний); екологічності та стійкості (фокус на «зеленому» виробництві, енергоефективності та мінімізації відходів); універсальність (оцінити ризик, фактор</w:t>
      </w:r>
      <w:r>
        <w:rPr>
          <w:rFonts w:ascii="Times New Roman" w:hAnsi="Times New Roman"/>
          <w:sz w:val="28"/>
          <w:szCs w:val="28"/>
          <w:lang w:val="uk-UA"/>
        </w:rPr>
        <w:t>и</w:t>
      </w:r>
      <w:r w:rsidRPr="00625F6D">
        <w:rPr>
          <w:rFonts w:ascii="Times New Roman" w:hAnsi="Times New Roman"/>
          <w:sz w:val="28"/>
          <w:szCs w:val="28"/>
          <w:lang w:val="uk-UA"/>
        </w:rPr>
        <w:t xml:space="preserve"> невизначеності при реалізації проєкту)</w:t>
      </w:r>
      <w:r w:rsidRPr="004009DE">
        <w:rPr>
          <w:lang w:val="uk-UA"/>
        </w:rPr>
        <w:t>.</w:t>
      </w:r>
    </w:p>
    <w:p w:rsidR="0028441D" w:rsidRPr="0019142E" w:rsidRDefault="0028441D" w:rsidP="00566A83">
      <w:pPr>
        <w:pStyle w:val="a6"/>
        <w:numPr>
          <w:ilvl w:val="1"/>
          <w:numId w:val="32"/>
        </w:numPr>
        <w:tabs>
          <w:tab w:val="left" w:pos="1134"/>
        </w:tabs>
        <w:spacing w:after="0" w:line="360" w:lineRule="auto"/>
        <w:ind w:left="0" w:firstLine="709"/>
        <w:contextualSpacing w:val="0"/>
        <w:jc w:val="both"/>
        <w:rPr>
          <w:rFonts w:ascii="Times New Roman" w:hAnsi="Times New Roman"/>
          <w:sz w:val="28"/>
          <w:szCs w:val="28"/>
          <w:lang w:val="uk-UA"/>
        </w:rPr>
      </w:pPr>
      <w:r>
        <w:rPr>
          <w:rFonts w:ascii="Times New Roman" w:hAnsi="Times New Roman"/>
          <w:color w:val="000000"/>
          <w:sz w:val="28"/>
          <w:szCs w:val="28"/>
          <w:lang w:val="uk-UA"/>
        </w:rPr>
        <w:t>М</w:t>
      </w:r>
      <w:r w:rsidRPr="00625F6D">
        <w:rPr>
          <w:rFonts w:ascii="Times New Roman" w:hAnsi="Times New Roman"/>
          <w:color w:val="000000"/>
          <w:sz w:val="28"/>
          <w:szCs w:val="28"/>
          <w:lang w:val="uk-UA"/>
        </w:rPr>
        <w:t>етодичний підхід до оцінювання інвестиційної привабливості сільськогосподарських підприємств</w:t>
      </w:r>
      <w:r w:rsidRPr="0019142E">
        <w:rPr>
          <w:rFonts w:ascii="Times New Roman" w:hAnsi="Times New Roman"/>
          <w:sz w:val="28"/>
          <w:szCs w:val="28"/>
          <w:shd w:val="clear" w:color="auto" w:fill="FFFFFF"/>
          <w:lang w:val="uk-UA"/>
        </w:rPr>
        <w:t xml:space="preserve">, забезпечує </w:t>
      </w:r>
      <w:r w:rsidRPr="00625F6D">
        <w:rPr>
          <w:rFonts w:ascii="Times New Roman" w:hAnsi="Times New Roman"/>
          <w:color w:val="000000"/>
          <w:sz w:val="28"/>
          <w:szCs w:val="28"/>
          <w:lang w:val="uk-UA"/>
        </w:rPr>
        <w:t xml:space="preserve">перехід від фігурального визначення фінансового стану до активного проектування стійкого інвестиційного потенціалу суб’єктів господарювання, дозволяючи кількісно ідентифікувати точки стратегічного росту та мінімізувати інформаційну </w:t>
      </w:r>
      <w:r w:rsidRPr="00625F6D">
        <w:rPr>
          <w:rFonts w:ascii="Times New Roman" w:hAnsi="Times New Roman"/>
          <w:color w:val="000000"/>
          <w:sz w:val="28"/>
          <w:szCs w:val="28"/>
          <w:lang w:val="uk-UA"/>
        </w:rPr>
        <w:lastRenderedPageBreak/>
        <w:t>асиметрію в системі «підприємство-інвестор»</w:t>
      </w:r>
      <w:r w:rsidRPr="0019142E">
        <w:rPr>
          <w:rFonts w:ascii="Times New Roman" w:hAnsi="Times New Roman"/>
          <w:sz w:val="28"/>
          <w:szCs w:val="28"/>
          <w:shd w:val="clear" w:color="auto" w:fill="FFFFFF"/>
          <w:lang w:val="uk-UA"/>
        </w:rPr>
        <w:t xml:space="preserve">. Його застосування </w:t>
      </w:r>
      <w:r w:rsidRPr="00625F6D">
        <w:rPr>
          <w:rFonts w:ascii="Times New Roman" w:hAnsi="Times New Roman"/>
          <w:color w:val="000000"/>
          <w:sz w:val="28"/>
          <w:szCs w:val="28"/>
          <w:lang w:val="uk-UA"/>
        </w:rPr>
        <w:t>базується на застосуванні деагрегованої системи локальних детермінант розвитку</w:t>
      </w:r>
      <w:r w:rsidRPr="0019142E">
        <w:rPr>
          <w:rFonts w:ascii="Times New Roman" w:hAnsi="Times New Roman"/>
          <w:sz w:val="28"/>
          <w:szCs w:val="28"/>
          <w:shd w:val="clear" w:color="auto" w:fill="FFFFFF"/>
          <w:lang w:val="uk-UA"/>
        </w:rPr>
        <w:t xml:space="preserve">. </w:t>
      </w:r>
      <w:r>
        <w:rPr>
          <w:rFonts w:ascii="Times New Roman" w:hAnsi="Times New Roman"/>
          <w:color w:val="000000"/>
          <w:sz w:val="28"/>
          <w:szCs w:val="28"/>
          <w:lang w:val="uk-UA"/>
        </w:rPr>
        <w:t>В</w:t>
      </w:r>
      <w:r w:rsidRPr="00625F6D">
        <w:rPr>
          <w:rFonts w:ascii="Times New Roman" w:hAnsi="Times New Roman"/>
          <w:color w:val="000000"/>
          <w:sz w:val="28"/>
          <w:szCs w:val="28"/>
          <w:lang w:val="uk-UA"/>
        </w:rPr>
        <w:t>рахування нелінійних функціональних залежностей між параметрами інвестиційної активності й операційної ефективності капіталу</w:t>
      </w:r>
      <w:r>
        <w:rPr>
          <w:rFonts w:ascii="Times New Roman" w:hAnsi="Times New Roman"/>
          <w:color w:val="000000"/>
          <w:sz w:val="28"/>
          <w:szCs w:val="28"/>
          <w:lang w:val="uk-UA"/>
        </w:rPr>
        <w:t xml:space="preserve"> за рахунок </w:t>
      </w:r>
      <w:r w:rsidRPr="00625F6D">
        <w:rPr>
          <w:rFonts w:ascii="Times New Roman" w:hAnsi="Times New Roman"/>
          <w:color w:val="000000"/>
          <w:sz w:val="28"/>
          <w:szCs w:val="28"/>
          <w:lang w:val="uk-UA"/>
        </w:rPr>
        <w:t>застосування розробленого математичного інструментарію: локальної детермінації, функціональної зв’язності та предиктивного моделювання чутливості показника інвестиційної вартості підприємства до динамічної варіації ключових факторів зовнішнього середовища</w:t>
      </w:r>
      <w:r w:rsidRPr="004009DE">
        <w:rPr>
          <w:lang w:val="uk-UA"/>
        </w:rPr>
        <w:t>.</w:t>
      </w:r>
    </w:p>
    <w:p w:rsidR="00CD3C0D" w:rsidRPr="0019142E" w:rsidRDefault="00CD3C0D" w:rsidP="00566A83">
      <w:pPr>
        <w:pStyle w:val="a6"/>
        <w:numPr>
          <w:ilvl w:val="1"/>
          <w:numId w:val="32"/>
        </w:numPr>
        <w:tabs>
          <w:tab w:val="left" w:pos="1134"/>
        </w:tabs>
        <w:spacing w:after="0" w:line="360" w:lineRule="auto"/>
        <w:ind w:left="0" w:firstLine="709"/>
        <w:contextualSpacing w:val="0"/>
        <w:jc w:val="both"/>
        <w:rPr>
          <w:rFonts w:ascii="Times New Roman" w:hAnsi="Times New Roman"/>
          <w:sz w:val="28"/>
          <w:szCs w:val="28"/>
          <w:lang w:val="uk-UA"/>
        </w:rPr>
      </w:pPr>
      <w:r>
        <w:rPr>
          <w:rStyle w:val="af1"/>
          <w:rFonts w:ascii="Times New Roman" w:hAnsi="Times New Roman"/>
          <w:b w:val="0"/>
          <w:bCs w:val="0"/>
          <w:color w:val="000000"/>
          <w:sz w:val="28"/>
          <w:szCs w:val="28"/>
          <w:lang w:val="uk-UA"/>
        </w:rPr>
        <w:t>К</w:t>
      </w:r>
      <w:r w:rsidRPr="00625F6D">
        <w:rPr>
          <w:rStyle w:val="af1"/>
          <w:rFonts w:ascii="Times New Roman" w:hAnsi="Times New Roman"/>
          <w:b w:val="0"/>
          <w:bCs w:val="0"/>
          <w:color w:val="000000"/>
          <w:sz w:val="28"/>
          <w:szCs w:val="28"/>
          <w:lang w:val="uk-UA"/>
        </w:rPr>
        <w:t>онцептуальні напрями формування економічного механізму інвестиційної привабливості сільськогосподарських підприємств</w:t>
      </w:r>
      <w:r w:rsidRPr="0019142E">
        <w:rPr>
          <w:rFonts w:ascii="Times New Roman" w:hAnsi="Times New Roman"/>
          <w:sz w:val="28"/>
          <w:szCs w:val="28"/>
          <w:shd w:val="clear" w:color="auto" w:fill="FFFFFF"/>
          <w:lang w:val="uk-UA"/>
        </w:rPr>
        <w:t xml:space="preserve">, що </w:t>
      </w:r>
      <w:r w:rsidRPr="00625F6D">
        <w:rPr>
          <w:rStyle w:val="af1"/>
          <w:rFonts w:ascii="Times New Roman" w:hAnsi="Times New Roman"/>
          <w:b w:val="0"/>
          <w:bCs w:val="0"/>
          <w:color w:val="000000"/>
          <w:sz w:val="28"/>
          <w:szCs w:val="28"/>
          <w:lang w:val="uk-UA"/>
        </w:rPr>
        <w:t xml:space="preserve">базуються на </w:t>
      </w:r>
      <w:r w:rsidRPr="00625F6D">
        <w:rPr>
          <w:rFonts w:ascii="Times New Roman" w:hAnsi="Times New Roman"/>
          <w:color w:val="000000"/>
          <w:sz w:val="28"/>
          <w:szCs w:val="28"/>
          <w:lang w:val="uk-UA"/>
        </w:rPr>
        <w:t>структурно-функціональній моделі управління цінністю бізнесу</w:t>
      </w:r>
      <w:r w:rsidRPr="0019142E">
        <w:rPr>
          <w:rFonts w:ascii="Times New Roman" w:hAnsi="Times New Roman"/>
          <w:sz w:val="28"/>
          <w:szCs w:val="28"/>
          <w:shd w:val="clear" w:color="auto" w:fill="FFFFFF"/>
          <w:lang w:val="uk-UA"/>
        </w:rPr>
        <w:t xml:space="preserve">, забезпечуючи </w:t>
      </w:r>
      <w:r w:rsidRPr="00625F6D">
        <w:rPr>
          <w:rFonts w:ascii="Times New Roman" w:hAnsi="Times New Roman"/>
          <w:color w:val="000000"/>
          <w:sz w:val="28"/>
          <w:szCs w:val="28"/>
          <w:lang w:val="uk-UA"/>
        </w:rPr>
        <w:t>застосування адаптивних засад з урахуванням визначення траєкторії зростання</w:t>
      </w:r>
      <w:r>
        <w:rPr>
          <w:rFonts w:ascii="Times New Roman" w:hAnsi="Times New Roman"/>
          <w:color w:val="000000"/>
          <w:sz w:val="28"/>
          <w:szCs w:val="28"/>
          <w:lang w:val="uk-UA"/>
        </w:rPr>
        <w:t xml:space="preserve"> та </w:t>
      </w:r>
      <w:r w:rsidRPr="00625F6D">
        <w:rPr>
          <w:rFonts w:ascii="Times New Roman" w:hAnsi="Times New Roman"/>
          <w:color w:val="000000"/>
          <w:sz w:val="28"/>
          <w:szCs w:val="28"/>
          <w:lang w:val="uk-UA"/>
        </w:rPr>
        <w:t>забезпечує вимірюваність, досяжність, стійку активізацію інвестиційного розвитку підприємств в умовах воєнної турбулентності та макроекономічної невизначеності</w:t>
      </w:r>
      <w:r w:rsidRPr="0019142E">
        <w:rPr>
          <w:rFonts w:ascii="Times New Roman" w:hAnsi="Times New Roman"/>
          <w:sz w:val="28"/>
          <w:szCs w:val="28"/>
          <w:shd w:val="clear" w:color="auto" w:fill="FFFFFF"/>
          <w:lang w:val="uk-UA"/>
        </w:rPr>
        <w:t xml:space="preserve">. Реалізація такого </w:t>
      </w:r>
      <w:r>
        <w:rPr>
          <w:rFonts w:ascii="Times New Roman" w:hAnsi="Times New Roman"/>
          <w:sz w:val="28"/>
          <w:szCs w:val="28"/>
          <w:shd w:val="clear" w:color="auto" w:fill="FFFFFF"/>
          <w:lang w:val="uk-UA"/>
        </w:rPr>
        <w:t>напряму</w:t>
      </w:r>
      <w:r w:rsidRPr="0019142E">
        <w:rPr>
          <w:rFonts w:ascii="Times New Roman" w:hAnsi="Times New Roman"/>
          <w:sz w:val="28"/>
          <w:szCs w:val="28"/>
          <w:shd w:val="clear" w:color="auto" w:fill="FFFFFF"/>
          <w:lang w:val="uk-UA"/>
        </w:rPr>
        <w:t xml:space="preserve"> передбачає застосування </w:t>
      </w:r>
      <w:r w:rsidRPr="00625F6D">
        <w:rPr>
          <w:rFonts w:ascii="Times New Roman" w:hAnsi="Times New Roman"/>
          <w:color w:val="000000"/>
          <w:sz w:val="28"/>
          <w:szCs w:val="28"/>
          <w:lang w:val="uk-UA"/>
        </w:rPr>
        <w:t>теоретичного підґрунтя стратегічних елементів механізму</w:t>
      </w:r>
      <w:r w:rsidRPr="00625F6D">
        <w:rPr>
          <w:rStyle w:val="apple-converted-space"/>
          <w:rFonts w:ascii="Times New Roman" w:hAnsi="Times New Roman"/>
          <w:color w:val="000000"/>
          <w:sz w:val="28"/>
          <w:szCs w:val="28"/>
          <w:lang w:val="uk-UA"/>
        </w:rPr>
        <w:t xml:space="preserve"> </w:t>
      </w:r>
      <w:r w:rsidRPr="00625F6D">
        <w:rPr>
          <w:rFonts w:ascii="Times New Roman" w:hAnsi="Times New Roman"/>
          <w:color w:val="000000"/>
          <w:sz w:val="28"/>
          <w:szCs w:val="28"/>
          <w:lang w:val="uk-UA"/>
        </w:rPr>
        <w:t>(архітектурна структуризація цілей максимізації капіталізації; систематизація принципів проактивності; стратегічного цілепокладання; конкретизація суб’єктно-об’єктної взаємодії в контурі інвестиційного ринку); використання методологічного блоку</w:t>
      </w:r>
      <w:r w:rsidRPr="00625F6D">
        <w:rPr>
          <w:rStyle w:val="apple-converted-space"/>
          <w:rFonts w:ascii="Times New Roman" w:hAnsi="Times New Roman"/>
          <w:color w:val="000000"/>
          <w:sz w:val="28"/>
          <w:szCs w:val="28"/>
          <w:lang w:val="uk-UA"/>
        </w:rPr>
        <w:t xml:space="preserve"> </w:t>
      </w:r>
      <w:r w:rsidRPr="00625F6D">
        <w:rPr>
          <w:rFonts w:ascii="Times New Roman" w:hAnsi="Times New Roman"/>
          <w:color w:val="000000"/>
          <w:sz w:val="28"/>
          <w:szCs w:val="28"/>
          <w:lang w:val="uk-UA"/>
        </w:rPr>
        <w:t>(запровадження методик проактивної діагностики інвестиційного профілю, стрес-тестування ризикової стійкості, моделювання фундаментальної вартості бізнесу через кореляцію грошових потоків та вартості капіталу); застосування функціональних складових</w:t>
      </w:r>
      <w:r w:rsidRPr="00625F6D">
        <w:rPr>
          <w:rStyle w:val="apple-converted-space"/>
          <w:rFonts w:ascii="Times New Roman" w:hAnsi="Times New Roman"/>
          <w:color w:val="000000"/>
          <w:sz w:val="28"/>
          <w:szCs w:val="28"/>
          <w:lang w:val="uk-UA"/>
        </w:rPr>
        <w:t xml:space="preserve"> </w:t>
      </w:r>
      <w:r w:rsidRPr="00625F6D">
        <w:rPr>
          <w:rFonts w:ascii="Times New Roman" w:hAnsi="Times New Roman"/>
          <w:color w:val="000000"/>
          <w:sz w:val="28"/>
          <w:szCs w:val="28"/>
          <w:lang w:val="uk-UA"/>
        </w:rPr>
        <w:t xml:space="preserve">(трансформації ресурсного потенціалу у ринкову цінність; інтеграції </w:t>
      </w:r>
      <w:r w:rsidRPr="00625F6D">
        <w:rPr>
          <w:rFonts w:ascii="Times New Roman" w:hAnsi="Times New Roman"/>
          <w:color w:val="000000"/>
          <w:sz w:val="28"/>
          <w:szCs w:val="28"/>
        </w:rPr>
        <w:t>ESG</w:t>
      </w:r>
      <w:r w:rsidRPr="00625F6D">
        <w:rPr>
          <w:rFonts w:ascii="Times New Roman" w:hAnsi="Times New Roman"/>
          <w:color w:val="000000"/>
          <w:sz w:val="28"/>
          <w:szCs w:val="28"/>
          <w:lang w:val="uk-UA"/>
        </w:rPr>
        <w:t>-факторів як нематеріальних драйверів; декомпозиції показників операційної та фінансової ефективності)</w:t>
      </w:r>
      <w:r w:rsidRPr="0019142E">
        <w:rPr>
          <w:rFonts w:ascii="Times New Roman" w:hAnsi="Times New Roman"/>
          <w:sz w:val="28"/>
          <w:szCs w:val="28"/>
          <w:shd w:val="clear" w:color="auto" w:fill="FFFFFF"/>
          <w:lang w:val="uk-UA"/>
        </w:rPr>
        <w:t>.</w:t>
      </w:r>
    </w:p>
    <w:p w:rsidR="004574F6" w:rsidRPr="004574F6" w:rsidRDefault="004574F6" w:rsidP="00566A83">
      <w:pPr>
        <w:pStyle w:val="a6"/>
        <w:numPr>
          <w:ilvl w:val="1"/>
          <w:numId w:val="32"/>
        </w:numPr>
        <w:tabs>
          <w:tab w:val="left" w:pos="1134"/>
        </w:tabs>
        <w:spacing w:after="0" w:line="360" w:lineRule="auto"/>
        <w:ind w:left="0" w:firstLine="709"/>
        <w:contextualSpacing w:val="0"/>
        <w:jc w:val="both"/>
        <w:rPr>
          <w:rFonts w:ascii="Times New Roman" w:hAnsi="Times New Roman"/>
          <w:bCs/>
          <w:color w:val="000000"/>
          <w:sz w:val="28"/>
          <w:szCs w:val="28"/>
          <w:lang w:val="uk-UA"/>
        </w:rPr>
      </w:pPr>
      <w:r>
        <w:rPr>
          <w:rFonts w:ascii="Times New Roman" w:hAnsi="Times New Roman"/>
          <w:color w:val="000000"/>
          <w:sz w:val="28"/>
          <w:szCs w:val="28"/>
          <w:lang w:val="uk-UA"/>
        </w:rPr>
        <w:t>М</w:t>
      </w:r>
      <w:r w:rsidRPr="000D5988">
        <w:rPr>
          <w:rFonts w:ascii="Times New Roman" w:hAnsi="Times New Roman"/>
          <w:color w:val="000000"/>
          <w:sz w:val="28"/>
          <w:szCs w:val="28"/>
          <w:lang w:val="uk-UA"/>
        </w:rPr>
        <w:t xml:space="preserve">атричний підхід до стратегії формування економічного механізму розвитку інвестиційної привабливості сільськогосподарських підприємств </w:t>
      </w:r>
      <w:r w:rsidRPr="000D5988">
        <w:rPr>
          <w:rFonts w:ascii="Times New Roman" w:hAnsi="Times New Roman"/>
          <w:bCs/>
          <w:color w:val="000000"/>
          <w:sz w:val="28"/>
          <w:szCs w:val="28"/>
          <w:lang w:val="uk-UA"/>
        </w:rPr>
        <w:t xml:space="preserve">розроблено як </w:t>
      </w:r>
      <w:r w:rsidRPr="000D5988">
        <w:rPr>
          <w:rFonts w:ascii="Times New Roman" w:hAnsi="Times New Roman"/>
          <w:color w:val="000000"/>
          <w:sz w:val="28"/>
          <w:szCs w:val="28"/>
          <w:lang w:val="uk-UA"/>
        </w:rPr>
        <w:t>проактивну модель вартісно-орієнтованого управління</w:t>
      </w:r>
      <w:r w:rsidRPr="000D5988">
        <w:rPr>
          <w:rFonts w:ascii="Times New Roman" w:hAnsi="Times New Roman"/>
          <w:bCs/>
          <w:color w:val="000000"/>
          <w:sz w:val="28"/>
          <w:szCs w:val="28"/>
          <w:lang w:val="uk-UA"/>
        </w:rPr>
        <w:t xml:space="preserve">, що </w:t>
      </w:r>
      <w:r w:rsidRPr="000D5988">
        <w:rPr>
          <w:rFonts w:ascii="Times New Roman" w:hAnsi="Times New Roman"/>
          <w:color w:val="000000"/>
          <w:sz w:val="28"/>
          <w:szCs w:val="28"/>
          <w:lang w:val="uk-UA"/>
        </w:rPr>
        <w:t xml:space="preserve">забезпечує нівелювання інформаційної асиметрії в системі взаємодії зі </w:t>
      </w:r>
      <w:r w:rsidRPr="000D5988">
        <w:rPr>
          <w:rFonts w:ascii="Times New Roman" w:hAnsi="Times New Roman"/>
          <w:color w:val="000000"/>
          <w:sz w:val="28"/>
          <w:szCs w:val="28"/>
          <w:lang w:val="uk-UA"/>
        </w:rPr>
        <w:lastRenderedPageBreak/>
        <w:t>стейкхолдерами та дозволяє здійснювати активне проектування траєкторій зростання фундаментальної вартості бізнесу</w:t>
      </w:r>
      <w:r w:rsidRPr="000D5988">
        <w:rPr>
          <w:rFonts w:ascii="Times New Roman" w:hAnsi="Times New Roman"/>
          <w:bCs/>
          <w:color w:val="000000"/>
          <w:sz w:val="28"/>
          <w:szCs w:val="28"/>
          <w:lang w:val="uk-UA"/>
        </w:rPr>
        <w:t xml:space="preserve">. </w:t>
      </w:r>
      <w:r w:rsidRPr="004574F6">
        <w:rPr>
          <w:rFonts w:ascii="Times New Roman" w:hAnsi="Times New Roman"/>
          <w:bCs/>
          <w:color w:val="000000"/>
          <w:sz w:val="28"/>
          <w:szCs w:val="28"/>
          <w:lang w:val="uk-UA"/>
        </w:rPr>
        <w:t xml:space="preserve">Запровадження можливе </w:t>
      </w:r>
      <w:r w:rsidRPr="000D5988">
        <w:rPr>
          <w:rFonts w:ascii="Times New Roman" w:hAnsi="Times New Roman"/>
          <w:color w:val="000000"/>
          <w:sz w:val="28"/>
          <w:szCs w:val="28"/>
          <w:lang w:val="uk-UA"/>
        </w:rPr>
        <w:t>за рахунок стратегічної матриці позиціонування об’єктів у координатах «потенціал–привабливість»; предиктивної діагностики драйверів капіталізації; системи випереджальних індикаторів ризикової стійкості до воєнних дестабілізаторів</w:t>
      </w:r>
      <w:r w:rsidRPr="004574F6">
        <w:rPr>
          <w:rFonts w:ascii="Times New Roman" w:hAnsi="Times New Roman"/>
          <w:bCs/>
          <w:color w:val="000000"/>
          <w:sz w:val="28"/>
          <w:szCs w:val="28"/>
          <w:lang w:val="uk-UA"/>
        </w:rPr>
        <w:t>.</w:t>
      </w:r>
    </w:p>
    <w:p w:rsidR="007668BD" w:rsidRPr="0019142E" w:rsidRDefault="007668BD" w:rsidP="00566A83">
      <w:pPr>
        <w:pStyle w:val="a6"/>
        <w:numPr>
          <w:ilvl w:val="1"/>
          <w:numId w:val="32"/>
        </w:numPr>
        <w:tabs>
          <w:tab w:val="left" w:pos="1134"/>
        </w:tabs>
        <w:spacing w:after="0" w:line="360" w:lineRule="auto"/>
        <w:ind w:left="0" w:firstLine="709"/>
        <w:contextualSpacing w:val="0"/>
        <w:jc w:val="both"/>
        <w:rPr>
          <w:rFonts w:ascii="Times New Roman" w:hAnsi="Times New Roman"/>
          <w:bCs/>
          <w:spacing w:val="-4"/>
          <w:sz w:val="28"/>
          <w:szCs w:val="28"/>
          <w:lang w:val="uk-UA"/>
        </w:rPr>
      </w:pPr>
      <w:r>
        <w:rPr>
          <w:rStyle w:val="citation-1203"/>
          <w:rFonts w:ascii="Times New Roman" w:hAnsi="Times New Roman"/>
          <w:color w:val="000000"/>
          <w:sz w:val="28"/>
          <w:szCs w:val="28"/>
          <w:lang w:val="uk-UA"/>
        </w:rPr>
        <w:t>Ф</w:t>
      </w:r>
      <w:r w:rsidRPr="00625F6D">
        <w:rPr>
          <w:rStyle w:val="citation-1203"/>
          <w:rFonts w:ascii="Times New Roman" w:hAnsi="Times New Roman"/>
          <w:color w:val="000000"/>
          <w:sz w:val="28"/>
          <w:szCs w:val="28"/>
          <w:lang w:val="uk-UA"/>
        </w:rPr>
        <w:t>ункціонально –</w:t>
      </w:r>
      <w:r w:rsidRPr="00625F6D">
        <w:rPr>
          <w:rFonts w:ascii="Times New Roman" w:hAnsi="Times New Roman"/>
          <w:color w:val="000000"/>
          <w:sz w:val="28"/>
          <w:szCs w:val="28"/>
          <w:lang w:val="uk-UA"/>
        </w:rPr>
        <w:t>економічний механізм підвищення інвестиційної привабливості сільськогосподарських підприємств</w:t>
      </w:r>
      <w:r w:rsidRPr="0019142E">
        <w:rPr>
          <w:rFonts w:ascii="Times New Roman" w:hAnsi="Times New Roman"/>
          <w:spacing w:val="-4"/>
          <w:sz w:val="28"/>
          <w:szCs w:val="28"/>
          <w:shd w:val="clear" w:color="auto" w:fill="FFFFFF"/>
          <w:lang w:val="uk-UA"/>
        </w:rPr>
        <w:t xml:space="preserve"> передбачає </w:t>
      </w:r>
      <w:r w:rsidRPr="00625F6D">
        <w:rPr>
          <w:rStyle w:val="citation-1200"/>
          <w:rFonts w:ascii="Times New Roman" w:hAnsi="Times New Roman"/>
          <w:color w:val="000000"/>
          <w:sz w:val="28"/>
          <w:szCs w:val="28"/>
          <w:lang w:val="uk-UA"/>
        </w:rPr>
        <w:t>авторегресійну підтримку інвестиційного сприйняття та дозволяє керувати можливостями капіталізації переваг через накопичений стратегічний потенціал</w:t>
      </w:r>
      <w:r w:rsidRPr="0019142E">
        <w:rPr>
          <w:rFonts w:ascii="Times New Roman" w:hAnsi="Times New Roman"/>
          <w:spacing w:val="-4"/>
          <w:sz w:val="28"/>
          <w:szCs w:val="28"/>
          <w:shd w:val="clear" w:color="auto" w:fill="FFFFFF"/>
          <w:lang w:val="uk-UA"/>
        </w:rPr>
        <w:t xml:space="preserve">. Його застосування базується </w:t>
      </w:r>
      <w:r w:rsidRPr="00625F6D">
        <w:rPr>
          <w:rStyle w:val="citation-1203"/>
          <w:rFonts w:ascii="Times New Roman" w:hAnsi="Times New Roman"/>
          <w:color w:val="000000"/>
          <w:sz w:val="28"/>
          <w:szCs w:val="28"/>
          <w:lang w:val="uk-UA"/>
        </w:rPr>
        <w:t>на синергетичній інтеграції інструментів вартісно-орієнтованого управління (перехід від бухгалтерського прибутку до генерації економічної доданої вартості та управління драйверами</w:t>
      </w:r>
      <w:r w:rsidRPr="00625F6D">
        <w:rPr>
          <w:rStyle w:val="apple-converted-space"/>
          <w:rFonts w:ascii="Times New Roman" w:hAnsi="Times New Roman"/>
          <w:color w:val="000000"/>
          <w:sz w:val="28"/>
          <w:szCs w:val="28"/>
          <w:lang w:val="uk-UA"/>
        </w:rPr>
        <w:t xml:space="preserve"> </w:t>
      </w:r>
      <w:r w:rsidRPr="00625F6D">
        <w:rPr>
          <w:rStyle w:val="apple-converted-space"/>
          <w:rFonts w:ascii="Times New Roman" w:hAnsi="Times New Roman"/>
          <w:color w:val="000000"/>
          <w:sz w:val="28"/>
          <w:szCs w:val="28"/>
          <w:lang w:val="en-US"/>
        </w:rPr>
        <w:t>FCFF</w:t>
      </w:r>
      <w:r w:rsidRPr="00625F6D">
        <w:rPr>
          <w:rStyle w:val="citation-1203"/>
          <w:rFonts w:ascii="Times New Roman" w:hAnsi="Times New Roman"/>
          <w:color w:val="000000"/>
          <w:sz w:val="28"/>
          <w:szCs w:val="28"/>
          <w:lang w:val="uk-UA"/>
        </w:rPr>
        <w:t xml:space="preserve">, </w:t>
      </w:r>
      <w:r w:rsidRPr="00625F6D">
        <w:rPr>
          <w:rStyle w:val="apple-converted-space"/>
          <w:rFonts w:ascii="Times New Roman" w:hAnsi="Times New Roman"/>
          <w:color w:val="000000"/>
          <w:sz w:val="28"/>
          <w:szCs w:val="28"/>
        </w:rPr>
        <w:t>WACC</w:t>
      </w:r>
      <w:r w:rsidRPr="00625F6D">
        <w:rPr>
          <w:rStyle w:val="citation-1202"/>
          <w:rFonts w:ascii="Times New Roman" w:hAnsi="Times New Roman"/>
          <w:color w:val="000000"/>
          <w:sz w:val="28"/>
          <w:szCs w:val="28"/>
          <w:lang w:val="uk-UA"/>
        </w:rPr>
        <w:t xml:space="preserve">), контрактно-інституційної стабілізації (використання </w:t>
      </w:r>
      <w:r w:rsidRPr="00625F6D">
        <w:rPr>
          <w:rStyle w:val="citation-1202"/>
          <w:rFonts w:ascii="Times New Roman" w:hAnsi="Times New Roman"/>
          <w:color w:val="000000"/>
          <w:sz w:val="28"/>
          <w:szCs w:val="28"/>
        </w:rPr>
        <w:t>offtake</w:t>
      </w:r>
      <w:r w:rsidRPr="00625F6D">
        <w:rPr>
          <w:rStyle w:val="citation-1202"/>
          <w:rFonts w:ascii="Times New Roman" w:hAnsi="Times New Roman"/>
          <w:color w:val="000000"/>
          <w:sz w:val="28"/>
          <w:szCs w:val="28"/>
          <w:lang w:val="uk-UA"/>
        </w:rPr>
        <w:t>-контрактів та аграрних розписок для зниження інформаційної асиметрії</w:t>
      </w:r>
      <w:r w:rsidRPr="00625F6D">
        <w:rPr>
          <w:rStyle w:val="citation-1201"/>
          <w:rFonts w:ascii="Times New Roman" w:hAnsi="Times New Roman"/>
          <w:color w:val="000000"/>
          <w:sz w:val="28"/>
          <w:szCs w:val="28"/>
          <w:lang w:val="uk-UA"/>
        </w:rPr>
        <w:t xml:space="preserve">), вдосконаленого ризик-менеджменту (кількісна інтеграція ризиків через показники </w:t>
      </w:r>
      <w:r w:rsidRPr="00625F6D">
        <w:rPr>
          <w:rStyle w:val="citation-1201"/>
          <w:rFonts w:ascii="Times New Roman" w:hAnsi="Times New Roman"/>
          <w:color w:val="000000"/>
          <w:sz w:val="28"/>
          <w:szCs w:val="28"/>
        </w:rPr>
        <w:t>RAROC</w:t>
      </w:r>
      <w:r w:rsidRPr="00625F6D">
        <w:rPr>
          <w:rStyle w:val="citation-1201"/>
          <w:rFonts w:ascii="Times New Roman" w:hAnsi="Times New Roman"/>
          <w:color w:val="000000"/>
          <w:sz w:val="28"/>
          <w:szCs w:val="28"/>
          <w:lang w:val="uk-UA"/>
        </w:rPr>
        <w:t xml:space="preserve"> і </w:t>
      </w:r>
      <w:r w:rsidRPr="00625F6D">
        <w:rPr>
          <w:rStyle w:val="citation-1201"/>
          <w:rFonts w:ascii="Times New Roman" w:hAnsi="Times New Roman"/>
          <w:color w:val="000000"/>
          <w:sz w:val="28"/>
          <w:szCs w:val="28"/>
        </w:rPr>
        <w:t>stress</w:t>
      </w:r>
      <w:r w:rsidRPr="00625F6D">
        <w:rPr>
          <w:rStyle w:val="citation-1201"/>
          <w:rFonts w:ascii="Times New Roman" w:hAnsi="Times New Roman"/>
          <w:color w:val="000000"/>
          <w:sz w:val="28"/>
          <w:szCs w:val="28"/>
          <w:lang w:val="uk-UA"/>
        </w:rPr>
        <w:t>-</w:t>
      </w:r>
      <w:r w:rsidRPr="00625F6D">
        <w:rPr>
          <w:rStyle w:val="citation-1201"/>
          <w:rFonts w:ascii="Times New Roman" w:hAnsi="Times New Roman"/>
          <w:color w:val="000000"/>
          <w:sz w:val="28"/>
          <w:szCs w:val="28"/>
        </w:rPr>
        <w:t>testing</w:t>
      </w:r>
      <w:r w:rsidRPr="00625F6D">
        <w:rPr>
          <w:rStyle w:val="citation-1200"/>
          <w:rFonts w:ascii="Times New Roman" w:hAnsi="Times New Roman"/>
          <w:color w:val="000000"/>
          <w:sz w:val="28"/>
          <w:szCs w:val="28"/>
          <w:lang w:val="uk-UA"/>
        </w:rPr>
        <w:t>)</w:t>
      </w:r>
      <w:r w:rsidRPr="0019142E">
        <w:rPr>
          <w:rFonts w:ascii="Times New Roman" w:hAnsi="Times New Roman"/>
          <w:spacing w:val="-4"/>
          <w:sz w:val="28"/>
          <w:szCs w:val="28"/>
          <w:shd w:val="clear" w:color="auto" w:fill="FFFFFF"/>
          <w:lang w:val="uk-UA"/>
        </w:rPr>
        <w:t>.</w:t>
      </w:r>
    </w:p>
    <w:p w:rsidR="007668BD" w:rsidRPr="0019142E" w:rsidRDefault="007668BD" w:rsidP="00566A83">
      <w:pPr>
        <w:spacing w:after="0" w:line="360" w:lineRule="auto"/>
        <w:ind w:firstLine="709"/>
        <w:rPr>
          <w:lang w:val="uk-UA"/>
        </w:rPr>
      </w:pPr>
    </w:p>
    <w:p w:rsidR="003C64E3" w:rsidRDefault="003C64E3" w:rsidP="005C38DA">
      <w:pPr>
        <w:pStyle w:val="a5"/>
        <w:spacing w:before="0" w:beforeAutospacing="0" w:after="0" w:afterAutospacing="0" w:line="360" w:lineRule="auto"/>
        <w:ind w:firstLine="709"/>
        <w:jc w:val="both"/>
        <w:rPr>
          <w:b/>
          <w:sz w:val="28"/>
          <w:szCs w:val="28"/>
          <w:lang w:val="uk-UA"/>
        </w:rPr>
      </w:pPr>
      <w:r>
        <w:rPr>
          <w:b/>
          <w:sz w:val="28"/>
          <w:szCs w:val="28"/>
          <w:lang w:val="uk-UA"/>
        </w:rPr>
        <w:br w:type="page"/>
      </w:r>
    </w:p>
    <w:p w:rsidR="003C64E3" w:rsidRPr="00EF0C77" w:rsidRDefault="003C64E3" w:rsidP="003C64E3">
      <w:pPr>
        <w:spacing w:after="0" w:line="360" w:lineRule="auto"/>
        <w:ind w:firstLine="709"/>
        <w:jc w:val="center"/>
        <w:rPr>
          <w:rFonts w:ascii="Times New Roman" w:hAnsi="Times New Roman"/>
          <w:b/>
          <w:sz w:val="28"/>
          <w:szCs w:val="28"/>
          <w:lang w:val="uk-UA"/>
        </w:rPr>
      </w:pPr>
      <w:r w:rsidRPr="00EF0C77">
        <w:rPr>
          <w:rFonts w:ascii="Times New Roman" w:hAnsi="Times New Roman"/>
          <w:b/>
          <w:sz w:val="28"/>
          <w:szCs w:val="28"/>
          <w:lang w:val="uk-UA"/>
        </w:rPr>
        <w:lastRenderedPageBreak/>
        <w:t>СПИСОК ВИКОРИСТАНИХ ДЖЕРЕЛ</w:t>
      </w:r>
    </w:p>
    <w:p w:rsidR="003C64E3" w:rsidRDefault="003C64E3" w:rsidP="003C64E3">
      <w:pPr>
        <w:spacing w:after="0" w:line="360" w:lineRule="auto"/>
        <w:ind w:firstLine="709"/>
        <w:jc w:val="both"/>
        <w:rPr>
          <w:rFonts w:ascii="Times New Roman" w:hAnsi="Times New Roman"/>
          <w:sz w:val="28"/>
          <w:szCs w:val="28"/>
          <w:lang w:val="uk-UA"/>
        </w:rPr>
      </w:pP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w:t>
      </w:r>
      <w:r w:rsidRPr="00130466">
        <w:rPr>
          <w:rFonts w:ascii="Times New Roman" w:hAnsi="Times New Roman"/>
          <w:color w:val="000000" w:themeColor="text1"/>
          <w:sz w:val="28"/>
          <w:szCs w:val="28"/>
          <w:lang w:val="uk-UA"/>
        </w:rPr>
        <w:t>. Анісімова О. М., Анісімов Д. О. Рівень використання інформаційних систем як важлива складова потенціалу у корпоративному управлінні. Вісник Хмельницького національного університету</w:t>
      </w:r>
      <w:r w:rsidRPr="00130466">
        <w:rPr>
          <w:rFonts w:ascii="Times New Roman" w:hAnsi="Times New Roman"/>
          <w:i/>
          <w:color w:val="000000" w:themeColor="text1"/>
          <w:sz w:val="28"/>
          <w:szCs w:val="28"/>
          <w:lang w:val="uk-UA"/>
        </w:rPr>
        <w:t>. Економічні науки</w:t>
      </w:r>
      <w:r w:rsidRPr="00130466">
        <w:rPr>
          <w:rFonts w:ascii="Times New Roman" w:hAnsi="Times New Roman"/>
          <w:color w:val="000000" w:themeColor="text1"/>
          <w:sz w:val="28"/>
          <w:szCs w:val="28"/>
          <w:lang w:val="uk-UA"/>
        </w:rPr>
        <w:t xml:space="preserve">. 2017. № 4. С. 146-149.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w:t>
      </w:r>
      <w:r w:rsidRPr="00130466">
        <w:rPr>
          <w:rFonts w:ascii="Times New Roman" w:hAnsi="Times New Roman"/>
          <w:color w:val="000000" w:themeColor="text1"/>
          <w:sz w:val="28"/>
          <w:szCs w:val="28"/>
          <w:lang w:val="uk-UA"/>
        </w:rPr>
        <w:t xml:space="preserve">. Анісімова О. М., Щербіна О. С. Використання інформаційної діяльності для формування стратегії соціально-економічного розвитку підприємства. </w:t>
      </w:r>
      <w:r w:rsidRPr="00130466">
        <w:rPr>
          <w:rFonts w:ascii="Times New Roman" w:hAnsi="Times New Roman"/>
          <w:i/>
          <w:color w:val="000000" w:themeColor="text1"/>
          <w:sz w:val="28"/>
          <w:szCs w:val="28"/>
          <w:lang w:val="uk-UA"/>
        </w:rPr>
        <w:t>Глобальні та національні проблеми економіки</w:t>
      </w:r>
      <w:r w:rsidRPr="00130466">
        <w:rPr>
          <w:rFonts w:ascii="Times New Roman" w:hAnsi="Times New Roman"/>
          <w:color w:val="000000" w:themeColor="text1"/>
          <w:sz w:val="28"/>
          <w:szCs w:val="28"/>
          <w:lang w:val="uk-UA"/>
        </w:rPr>
        <w:t xml:space="preserve">. 2015. № 4. С. 280- 284.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w:t>
      </w:r>
      <w:r w:rsidRPr="00130466">
        <w:rPr>
          <w:rFonts w:ascii="Times New Roman" w:hAnsi="Times New Roman"/>
          <w:color w:val="000000" w:themeColor="text1"/>
          <w:sz w:val="28"/>
          <w:szCs w:val="28"/>
          <w:lang w:val="uk-UA"/>
        </w:rPr>
        <w:t xml:space="preserve">. Ареф’єва О. В., Андрієнко М. М., Кравченко О. Р. Управління фінансовим потенціалом підприємства. </w:t>
      </w:r>
      <w:r w:rsidRPr="00130466">
        <w:rPr>
          <w:rFonts w:ascii="Times New Roman" w:hAnsi="Times New Roman"/>
          <w:i/>
          <w:color w:val="000000" w:themeColor="text1"/>
          <w:sz w:val="28"/>
          <w:szCs w:val="28"/>
          <w:lang w:val="uk-UA"/>
        </w:rPr>
        <w:t>Економіка і суспільство</w:t>
      </w:r>
      <w:r w:rsidRPr="00130466">
        <w:rPr>
          <w:rFonts w:ascii="Times New Roman" w:hAnsi="Times New Roman"/>
          <w:color w:val="000000" w:themeColor="text1"/>
          <w:sz w:val="28"/>
          <w:szCs w:val="28"/>
          <w:lang w:val="uk-UA"/>
        </w:rPr>
        <w:t xml:space="preserve">. 2018. № 18. С. 252–257.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w:t>
      </w:r>
      <w:r w:rsidRPr="00130466">
        <w:rPr>
          <w:rFonts w:ascii="Times New Roman" w:hAnsi="Times New Roman"/>
          <w:color w:val="000000" w:themeColor="text1"/>
          <w:sz w:val="28"/>
          <w:szCs w:val="28"/>
          <w:lang w:val="uk-UA"/>
        </w:rPr>
        <w:t xml:space="preserve">. Ареф’єва О. В., Харчук Т. В. Економічні засади формування потенціалу підприємства.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2008. № 7 (85). С. 71-76.</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w:t>
      </w:r>
      <w:r w:rsidRPr="00130466">
        <w:rPr>
          <w:rFonts w:ascii="Times New Roman" w:hAnsi="Times New Roman"/>
          <w:color w:val="000000" w:themeColor="text1"/>
          <w:sz w:val="28"/>
          <w:szCs w:val="28"/>
          <w:lang w:val="uk-UA"/>
        </w:rPr>
        <w:t xml:space="preserve">. Бандура Т. І. Інвестиційний потенціал регіону: сутність та основні підходи до його визначення. </w:t>
      </w:r>
      <w:r w:rsidRPr="00130466">
        <w:rPr>
          <w:rFonts w:ascii="Times New Roman" w:hAnsi="Times New Roman"/>
          <w:i/>
          <w:color w:val="000000" w:themeColor="text1"/>
          <w:sz w:val="28"/>
          <w:szCs w:val="28"/>
          <w:lang w:val="uk-UA"/>
        </w:rPr>
        <w:t>Соціально-економічні проблеми сучасного періоду Україн</w:t>
      </w:r>
      <w:r w:rsidRPr="00130466">
        <w:rPr>
          <w:rFonts w:ascii="Times New Roman" w:hAnsi="Times New Roman"/>
          <w:color w:val="000000" w:themeColor="text1"/>
          <w:sz w:val="28"/>
          <w:szCs w:val="28"/>
          <w:lang w:val="uk-UA"/>
        </w:rPr>
        <w:t xml:space="preserve">и. 2017. № 5. С. 60-63.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w:t>
      </w:r>
      <w:r w:rsidRPr="00130466">
        <w:rPr>
          <w:rFonts w:ascii="Times New Roman" w:hAnsi="Times New Roman"/>
          <w:color w:val="000000" w:themeColor="text1"/>
          <w:sz w:val="28"/>
          <w:szCs w:val="28"/>
          <w:lang w:val="uk-UA"/>
        </w:rPr>
        <w:t xml:space="preserve">. Баранович А. М. Теоретико-методичні засади формування стратегій розвитку підприємства. </w:t>
      </w:r>
      <w:r w:rsidRPr="00130466">
        <w:rPr>
          <w:rFonts w:ascii="Times New Roman" w:hAnsi="Times New Roman"/>
          <w:i/>
          <w:color w:val="000000" w:themeColor="text1"/>
          <w:sz w:val="28"/>
          <w:szCs w:val="28"/>
          <w:lang w:val="uk-UA"/>
        </w:rPr>
        <w:t>Науковий вісник Херсонського державного університету</w:t>
      </w:r>
      <w:r w:rsidRPr="00130466">
        <w:rPr>
          <w:rFonts w:ascii="Times New Roman" w:hAnsi="Times New Roman"/>
          <w:color w:val="000000" w:themeColor="text1"/>
          <w:sz w:val="28"/>
          <w:szCs w:val="28"/>
          <w:lang w:val="uk-UA"/>
        </w:rPr>
        <w:t xml:space="preserve">. 2014. № 2. С. 77-81.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w:t>
      </w:r>
      <w:r w:rsidRPr="00130466">
        <w:rPr>
          <w:rFonts w:ascii="Times New Roman" w:hAnsi="Times New Roman"/>
          <w:color w:val="000000" w:themeColor="text1"/>
          <w:sz w:val="28"/>
          <w:szCs w:val="28"/>
          <w:lang w:val="uk-UA"/>
        </w:rPr>
        <w:t xml:space="preserve">. Бачевський Б. Є., Заблодська І. В., Решетняк О. О.. Потенціал і розвиток підприємства: [навч. посібник]. К.: Центр учбової літератури, 2009. 400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w:t>
      </w:r>
      <w:r w:rsidRPr="00130466">
        <w:rPr>
          <w:rFonts w:ascii="Times New Roman" w:hAnsi="Times New Roman"/>
          <w:color w:val="000000" w:themeColor="text1"/>
          <w:sz w:val="28"/>
          <w:szCs w:val="28"/>
          <w:lang w:val="uk-UA"/>
        </w:rPr>
        <w:t xml:space="preserve">. Бикова В. Фінансово-економічний потенціал підприємств загальнодержавного значення – оцінка і управління. </w:t>
      </w:r>
      <w:r w:rsidRPr="00130466">
        <w:rPr>
          <w:rFonts w:ascii="Times New Roman" w:hAnsi="Times New Roman"/>
          <w:i/>
          <w:color w:val="000000" w:themeColor="text1"/>
          <w:sz w:val="28"/>
          <w:szCs w:val="28"/>
          <w:lang w:val="uk-UA"/>
        </w:rPr>
        <w:t>Фінанси України</w:t>
      </w:r>
      <w:r w:rsidRPr="00130466">
        <w:rPr>
          <w:rFonts w:ascii="Times New Roman" w:hAnsi="Times New Roman"/>
          <w:color w:val="000000" w:themeColor="text1"/>
          <w:sz w:val="28"/>
          <w:szCs w:val="28"/>
          <w:lang w:val="uk-UA"/>
        </w:rPr>
        <w:t xml:space="preserve">. 2005. № 6. С. 56-61.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w:t>
      </w:r>
      <w:r w:rsidRPr="00130466">
        <w:rPr>
          <w:rFonts w:ascii="Times New Roman" w:hAnsi="Times New Roman"/>
          <w:color w:val="000000" w:themeColor="text1"/>
          <w:sz w:val="28"/>
          <w:szCs w:val="28"/>
          <w:lang w:val="uk-UA"/>
        </w:rPr>
        <w:t xml:space="preserve">. Бондар О. А., Куліков П. М., Капінос О. М. Оцінка фінансового потенціалу підприємства. </w:t>
      </w:r>
      <w:r w:rsidRPr="00130466">
        <w:rPr>
          <w:rFonts w:ascii="Times New Roman" w:hAnsi="Times New Roman"/>
          <w:i/>
          <w:color w:val="000000" w:themeColor="text1"/>
          <w:sz w:val="28"/>
          <w:szCs w:val="28"/>
          <w:lang w:val="uk-UA"/>
        </w:rPr>
        <w:t>Економічний вісник</w:t>
      </w:r>
      <w:r w:rsidRPr="00130466">
        <w:rPr>
          <w:rFonts w:ascii="Times New Roman" w:hAnsi="Times New Roman"/>
          <w:color w:val="000000" w:themeColor="text1"/>
          <w:sz w:val="28"/>
          <w:szCs w:val="28"/>
          <w:lang w:val="uk-UA"/>
        </w:rPr>
        <w:t xml:space="preserve">. 2017. № 4. С. 161–165.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10</w:t>
      </w:r>
      <w:r w:rsidRPr="00130466">
        <w:rPr>
          <w:rFonts w:ascii="Times New Roman" w:hAnsi="Times New Roman"/>
          <w:color w:val="000000" w:themeColor="text1"/>
          <w:sz w:val="28"/>
          <w:szCs w:val="28"/>
          <w:lang w:val="uk-UA"/>
        </w:rPr>
        <w:t xml:space="preserve">. Боровік Л. В. Методологічні аспекти побудови системи економічної безпеки формування інвестиційного потенціалу аграрного підприємства. </w:t>
      </w:r>
      <w:r w:rsidRPr="00130466">
        <w:rPr>
          <w:rFonts w:ascii="Times New Roman" w:hAnsi="Times New Roman"/>
          <w:i/>
          <w:color w:val="000000" w:themeColor="text1"/>
          <w:sz w:val="28"/>
          <w:szCs w:val="28"/>
          <w:lang w:val="uk-UA"/>
        </w:rPr>
        <w:t>Фінансовий простір</w:t>
      </w:r>
      <w:r w:rsidRPr="00130466">
        <w:rPr>
          <w:rFonts w:ascii="Times New Roman" w:hAnsi="Times New Roman"/>
          <w:color w:val="000000" w:themeColor="text1"/>
          <w:sz w:val="28"/>
          <w:szCs w:val="28"/>
          <w:lang w:val="uk-UA"/>
        </w:rPr>
        <w:t xml:space="preserve">. 2020. №3. С. 94-100.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w:t>
      </w:r>
      <w:r w:rsidRPr="00130466">
        <w:rPr>
          <w:rFonts w:ascii="Times New Roman" w:hAnsi="Times New Roman"/>
          <w:color w:val="000000" w:themeColor="text1"/>
          <w:sz w:val="28"/>
          <w:szCs w:val="28"/>
          <w:lang w:val="uk-UA"/>
        </w:rPr>
        <w:t xml:space="preserve">. Боронос В.Г. Формування механiзму оптимiзацiї структури капiталу та його вплив на фiнансовий потенцiал пiдприємства. </w:t>
      </w:r>
      <w:r w:rsidRPr="00130466">
        <w:rPr>
          <w:rFonts w:ascii="Times New Roman" w:hAnsi="Times New Roman"/>
          <w:i/>
          <w:color w:val="000000" w:themeColor="text1"/>
          <w:sz w:val="28"/>
          <w:szCs w:val="28"/>
          <w:lang w:val="uk-UA"/>
        </w:rPr>
        <w:t>Механізм регулювання економіки</w:t>
      </w:r>
      <w:r w:rsidRPr="00130466">
        <w:rPr>
          <w:rFonts w:ascii="Times New Roman" w:hAnsi="Times New Roman"/>
          <w:color w:val="000000" w:themeColor="text1"/>
          <w:sz w:val="28"/>
          <w:szCs w:val="28"/>
          <w:lang w:val="uk-UA"/>
        </w:rPr>
        <w:t xml:space="preserve">. 2010. № 3, Т. 1. С. 154-166.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w:t>
      </w:r>
      <w:r w:rsidRPr="00130466">
        <w:rPr>
          <w:rFonts w:ascii="Times New Roman" w:hAnsi="Times New Roman"/>
          <w:color w:val="000000" w:themeColor="text1"/>
          <w:sz w:val="28"/>
          <w:szCs w:val="28"/>
          <w:lang w:val="uk-UA"/>
        </w:rPr>
        <w:t xml:space="preserve">. Боронос В.Г. Фінансовий потенціал території у державній фінансовій політиці: методологія і практика управління: дисертація... дра. економ. наук, спец.: 08. 00. 08 — гроші, фінанси і кредит. Суми: УАБС НБУ, 2012. 449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13. Брюховецька Н. Ю., Булєєв І. П., Іваненко Л. В. Модель управління фінансовим потенціалом підприємства: функціональний підхід. </w:t>
      </w:r>
      <w:r w:rsidRPr="00130466">
        <w:rPr>
          <w:rFonts w:ascii="Times New Roman" w:hAnsi="Times New Roman"/>
          <w:i/>
          <w:color w:val="000000" w:themeColor="text1"/>
          <w:sz w:val="28"/>
          <w:szCs w:val="28"/>
          <w:lang w:val="uk-UA"/>
        </w:rPr>
        <w:t>Бізнес Інформ</w:t>
      </w:r>
      <w:r w:rsidRPr="00130466">
        <w:rPr>
          <w:rFonts w:ascii="Times New Roman" w:hAnsi="Times New Roman"/>
          <w:color w:val="000000" w:themeColor="text1"/>
          <w:sz w:val="28"/>
          <w:szCs w:val="28"/>
          <w:lang w:val="uk-UA"/>
        </w:rPr>
        <w:t xml:space="preserve">. 2019. № 8. С. 129–135.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14. Будяєв М. О. Портфель інвестиційних проектів як базова складова в процесі забезпечення інвестиційної привабливості підприємства. </w:t>
      </w:r>
      <w:r w:rsidRPr="00130466">
        <w:rPr>
          <w:rFonts w:ascii="Times New Roman" w:hAnsi="Times New Roman"/>
          <w:i/>
          <w:color w:val="000000" w:themeColor="text1"/>
          <w:sz w:val="28"/>
          <w:szCs w:val="28"/>
          <w:lang w:val="uk-UA"/>
        </w:rPr>
        <w:t>Молодий вчений</w:t>
      </w:r>
      <w:r w:rsidRPr="00130466">
        <w:rPr>
          <w:rFonts w:ascii="Times New Roman" w:hAnsi="Times New Roman"/>
          <w:color w:val="000000" w:themeColor="text1"/>
          <w:sz w:val="28"/>
          <w:szCs w:val="28"/>
          <w:lang w:val="uk-UA"/>
        </w:rPr>
        <w:t xml:space="preserve">. 2016. № 7 (34). С. 9-12.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15. Бульбах Н. В. Форми державного регулювання інвестиційної діяльності. </w:t>
      </w:r>
      <w:r w:rsidRPr="00130466">
        <w:rPr>
          <w:rFonts w:ascii="Times New Roman" w:hAnsi="Times New Roman"/>
          <w:i/>
          <w:color w:val="000000" w:themeColor="text1"/>
          <w:sz w:val="28"/>
          <w:szCs w:val="28"/>
          <w:lang w:val="uk-UA"/>
        </w:rPr>
        <w:t>Держава та регіони. Сер. Економіка та підприємництво</w:t>
      </w:r>
      <w:r w:rsidRPr="00130466">
        <w:rPr>
          <w:rFonts w:ascii="Times New Roman" w:hAnsi="Times New Roman"/>
          <w:color w:val="000000" w:themeColor="text1"/>
          <w:sz w:val="28"/>
          <w:szCs w:val="28"/>
          <w:lang w:val="uk-UA"/>
        </w:rPr>
        <w:t>. 2005. № 1. С. 41–45.</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w:t>
      </w:r>
      <w:r w:rsidRPr="00130466">
        <w:rPr>
          <w:rFonts w:ascii="Times New Roman" w:hAnsi="Times New Roman"/>
          <w:color w:val="000000" w:themeColor="text1"/>
          <w:sz w:val="28"/>
          <w:szCs w:val="28"/>
          <w:lang w:val="uk-UA"/>
        </w:rPr>
        <w:t xml:space="preserve">. Буряченко А.Є. Економічна природа фінансового потенціалу регіону. </w:t>
      </w:r>
      <w:r w:rsidRPr="00130466">
        <w:rPr>
          <w:rFonts w:ascii="Times New Roman" w:hAnsi="Times New Roman"/>
          <w:i/>
          <w:color w:val="000000" w:themeColor="text1"/>
          <w:sz w:val="28"/>
          <w:szCs w:val="28"/>
          <w:lang w:val="uk-UA"/>
        </w:rPr>
        <w:t>Наукові записки Національного університету "Острозька академія". Серія "Економіка"</w:t>
      </w:r>
      <w:r w:rsidRPr="00130466">
        <w:rPr>
          <w:rFonts w:ascii="Times New Roman" w:hAnsi="Times New Roman"/>
          <w:color w:val="000000" w:themeColor="text1"/>
          <w:sz w:val="28"/>
          <w:szCs w:val="28"/>
          <w:lang w:val="uk-UA"/>
        </w:rPr>
        <w:t xml:space="preserve">. 2016. № 3 (31).С. 96-102. 207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17</w:t>
      </w:r>
      <w:r w:rsidRPr="00130466">
        <w:rPr>
          <w:rFonts w:ascii="Times New Roman" w:hAnsi="Times New Roman"/>
          <w:color w:val="000000" w:themeColor="text1"/>
          <w:sz w:val="28"/>
          <w:szCs w:val="28"/>
          <w:lang w:val="uk-UA"/>
        </w:rPr>
        <w:t xml:space="preserve">. Ванькович Д. В., Демчишак Н. Б., Луковська Ю. М. Діагностування стану інвестиційного клімату в Україні.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2018. № 1. С. 11-18.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18. Ванькович Д. В., Демчишак Н. Б.. Аналіз фінансових джерел формування інвестиційних ресурсів в Україні. </w:t>
      </w:r>
      <w:r w:rsidRPr="00130466">
        <w:rPr>
          <w:rFonts w:ascii="Times New Roman" w:hAnsi="Times New Roman"/>
          <w:i/>
          <w:color w:val="000000" w:themeColor="text1"/>
          <w:sz w:val="28"/>
          <w:szCs w:val="28"/>
          <w:lang w:val="uk-UA"/>
        </w:rPr>
        <w:t>Фінанси України</w:t>
      </w:r>
      <w:r w:rsidRPr="00130466">
        <w:rPr>
          <w:rFonts w:ascii="Times New Roman" w:hAnsi="Times New Roman"/>
          <w:color w:val="000000" w:themeColor="text1"/>
          <w:sz w:val="28"/>
          <w:szCs w:val="28"/>
          <w:lang w:val="uk-UA"/>
        </w:rPr>
        <w:t xml:space="preserve">. 2007. № 7. С. 72–85.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19</w:t>
      </w:r>
      <w:r w:rsidRPr="00130466">
        <w:rPr>
          <w:rFonts w:ascii="Times New Roman" w:hAnsi="Times New Roman"/>
          <w:color w:val="000000" w:themeColor="text1"/>
          <w:sz w:val="28"/>
          <w:szCs w:val="28"/>
          <w:lang w:val="uk-UA"/>
        </w:rPr>
        <w:t xml:space="preserve">. Ванькович Д., Кульчицький М. Стратегічні орієнтири фінансового забезпечення розвитку малого інноваційного підприємництва в Україні. </w:t>
      </w:r>
      <w:r w:rsidRPr="00130466">
        <w:rPr>
          <w:rFonts w:ascii="Times New Roman" w:hAnsi="Times New Roman"/>
          <w:i/>
          <w:color w:val="000000" w:themeColor="text1"/>
          <w:sz w:val="28"/>
          <w:szCs w:val="28"/>
          <w:lang w:val="uk-UA"/>
        </w:rPr>
        <w:t>Світ фінансів</w:t>
      </w:r>
      <w:r w:rsidRPr="00130466">
        <w:rPr>
          <w:rFonts w:ascii="Times New Roman" w:hAnsi="Times New Roman"/>
          <w:color w:val="000000" w:themeColor="text1"/>
          <w:sz w:val="28"/>
          <w:szCs w:val="28"/>
          <w:lang w:val="uk-UA"/>
        </w:rPr>
        <w:t>. 2019. Вип. 3 (60). С. 53-64.</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20. Васильківський Д. М. 2014. Систематизація складових елементів економічного потенціалу підприємства у рамках концепції механізму підвищення. </w:t>
      </w:r>
      <w:r w:rsidRPr="00130466">
        <w:rPr>
          <w:rFonts w:ascii="Times New Roman" w:hAnsi="Times New Roman"/>
          <w:i/>
          <w:color w:val="000000" w:themeColor="text1"/>
          <w:sz w:val="28"/>
          <w:szCs w:val="28"/>
          <w:lang w:val="uk-UA"/>
        </w:rPr>
        <w:t>Наука й економіка</w:t>
      </w:r>
      <w:r w:rsidRPr="00130466">
        <w:rPr>
          <w:rFonts w:ascii="Times New Roman" w:hAnsi="Times New Roman"/>
          <w:color w:val="000000" w:themeColor="text1"/>
          <w:sz w:val="28"/>
          <w:szCs w:val="28"/>
          <w:lang w:val="uk-UA"/>
        </w:rPr>
        <w:t xml:space="preserve">. № 2(34). С. 115-120.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21. Величко О. В. Сутність економічного потенціалу підприємства.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2015. № 9 (171). С. 15-20.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22</w:t>
      </w:r>
      <w:r w:rsidRPr="00130466">
        <w:rPr>
          <w:rFonts w:ascii="Times New Roman" w:hAnsi="Times New Roman"/>
          <w:color w:val="000000" w:themeColor="text1"/>
          <w:sz w:val="28"/>
          <w:szCs w:val="28"/>
          <w:lang w:val="uk-UA"/>
        </w:rPr>
        <w:t xml:space="preserve">. Верхоглядова Н. І., Русинко М. І. Характеристика і структура трудового потенціалу підприємства. </w:t>
      </w:r>
      <w:r w:rsidRPr="00130466">
        <w:rPr>
          <w:rFonts w:ascii="Times New Roman" w:hAnsi="Times New Roman"/>
          <w:i/>
          <w:color w:val="000000" w:themeColor="text1"/>
          <w:sz w:val="28"/>
          <w:szCs w:val="28"/>
          <w:lang w:val="uk-UA"/>
        </w:rPr>
        <w:t>Інноваційна економіка</w:t>
      </w:r>
      <w:r w:rsidRPr="00130466">
        <w:rPr>
          <w:rFonts w:ascii="Times New Roman" w:hAnsi="Times New Roman"/>
          <w:color w:val="000000" w:themeColor="text1"/>
          <w:sz w:val="28"/>
          <w:szCs w:val="28"/>
          <w:lang w:val="uk-UA"/>
        </w:rPr>
        <w:t xml:space="preserve">. 2013. № 4. С. 37-40.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23</w:t>
      </w:r>
      <w:r w:rsidRPr="00130466">
        <w:rPr>
          <w:rFonts w:ascii="Times New Roman" w:hAnsi="Times New Roman"/>
          <w:color w:val="000000" w:themeColor="text1"/>
          <w:sz w:val="28"/>
          <w:szCs w:val="28"/>
          <w:lang w:val="uk-UA"/>
        </w:rPr>
        <w:t xml:space="preserve">. Висоцький А. Л. Сутність та особливості збутового потенціалу як складової частини сукупного економічного потенціалу підприємств. </w:t>
      </w:r>
      <w:r w:rsidRPr="00130466">
        <w:rPr>
          <w:rFonts w:ascii="Times New Roman" w:hAnsi="Times New Roman"/>
          <w:i/>
          <w:color w:val="000000" w:themeColor="text1"/>
          <w:sz w:val="28"/>
          <w:szCs w:val="28"/>
          <w:lang w:val="uk-UA"/>
        </w:rPr>
        <w:t>Науковий вісник НЛТУ України: збірник науково-технічних праць</w:t>
      </w:r>
      <w:r w:rsidRPr="00130466">
        <w:rPr>
          <w:rFonts w:ascii="Times New Roman" w:hAnsi="Times New Roman"/>
          <w:color w:val="000000" w:themeColor="text1"/>
          <w:sz w:val="28"/>
          <w:szCs w:val="28"/>
          <w:lang w:val="uk-UA"/>
        </w:rPr>
        <w:t xml:space="preserve">. 2014. № 24.8. С. 225−233.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24. Власенко В. А. Розробка та реалізація стратегії розвитку підприємства в умовах трансформації ринкових відносин: принципові підходи та інструменти. </w:t>
      </w:r>
      <w:r w:rsidRPr="00130466">
        <w:rPr>
          <w:rFonts w:ascii="Times New Roman" w:hAnsi="Times New Roman"/>
          <w:i/>
          <w:color w:val="000000" w:themeColor="text1"/>
          <w:sz w:val="28"/>
          <w:szCs w:val="28"/>
          <w:lang w:val="uk-UA"/>
        </w:rPr>
        <w:t>Економіка. Менеджмент. Підприємництво</w:t>
      </w:r>
      <w:r w:rsidRPr="00130466">
        <w:rPr>
          <w:rFonts w:ascii="Times New Roman" w:hAnsi="Times New Roman"/>
          <w:color w:val="000000" w:themeColor="text1"/>
          <w:sz w:val="28"/>
          <w:szCs w:val="28"/>
          <w:lang w:val="uk-UA"/>
        </w:rPr>
        <w:t xml:space="preserve">. 2014. № 26(1). С. 32-41.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25</w:t>
      </w:r>
      <w:r w:rsidRPr="00130466">
        <w:rPr>
          <w:rFonts w:ascii="Times New Roman" w:hAnsi="Times New Roman"/>
          <w:color w:val="000000" w:themeColor="text1"/>
          <w:sz w:val="28"/>
          <w:szCs w:val="28"/>
          <w:lang w:val="uk-UA"/>
        </w:rPr>
        <w:t xml:space="preserve">. Войцехівська В. В., Войцехівська Ю. В., Висоцький А. Л. Методи прогнозування розвитку виробничого потенціалу підприємств. </w:t>
      </w:r>
      <w:r w:rsidRPr="00130466">
        <w:rPr>
          <w:rFonts w:ascii="Times New Roman" w:hAnsi="Times New Roman"/>
          <w:i/>
          <w:color w:val="000000" w:themeColor="text1"/>
          <w:sz w:val="28"/>
          <w:szCs w:val="28"/>
          <w:lang w:val="uk-UA"/>
        </w:rPr>
        <w:t>Вісник  Національного університету «Львівська політехніка» «Проблеми економіки та управління»</w:t>
      </w:r>
      <w:r w:rsidRPr="00130466">
        <w:rPr>
          <w:rFonts w:ascii="Times New Roman" w:hAnsi="Times New Roman"/>
          <w:color w:val="000000" w:themeColor="text1"/>
          <w:sz w:val="28"/>
          <w:szCs w:val="28"/>
          <w:lang w:val="uk-UA"/>
        </w:rPr>
        <w:t xml:space="preserve">, 2012. Вип. 25. С. 42-48.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26. Волощук Л. О. Методичні засади та проблеми оцінювання інтелектуальної складової інноваційного розвитку промислового підприємства. </w:t>
      </w:r>
      <w:r w:rsidRPr="00130466">
        <w:rPr>
          <w:rFonts w:ascii="Times New Roman" w:hAnsi="Times New Roman"/>
          <w:i/>
          <w:color w:val="000000" w:themeColor="text1"/>
          <w:sz w:val="28"/>
          <w:szCs w:val="28"/>
          <w:lang w:val="uk-UA"/>
        </w:rPr>
        <w:t>Економічний аналіз</w:t>
      </w:r>
      <w:r w:rsidRPr="00130466">
        <w:rPr>
          <w:rFonts w:ascii="Times New Roman" w:hAnsi="Times New Roman"/>
          <w:color w:val="000000" w:themeColor="text1"/>
          <w:sz w:val="28"/>
          <w:szCs w:val="28"/>
          <w:lang w:val="uk-UA"/>
        </w:rPr>
        <w:t xml:space="preserve">. 2014. № 18 (2). С. 87-94.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27</w:t>
      </w:r>
      <w:r w:rsidRPr="00130466">
        <w:rPr>
          <w:rFonts w:ascii="Times New Roman" w:hAnsi="Times New Roman"/>
          <w:color w:val="000000" w:themeColor="text1"/>
          <w:sz w:val="28"/>
          <w:szCs w:val="28"/>
          <w:lang w:val="uk-UA"/>
        </w:rPr>
        <w:t xml:space="preserve">. Гарафонова О. І. Стратегічне управління: принципи та підходи до класифікацій стратегій розвитку. </w:t>
      </w:r>
      <w:r w:rsidRPr="00130466">
        <w:rPr>
          <w:rFonts w:ascii="Times New Roman" w:hAnsi="Times New Roman"/>
          <w:i/>
          <w:color w:val="000000" w:themeColor="text1"/>
          <w:sz w:val="28"/>
          <w:szCs w:val="28"/>
          <w:lang w:val="uk-UA"/>
        </w:rPr>
        <w:t>Чернігівський науковий часопис</w:t>
      </w:r>
      <w:r w:rsidRPr="00130466">
        <w:rPr>
          <w:rFonts w:ascii="Times New Roman" w:hAnsi="Times New Roman"/>
          <w:color w:val="000000" w:themeColor="text1"/>
          <w:sz w:val="28"/>
          <w:szCs w:val="28"/>
          <w:lang w:val="uk-UA"/>
        </w:rPr>
        <w:t xml:space="preserve">. 2013. № 1. С. 49-58.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28</w:t>
      </w:r>
      <w:r w:rsidRPr="00130466">
        <w:rPr>
          <w:rFonts w:ascii="Times New Roman" w:hAnsi="Times New Roman"/>
          <w:color w:val="000000" w:themeColor="text1"/>
          <w:sz w:val="28"/>
          <w:szCs w:val="28"/>
          <w:lang w:val="uk-UA"/>
        </w:rPr>
        <w:t xml:space="preserve">. Геєць В. М. Бар’єри на шляху розвитку промисловості на інноваційній основі та можливості їх подолання. </w:t>
      </w:r>
      <w:r w:rsidRPr="00130466">
        <w:rPr>
          <w:rFonts w:ascii="Times New Roman" w:hAnsi="Times New Roman"/>
          <w:i/>
          <w:color w:val="000000" w:themeColor="text1"/>
          <w:sz w:val="28"/>
          <w:szCs w:val="28"/>
          <w:lang w:val="uk-UA"/>
        </w:rPr>
        <w:t>Економіка України</w:t>
      </w:r>
      <w:r w:rsidRPr="00130466">
        <w:rPr>
          <w:rFonts w:ascii="Times New Roman" w:hAnsi="Times New Roman"/>
          <w:color w:val="000000" w:themeColor="text1"/>
          <w:sz w:val="28"/>
          <w:szCs w:val="28"/>
          <w:lang w:val="uk-UA"/>
        </w:rPr>
        <w:t xml:space="preserve">. 2015. № 1. С. 4- 25.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29</w:t>
      </w:r>
      <w:r w:rsidRPr="00130466">
        <w:rPr>
          <w:rFonts w:ascii="Times New Roman" w:hAnsi="Times New Roman"/>
          <w:color w:val="000000" w:themeColor="text1"/>
          <w:sz w:val="28"/>
          <w:szCs w:val="28"/>
          <w:lang w:val="uk-UA"/>
        </w:rPr>
        <w:t xml:space="preserve">. Гладій С. Фінансовий механізм інвестування інноваційного розвитку: теоретико-методологічний підхід до управління. Наука молода. 2005. № 3. С. 109- 115.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30. Глібчук В. М. Моделювання і оптимізація інвестиційних ризиків на підприємствах в умовах невизначеності. </w:t>
      </w:r>
      <w:r w:rsidRPr="00130466">
        <w:rPr>
          <w:rFonts w:ascii="Times New Roman" w:hAnsi="Times New Roman"/>
          <w:i/>
          <w:color w:val="000000" w:themeColor="text1"/>
          <w:sz w:val="28"/>
          <w:szCs w:val="28"/>
          <w:lang w:val="uk-UA"/>
        </w:rPr>
        <w:t>Вісник Інституту менеджменту та економіки «Галицька академія»</w:t>
      </w:r>
      <w:r w:rsidRPr="00130466">
        <w:rPr>
          <w:rFonts w:ascii="Times New Roman" w:hAnsi="Times New Roman"/>
          <w:color w:val="000000" w:themeColor="text1"/>
          <w:sz w:val="28"/>
          <w:szCs w:val="28"/>
          <w:lang w:val="uk-UA"/>
        </w:rPr>
        <w:t xml:space="preserve">, 2010. № 1. С. 263-269.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31</w:t>
      </w:r>
      <w:r w:rsidRPr="00130466">
        <w:rPr>
          <w:rFonts w:ascii="Times New Roman" w:hAnsi="Times New Roman"/>
          <w:color w:val="000000" w:themeColor="text1"/>
          <w:sz w:val="28"/>
          <w:szCs w:val="28"/>
          <w:lang w:val="uk-UA"/>
        </w:rPr>
        <w:t xml:space="preserve">. Гнатушенко В. В. Управління конкурентним потенціалом підприємств: автореф. дис. на здобуття наук. ступеня д-ра екон. наук : 08.06.01 / В. В. Донецьк, Донец. нац. ун-т. 2006. 38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32</w:t>
      </w:r>
      <w:r w:rsidRPr="00130466">
        <w:rPr>
          <w:rFonts w:ascii="Times New Roman" w:hAnsi="Times New Roman"/>
          <w:color w:val="000000" w:themeColor="text1"/>
          <w:sz w:val="28"/>
          <w:szCs w:val="28"/>
          <w:lang w:val="uk-UA"/>
        </w:rPr>
        <w:t xml:space="preserve">. Головкова Л. С. Сукупний економічний потенціал корпорації: формування та розвиток : [монографія]. Запоріжжя: Класич. приват. ун-т, 2009. 340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33</w:t>
      </w:r>
      <w:r w:rsidRPr="00130466">
        <w:rPr>
          <w:rFonts w:ascii="Times New Roman" w:hAnsi="Times New Roman"/>
          <w:color w:val="000000" w:themeColor="text1"/>
          <w:sz w:val="28"/>
          <w:szCs w:val="28"/>
          <w:lang w:val="uk-UA"/>
        </w:rPr>
        <w:t xml:space="preserve">. Гончар М. Ф., Ємельянов О. Ю. Вдосконалення механізму прийняття управлінських рішень щодо раціоналізації структури джерел фінансування інвестиційних проектів розвитку підприємства.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2009. № 24. С. 3-6. 209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34</w:t>
      </w:r>
      <w:r w:rsidRPr="00130466">
        <w:rPr>
          <w:rFonts w:ascii="Times New Roman" w:hAnsi="Times New Roman"/>
          <w:color w:val="000000" w:themeColor="text1"/>
          <w:sz w:val="28"/>
          <w:szCs w:val="28"/>
          <w:lang w:val="uk-UA"/>
        </w:rPr>
        <w:t xml:space="preserve">. Гончар О. І. Оптимізація економічного оцінювання потенціалу підприємства. </w:t>
      </w:r>
      <w:r w:rsidRPr="00130466">
        <w:rPr>
          <w:rFonts w:ascii="Times New Roman" w:hAnsi="Times New Roman"/>
          <w:i/>
          <w:color w:val="000000" w:themeColor="text1"/>
          <w:sz w:val="28"/>
          <w:szCs w:val="28"/>
          <w:lang w:val="uk-UA"/>
        </w:rPr>
        <w:t>Торгівля. Комерція. Підприємництво: збірник наукових праць</w:t>
      </w:r>
      <w:r w:rsidRPr="00130466">
        <w:rPr>
          <w:rFonts w:ascii="Times New Roman" w:hAnsi="Times New Roman"/>
          <w:color w:val="000000" w:themeColor="text1"/>
          <w:sz w:val="28"/>
          <w:szCs w:val="28"/>
          <w:lang w:val="uk-UA"/>
        </w:rPr>
        <w:t xml:space="preserve">. 2015. № 19. С. 49-53.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35</w:t>
      </w:r>
      <w:r w:rsidRPr="00130466">
        <w:rPr>
          <w:rFonts w:ascii="Times New Roman" w:hAnsi="Times New Roman"/>
          <w:color w:val="000000" w:themeColor="text1"/>
          <w:sz w:val="28"/>
          <w:szCs w:val="28"/>
          <w:lang w:val="uk-UA"/>
        </w:rPr>
        <w:t xml:space="preserve">. Гончар О. І. Оцінювання динаміки розвитку потенціалу машинобудівних підприємств України у контексті інтеграційних процесів. </w:t>
      </w:r>
      <w:r w:rsidRPr="00130466">
        <w:rPr>
          <w:rFonts w:ascii="Times New Roman" w:hAnsi="Times New Roman"/>
          <w:i/>
          <w:color w:val="000000" w:themeColor="text1"/>
          <w:sz w:val="28"/>
          <w:szCs w:val="28"/>
          <w:lang w:val="uk-UA"/>
        </w:rPr>
        <w:t>Вісник Київського національного університету технологій та дизайну. Серія «Економічні науки»</w:t>
      </w:r>
      <w:r w:rsidRPr="00130466">
        <w:rPr>
          <w:rFonts w:ascii="Times New Roman" w:hAnsi="Times New Roman"/>
          <w:color w:val="000000" w:themeColor="text1"/>
          <w:sz w:val="28"/>
          <w:szCs w:val="28"/>
          <w:lang w:val="uk-UA"/>
        </w:rPr>
        <w:t xml:space="preserve">. 2015. № 1(83). С. 25-35. </w:t>
      </w:r>
    </w:p>
    <w:p w:rsidR="00625D39" w:rsidRPr="00130466" w:rsidRDefault="005670E0" w:rsidP="00BE5A3A">
      <w:pPr>
        <w:spacing w:after="0" w:line="360" w:lineRule="auto"/>
        <w:ind w:firstLine="709"/>
        <w:jc w:val="both"/>
        <w:rPr>
          <w:rFonts w:ascii="Times New Roman" w:hAnsi="Times New Roman"/>
          <w:color w:val="000000" w:themeColor="text1"/>
          <w:sz w:val="28"/>
          <w:szCs w:val="28"/>
          <w:lang w:val="en-US"/>
        </w:rPr>
      </w:pPr>
      <w:r w:rsidRPr="00130466">
        <w:rPr>
          <w:rFonts w:ascii="Times New Roman" w:eastAsia="Times New Roman" w:hAnsi="Times New Roman"/>
          <w:color w:val="000000" w:themeColor="text1"/>
          <w:sz w:val="28"/>
          <w:szCs w:val="28"/>
          <w:lang w:val="uk-UA"/>
        </w:rPr>
        <w:t xml:space="preserve">36. Горбатюк Л., Холод Є. Прийняття рішень за умов ризику при формуванні інвестиційної привабливості підприємств. </w:t>
      </w:r>
      <w:r w:rsidRPr="00130466">
        <w:rPr>
          <w:rFonts w:ascii="Times New Roman" w:hAnsi="Times New Roman"/>
          <w:color w:val="000000" w:themeColor="text1"/>
          <w:sz w:val="28"/>
          <w:szCs w:val="28"/>
          <w:lang w:val="en-US"/>
        </w:rPr>
        <w:t xml:space="preserve">Stredoevropsky vestnik pro vedu </w:t>
      </w:r>
      <w:r w:rsidRPr="00130466">
        <w:rPr>
          <w:rFonts w:ascii="Times New Roman" w:hAnsi="Times New Roman"/>
          <w:color w:val="000000" w:themeColor="text1"/>
          <w:sz w:val="28"/>
          <w:szCs w:val="28"/>
        </w:rPr>
        <w:t>а</w:t>
      </w:r>
      <w:r w:rsidRPr="00130466">
        <w:rPr>
          <w:rFonts w:ascii="Times New Roman" w:hAnsi="Times New Roman"/>
          <w:color w:val="000000" w:themeColor="text1"/>
          <w:sz w:val="28"/>
          <w:szCs w:val="28"/>
          <w:lang w:val="en-US"/>
        </w:rPr>
        <w:t xml:space="preserve"> vyzkum. 2026. № 1. </w:t>
      </w:r>
      <w:r w:rsidRPr="00130466">
        <w:rPr>
          <w:rFonts w:ascii="Times New Roman" w:hAnsi="Times New Roman"/>
          <w:color w:val="000000" w:themeColor="text1"/>
          <w:sz w:val="28"/>
          <w:szCs w:val="28"/>
        </w:rPr>
        <w:t>Т</w:t>
      </w:r>
      <w:r w:rsidRPr="00130466">
        <w:rPr>
          <w:rFonts w:ascii="Times New Roman" w:hAnsi="Times New Roman"/>
          <w:color w:val="000000" w:themeColor="text1"/>
          <w:sz w:val="28"/>
          <w:szCs w:val="28"/>
          <w:lang w:val="en-US"/>
        </w:rPr>
        <w:t xml:space="preserve">. 1. </w:t>
      </w:r>
      <w:r w:rsidRPr="00130466">
        <w:rPr>
          <w:rFonts w:ascii="Times New Roman" w:hAnsi="Times New Roman"/>
          <w:color w:val="000000" w:themeColor="text1"/>
          <w:sz w:val="28"/>
          <w:szCs w:val="28"/>
        </w:rPr>
        <w:t>С</w:t>
      </w:r>
      <w:r w:rsidRPr="00130466">
        <w:rPr>
          <w:rFonts w:ascii="Times New Roman" w:hAnsi="Times New Roman"/>
          <w:color w:val="000000" w:themeColor="text1"/>
          <w:sz w:val="28"/>
          <w:szCs w:val="28"/>
          <w:lang w:val="en-US"/>
        </w:rPr>
        <w:t xml:space="preserve">. 180-186. DOI: </w:t>
      </w:r>
      <w:hyperlink r:id="rId25">
        <w:r w:rsidRPr="00130466">
          <w:rPr>
            <w:rFonts w:ascii="Times New Roman" w:hAnsi="Times New Roman"/>
            <w:color w:val="000000" w:themeColor="text1"/>
            <w:sz w:val="28"/>
            <w:szCs w:val="28"/>
            <w:lang w:val="en-US"/>
          </w:rPr>
          <w:t>https://doi.org/10.65237/2336-3630-2026-1(1)-12</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rPr>
        <w:lastRenderedPageBreak/>
        <w:t xml:space="preserve">37. Горбатюк Л. М., Чеботарьов Є. В. Вихідні засади державного регулювання повоєнного розвитку регіональних агропродовольчих підкомплексів. Економічний вісник Донбасу. 2023. № 1(71). С. 98–105. DOI: </w:t>
      </w:r>
      <w:hyperlink r:id="rId26">
        <w:r w:rsidRPr="00130466">
          <w:rPr>
            <w:rFonts w:ascii="Times New Roman" w:eastAsia="Times New Roman" w:hAnsi="Times New Roman"/>
            <w:color w:val="000000" w:themeColor="text1"/>
            <w:sz w:val="28"/>
            <w:szCs w:val="28"/>
          </w:rPr>
          <w:t>https://doi.org/10.12958/1817-3772-2023-1(71)-98-105</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38</w:t>
      </w:r>
      <w:r w:rsidRPr="00130466">
        <w:rPr>
          <w:rFonts w:ascii="Times New Roman" w:hAnsi="Times New Roman"/>
          <w:color w:val="000000" w:themeColor="text1"/>
          <w:sz w:val="28"/>
          <w:szCs w:val="28"/>
          <w:lang w:val="uk-UA"/>
        </w:rPr>
        <w:t xml:space="preserve">. Гринчуцький В. І., Блищак Б. Я. Теоретичні аспекти формування механізму нарощування фінансового потенціалу підприємств. </w:t>
      </w:r>
      <w:r w:rsidRPr="00130466">
        <w:rPr>
          <w:rFonts w:ascii="Times New Roman" w:hAnsi="Times New Roman"/>
          <w:i/>
          <w:color w:val="000000" w:themeColor="text1"/>
          <w:sz w:val="28"/>
          <w:szCs w:val="28"/>
          <w:lang w:val="uk-UA"/>
        </w:rPr>
        <w:t>Східна Європа: економіка, бізнес та управління</w:t>
      </w:r>
      <w:r w:rsidRPr="00130466">
        <w:rPr>
          <w:rFonts w:ascii="Times New Roman" w:hAnsi="Times New Roman"/>
          <w:color w:val="000000" w:themeColor="text1"/>
          <w:sz w:val="28"/>
          <w:szCs w:val="28"/>
          <w:lang w:val="uk-UA"/>
        </w:rPr>
        <w:t xml:space="preserve">. 2019. Вип. 3 (20). С. 177–182.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39</w:t>
      </w:r>
      <w:r w:rsidRPr="00130466">
        <w:rPr>
          <w:rFonts w:ascii="Times New Roman" w:hAnsi="Times New Roman"/>
          <w:color w:val="000000" w:themeColor="text1"/>
          <w:sz w:val="28"/>
          <w:szCs w:val="28"/>
          <w:lang w:val="uk-UA"/>
        </w:rPr>
        <w:t xml:space="preserve">. Гришко В. А. Оцінювання та управління інвестиційно-інноваційним потенціалом машинобудівних підприємств: автореферат дисертації на здобуття наукового ступеня канд. екон. наук: 08.00.04. Львів, 2011, 25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40</w:t>
      </w:r>
      <w:r w:rsidRPr="00130466">
        <w:rPr>
          <w:rFonts w:ascii="Times New Roman" w:hAnsi="Times New Roman"/>
          <w:color w:val="000000" w:themeColor="text1"/>
          <w:sz w:val="28"/>
          <w:szCs w:val="28"/>
          <w:lang w:val="uk-UA"/>
        </w:rPr>
        <w:t xml:space="preserve">. Гришко В. А., Ємельянов О. Ю., Крет І. З. Оцінювання поточного та стратегічного рівня інвестиційного потенціалу машинобудівних підприємств. </w:t>
      </w:r>
      <w:r w:rsidRPr="00130466">
        <w:rPr>
          <w:rFonts w:ascii="Times New Roman" w:hAnsi="Times New Roman"/>
          <w:i/>
          <w:color w:val="000000" w:themeColor="text1"/>
          <w:sz w:val="28"/>
          <w:szCs w:val="28"/>
          <w:lang w:val="uk-UA"/>
        </w:rPr>
        <w:t>Вісник Національного університету «Львівська політехніка» Проблеми економіки та управління</w:t>
      </w:r>
      <w:r w:rsidRPr="00130466">
        <w:rPr>
          <w:rFonts w:ascii="Times New Roman" w:hAnsi="Times New Roman"/>
          <w:color w:val="000000" w:themeColor="text1"/>
          <w:sz w:val="28"/>
          <w:szCs w:val="28"/>
          <w:lang w:val="uk-UA"/>
        </w:rPr>
        <w:t xml:space="preserve">. 2010. Вип. 683. С. 210-215.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41. Дашко І. М., Ємельянов О. Ю., Крет І. З. Сутність інвестиційного ризику та його врахування при обґрунтуванні напрямів інвестиційної діяльності. </w:t>
      </w:r>
      <w:r w:rsidRPr="00130466">
        <w:rPr>
          <w:rFonts w:ascii="Times New Roman" w:hAnsi="Times New Roman"/>
          <w:i/>
          <w:color w:val="000000" w:themeColor="text1"/>
          <w:sz w:val="28"/>
          <w:szCs w:val="28"/>
          <w:lang w:val="uk-UA"/>
        </w:rPr>
        <w:t>Вісник Національного університету «Львівська політехніка»</w:t>
      </w:r>
      <w:r w:rsidRPr="00130466">
        <w:rPr>
          <w:rFonts w:ascii="Times New Roman" w:hAnsi="Times New Roman"/>
          <w:color w:val="000000" w:themeColor="text1"/>
          <w:sz w:val="28"/>
          <w:szCs w:val="28"/>
          <w:lang w:val="uk-UA"/>
        </w:rPr>
        <w:t xml:space="preserve">, 2011. Вип. 698. С. 28-34.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42</w:t>
      </w:r>
      <w:r w:rsidRPr="00130466">
        <w:rPr>
          <w:rFonts w:ascii="Times New Roman" w:hAnsi="Times New Roman"/>
          <w:color w:val="000000" w:themeColor="text1"/>
          <w:sz w:val="28"/>
          <w:szCs w:val="28"/>
          <w:lang w:val="uk-UA"/>
        </w:rPr>
        <w:t xml:space="preserve">. Демчишак Н. Б., Гриб В. М.. Структурний аналіз інноваційної діяльності підприємств в Україні у контексті формування пріоритетів фінансового регулювання. </w:t>
      </w:r>
      <w:r w:rsidRPr="00130466">
        <w:rPr>
          <w:rFonts w:ascii="Times New Roman" w:hAnsi="Times New Roman"/>
          <w:i/>
          <w:color w:val="000000" w:themeColor="text1"/>
          <w:sz w:val="28"/>
          <w:szCs w:val="28"/>
          <w:lang w:val="uk-UA"/>
        </w:rPr>
        <w:t>Світ фінансів</w:t>
      </w:r>
      <w:r w:rsidRPr="00130466">
        <w:rPr>
          <w:rFonts w:ascii="Times New Roman" w:hAnsi="Times New Roman"/>
          <w:color w:val="000000" w:themeColor="text1"/>
          <w:sz w:val="28"/>
          <w:szCs w:val="28"/>
          <w:lang w:val="uk-UA"/>
        </w:rPr>
        <w:t xml:space="preserve">. 2019. № 3. С. 37-52.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43</w:t>
      </w:r>
      <w:r w:rsidRPr="00130466">
        <w:rPr>
          <w:rFonts w:ascii="Times New Roman" w:hAnsi="Times New Roman"/>
          <w:color w:val="000000" w:themeColor="text1"/>
          <w:sz w:val="28"/>
          <w:szCs w:val="28"/>
          <w:lang w:val="uk-UA"/>
        </w:rPr>
        <w:t xml:space="preserve">. Дериземля К.В. Фінансовий потенціал підприємства: робота на здобуття кваліфікаційного ступеня магістра; спец.: 072 - фінанси, банківська справа та страхування. Суми: СумДУ, 2020. 56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44</w:t>
      </w:r>
      <w:r w:rsidRPr="00130466">
        <w:rPr>
          <w:rFonts w:ascii="Times New Roman" w:hAnsi="Times New Roman"/>
          <w:color w:val="000000" w:themeColor="text1"/>
          <w:sz w:val="28"/>
          <w:szCs w:val="28"/>
          <w:lang w:val="uk-UA"/>
        </w:rPr>
        <w:t xml:space="preserve">. Диба М.І., Гернего Ю.О. Глобальні тенденції та потенціал розвитку ринку краудфандингу в Україні. </w:t>
      </w:r>
      <w:r w:rsidRPr="00130466">
        <w:rPr>
          <w:rFonts w:ascii="Times New Roman" w:hAnsi="Times New Roman"/>
          <w:i/>
          <w:color w:val="000000" w:themeColor="text1"/>
          <w:sz w:val="28"/>
          <w:szCs w:val="28"/>
          <w:lang w:val="uk-UA"/>
        </w:rPr>
        <w:t>Економіка України</w:t>
      </w:r>
      <w:r w:rsidRPr="00130466">
        <w:rPr>
          <w:rFonts w:ascii="Times New Roman" w:hAnsi="Times New Roman"/>
          <w:color w:val="000000" w:themeColor="text1"/>
          <w:sz w:val="28"/>
          <w:szCs w:val="28"/>
          <w:lang w:val="uk-UA"/>
        </w:rPr>
        <w:t xml:space="preserve">. 2020. № 2. С. 66–77.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45</w:t>
      </w:r>
      <w:r w:rsidRPr="00130466">
        <w:rPr>
          <w:rFonts w:ascii="Times New Roman" w:hAnsi="Times New Roman"/>
          <w:color w:val="000000" w:themeColor="text1"/>
          <w:sz w:val="28"/>
          <w:szCs w:val="28"/>
          <w:lang w:val="uk-UA"/>
        </w:rPr>
        <w:t xml:space="preserve">. Диха М. В. Глобальна конкурентоспроможність та інвестиційна привабливість України: стратегії реалізації: монографія. Хмельницький : ХНУ, 2011. 207 c.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46</w:t>
      </w:r>
      <w:r w:rsidRPr="00130466">
        <w:rPr>
          <w:rFonts w:ascii="Times New Roman" w:hAnsi="Times New Roman"/>
          <w:color w:val="000000" w:themeColor="text1"/>
          <w:sz w:val="28"/>
          <w:szCs w:val="28"/>
          <w:lang w:val="uk-UA"/>
        </w:rPr>
        <w:t xml:space="preserve">. Докієнко Л. М., Клименко В.В., Акімова Л.М. Інвестиційний менкеджмент: навчальний посібник. Київ : Aкaдeмвидaв, 2011. 408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uk-UA"/>
        </w:rPr>
        <w:t xml:space="preserve">47. Докієнко Л., Тринчук В. Інвестиційна привабливість готельно-ресторанного та туристичного бізнесу в Україні: фінансові індикатори внутрішніх загроз. </w:t>
      </w:r>
      <w:r w:rsidRPr="00130466">
        <w:rPr>
          <w:rFonts w:ascii="Times New Roman" w:hAnsi="Times New Roman"/>
          <w:color w:val="000000" w:themeColor="text1"/>
          <w:sz w:val="28"/>
          <w:szCs w:val="28"/>
        </w:rPr>
        <w:t xml:space="preserve">Ресторанний і готельний консалтинг. Інновації. 2022. Т. 5. № 2. С. 210–228. DOI: </w:t>
      </w:r>
      <w:hyperlink r:id="rId27">
        <w:r w:rsidRPr="00130466">
          <w:rPr>
            <w:rFonts w:ascii="Times New Roman" w:eastAsia="Times New Roman" w:hAnsi="Times New Roman"/>
            <w:color w:val="000000" w:themeColor="text1"/>
            <w:sz w:val="28"/>
            <w:szCs w:val="28"/>
          </w:rPr>
          <w:t>https://doi.org/10.31866/2616-7468.5.2.2022.270093</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48</w:t>
      </w:r>
      <w:r w:rsidRPr="00130466">
        <w:rPr>
          <w:rFonts w:ascii="Times New Roman" w:hAnsi="Times New Roman"/>
          <w:color w:val="000000" w:themeColor="text1"/>
          <w:sz w:val="28"/>
          <w:szCs w:val="28"/>
          <w:lang w:val="uk-UA"/>
        </w:rPr>
        <w:t xml:space="preserve">. Дропа Я. Б. Фінансові ресурси розвитку національної економіки України: монографія. Львів: ЛНУ імені Іван Франка, 2017. 426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49</w:t>
      </w:r>
      <w:r w:rsidRPr="00130466">
        <w:rPr>
          <w:rFonts w:ascii="Times New Roman" w:hAnsi="Times New Roman"/>
          <w:color w:val="000000" w:themeColor="text1"/>
          <w:sz w:val="28"/>
          <w:szCs w:val="28"/>
          <w:lang w:val="uk-UA"/>
        </w:rPr>
        <w:t xml:space="preserve">. Дропа Я., Петик М. Про особливості мобілізації фінансових ресурсів аграрними підприємствами України. </w:t>
      </w:r>
      <w:r w:rsidRPr="00130466">
        <w:rPr>
          <w:rFonts w:ascii="Times New Roman" w:hAnsi="Times New Roman"/>
          <w:i/>
          <w:color w:val="000000" w:themeColor="text1"/>
          <w:sz w:val="28"/>
          <w:szCs w:val="28"/>
          <w:lang w:val="uk-UA"/>
        </w:rPr>
        <w:t>Вісник Львівського університету. Серія економічна</w:t>
      </w:r>
      <w:r w:rsidRPr="00130466">
        <w:rPr>
          <w:rFonts w:ascii="Times New Roman" w:hAnsi="Times New Roman"/>
          <w:color w:val="000000" w:themeColor="text1"/>
          <w:sz w:val="28"/>
          <w:szCs w:val="28"/>
          <w:lang w:val="uk-UA"/>
        </w:rPr>
        <w:t xml:space="preserve">. 2020. Вип. 59. С. 152–162.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50. Дунська А. Р. Індикатори оцінки інноваційного потенціалу розвитку промислового підприємства в умовах світового ринку. </w:t>
      </w:r>
      <w:r w:rsidRPr="00130466">
        <w:rPr>
          <w:rFonts w:ascii="Times New Roman" w:hAnsi="Times New Roman"/>
          <w:i/>
          <w:color w:val="000000" w:themeColor="text1"/>
          <w:sz w:val="28"/>
          <w:szCs w:val="28"/>
          <w:lang w:val="uk-UA"/>
        </w:rPr>
        <w:t>Вісник НТУ “ХПІ”</w:t>
      </w:r>
      <w:r w:rsidRPr="00130466">
        <w:rPr>
          <w:rFonts w:ascii="Times New Roman" w:hAnsi="Times New Roman"/>
          <w:color w:val="000000" w:themeColor="text1"/>
          <w:sz w:val="28"/>
          <w:szCs w:val="28"/>
          <w:lang w:val="uk-UA"/>
        </w:rPr>
        <w:t xml:space="preserve">. 2013. № 44 (1017). С. 48-58.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51</w:t>
      </w:r>
      <w:r w:rsidRPr="00130466">
        <w:rPr>
          <w:rFonts w:ascii="Times New Roman" w:hAnsi="Times New Roman"/>
          <w:color w:val="000000" w:themeColor="text1"/>
          <w:sz w:val="28"/>
          <w:szCs w:val="28"/>
          <w:lang w:val="uk-UA"/>
        </w:rPr>
        <w:t xml:space="preserve">. Єгорова О.М. Теоретичні аспекти сутності інвестицій та інвестиційної діяльності підприємства. </w:t>
      </w:r>
      <w:r w:rsidRPr="00130466">
        <w:rPr>
          <w:rFonts w:ascii="Times New Roman" w:hAnsi="Times New Roman"/>
          <w:i/>
          <w:color w:val="000000" w:themeColor="text1"/>
          <w:sz w:val="28"/>
          <w:szCs w:val="28"/>
          <w:lang w:val="uk-UA"/>
        </w:rPr>
        <w:t>Бізнес Інформ</w:t>
      </w:r>
      <w:r w:rsidRPr="00130466">
        <w:rPr>
          <w:rFonts w:ascii="Times New Roman" w:hAnsi="Times New Roman"/>
          <w:color w:val="000000" w:themeColor="text1"/>
          <w:sz w:val="28"/>
          <w:szCs w:val="28"/>
          <w:lang w:val="uk-UA"/>
        </w:rPr>
        <w:t xml:space="preserve">. 2017. № 2. С. 89-94.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52</w:t>
      </w:r>
      <w:r w:rsidRPr="00130466">
        <w:rPr>
          <w:rFonts w:ascii="Times New Roman" w:hAnsi="Times New Roman"/>
          <w:color w:val="000000" w:themeColor="text1"/>
          <w:sz w:val="28"/>
          <w:szCs w:val="28"/>
          <w:lang w:val="uk-UA"/>
        </w:rPr>
        <w:t xml:space="preserve">. Ємельянов О. Ю. Модель оцінювання потенціалу економічного розвитку підприємств на засадах аналізування їх властивостей. </w:t>
      </w:r>
      <w:r w:rsidRPr="00130466">
        <w:rPr>
          <w:rFonts w:ascii="Times New Roman" w:hAnsi="Times New Roman"/>
          <w:i/>
          <w:color w:val="000000" w:themeColor="text1"/>
          <w:sz w:val="28"/>
          <w:szCs w:val="28"/>
          <w:lang w:val="uk-UA"/>
        </w:rPr>
        <w:t>Міжнародний науковий журнал «Інтернаука». Серія: «Економічні науки»</w:t>
      </w:r>
      <w:r w:rsidRPr="00130466">
        <w:rPr>
          <w:rFonts w:ascii="Times New Roman" w:hAnsi="Times New Roman"/>
          <w:color w:val="000000" w:themeColor="text1"/>
          <w:sz w:val="28"/>
          <w:szCs w:val="28"/>
          <w:lang w:val="uk-UA"/>
        </w:rPr>
        <w:t xml:space="preserve">. 2019. № 7(27). С. 22-30.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53. Ємельянов О. Ю. Інструментарій оцінювання економічного розвитку підприємств. </w:t>
      </w:r>
      <w:r w:rsidRPr="00130466">
        <w:rPr>
          <w:rFonts w:ascii="Times New Roman" w:hAnsi="Times New Roman"/>
          <w:i/>
          <w:color w:val="000000" w:themeColor="text1"/>
          <w:sz w:val="28"/>
          <w:szCs w:val="28"/>
          <w:lang w:val="uk-UA"/>
        </w:rPr>
        <w:t>Міжнародний науковий журнал «Інтернаука». Серія: «Економічні науки»</w:t>
      </w:r>
      <w:r w:rsidRPr="00130466">
        <w:rPr>
          <w:rFonts w:ascii="Times New Roman" w:hAnsi="Times New Roman"/>
          <w:color w:val="000000" w:themeColor="text1"/>
          <w:sz w:val="28"/>
          <w:szCs w:val="28"/>
          <w:lang w:val="uk-UA"/>
        </w:rPr>
        <w:t xml:space="preserve">. 2019. № 5(25). С. 15-23.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54</w:t>
      </w:r>
      <w:r w:rsidRPr="00130466">
        <w:rPr>
          <w:rFonts w:ascii="Times New Roman" w:hAnsi="Times New Roman"/>
          <w:color w:val="000000" w:themeColor="text1"/>
          <w:sz w:val="28"/>
          <w:szCs w:val="28"/>
          <w:lang w:val="uk-UA"/>
        </w:rPr>
        <w:t xml:space="preserve">. Єфіменко Н. А. Формування інвестиційного потенціалу на підприємствах машинобудівного комплексу.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2007. № 9. С. 17-21.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55</w:t>
      </w:r>
      <w:r w:rsidRPr="00130466">
        <w:rPr>
          <w:rFonts w:ascii="Times New Roman" w:hAnsi="Times New Roman"/>
          <w:color w:val="000000" w:themeColor="text1"/>
          <w:sz w:val="28"/>
          <w:szCs w:val="28"/>
          <w:lang w:val="uk-UA"/>
        </w:rPr>
        <w:t xml:space="preserve">. Запасна Л. С. Економічна сутність розвитку підприємства. </w:t>
      </w:r>
      <w:r w:rsidRPr="00130466">
        <w:rPr>
          <w:rFonts w:ascii="Times New Roman" w:hAnsi="Times New Roman"/>
          <w:i/>
          <w:color w:val="000000" w:themeColor="text1"/>
          <w:sz w:val="28"/>
          <w:szCs w:val="28"/>
          <w:lang w:val="uk-UA"/>
        </w:rPr>
        <w:t>Культура народов Причерноморья</w:t>
      </w:r>
      <w:r w:rsidRPr="00130466">
        <w:rPr>
          <w:rFonts w:ascii="Times New Roman" w:hAnsi="Times New Roman"/>
          <w:color w:val="000000" w:themeColor="text1"/>
          <w:sz w:val="28"/>
          <w:szCs w:val="28"/>
          <w:lang w:val="uk-UA"/>
        </w:rPr>
        <w:t xml:space="preserve">. 2006. № 96. С. 33-37.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56</w:t>
      </w:r>
      <w:r w:rsidRPr="00130466">
        <w:rPr>
          <w:rFonts w:ascii="Times New Roman" w:hAnsi="Times New Roman"/>
          <w:color w:val="000000" w:themeColor="text1"/>
          <w:sz w:val="28"/>
          <w:szCs w:val="28"/>
          <w:lang w:val="uk-UA"/>
        </w:rPr>
        <w:t xml:space="preserve">. Ігнатова Ю.В., Доценко Н.В., Поліщук Є.А. Моделювання потенціалу малих інноваційних підприємств.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2017. №1. С. 23-28.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57</w:t>
      </w:r>
      <w:r w:rsidRPr="00130466">
        <w:rPr>
          <w:rFonts w:ascii="Times New Roman" w:hAnsi="Times New Roman"/>
          <w:color w:val="000000" w:themeColor="text1"/>
          <w:sz w:val="28"/>
          <w:szCs w:val="28"/>
          <w:lang w:val="uk-UA"/>
        </w:rPr>
        <w:t>. Калінеску Т. В., Романовська Ю. А., Кирилов О. Д. Стратегічний потенціал підприємства: формування та розвиток: [монографія]. Луганськ: Вид-во СНУ ім. В. Даля, 2007. 272 с.</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58</w:t>
      </w:r>
      <w:r w:rsidRPr="00130466">
        <w:rPr>
          <w:rFonts w:ascii="Times New Roman" w:hAnsi="Times New Roman"/>
          <w:color w:val="000000" w:themeColor="text1"/>
          <w:sz w:val="28"/>
          <w:szCs w:val="28"/>
          <w:lang w:val="uk-UA"/>
        </w:rPr>
        <w:t xml:space="preserve">. Кальєніна Н. В. Сутність категорії «трудовий потенціал» підприємства. </w:t>
      </w:r>
      <w:r w:rsidRPr="00130466">
        <w:rPr>
          <w:rFonts w:ascii="Times New Roman" w:hAnsi="Times New Roman"/>
          <w:i/>
          <w:color w:val="000000" w:themeColor="text1"/>
          <w:sz w:val="28"/>
          <w:szCs w:val="28"/>
          <w:lang w:val="uk-UA"/>
        </w:rPr>
        <w:t>Держава та регіони. Серія: Економіка та підприємництво</w:t>
      </w:r>
      <w:r w:rsidRPr="00130466">
        <w:rPr>
          <w:rFonts w:ascii="Times New Roman" w:hAnsi="Times New Roman"/>
          <w:color w:val="000000" w:themeColor="text1"/>
          <w:sz w:val="28"/>
          <w:szCs w:val="28"/>
          <w:lang w:val="uk-UA"/>
        </w:rPr>
        <w:t xml:space="preserve">. 2008. № 3. С. 111-115.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59</w:t>
      </w:r>
      <w:r w:rsidRPr="00130466">
        <w:rPr>
          <w:rFonts w:ascii="Times New Roman" w:hAnsi="Times New Roman"/>
          <w:color w:val="000000" w:themeColor="text1"/>
          <w:sz w:val="28"/>
          <w:szCs w:val="28"/>
          <w:lang w:val="uk-UA"/>
        </w:rPr>
        <w:t xml:space="preserve">. Карачина Н. П. Конкурентний потенціал та його роль у формуванні конкурентоспроможності підприємства. </w:t>
      </w:r>
      <w:r w:rsidRPr="00130466">
        <w:rPr>
          <w:rFonts w:ascii="Times New Roman" w:hAnsi="Times New Roman"/>
          <w:i/>
          <w:color w:val="000000" w:themeColor="text1"/>
          <w:sz w:val="28"/>
          <w:szCs w:val="28"/>
          <w:lang w:val="uk-UA"/>
        </w:rPr>
        <w:t>Економічний простір</w:t>
      </w:r>
      <w:r w:rsidRPr="00130466">
        <w:rPr>
          <w:rFonts w:ascii="Times New Roman" w:hAnsi="Times New Roman"/>
          <w:color w:val="000000" w:themeColor="text1"/>
          <w:sz w:val="28"/>
          <w:szCs w:val="28"/>
          <w:lang w:val="uk-UA"/>
        </w:rPr>
        <w:t xml:space="preserve">. 2014. Вип. 86. С. 164-172.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60</w:t>
      </w:r>
      <w:r w:rsidRPr="00130466">
        <w:rPr>
          <w:rFonts w:ascii="Times New Roman" w:hAnsi="Times New Roman"/>
          <w:color w:val="000000" w:themeColor="text1"/>
          <w:sz w:val="28"/>
          <w:szCs w:val="28"/>
          <w:lang w:val="uk-UA"/>
        </w:rPr>
        <w:t xml:space="preserve">. Кемпбелл Р. Макконнелл, Стенлі Л. Брю Аналітична економія: принципи, проблеми і політика. Макроекономіка. Ч. 1. Пер. з англ. Львів.: Просвіта, 1997. 672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61</w:t>
      </w:r>
      <w:r w:rsidRPr="00130466">
        <w:rPr>
          <w:rFonts w:ascii="Times New Roman" w:hAnsi="Times New Roman"/>
          <w:color w:val="000000" w:themeColor="text1"/>
          <w:sz w:val="28"/>
          <w:szCs w:val="28"/>
          <w:lang w:val="uk-UA"/>
        </w:rPr>
        <w:t xml:space="preserve">. Кизим М. О., Шпілевський В. В., Мілютін Г. В. Обґрунтування пріоритетних напрямів структурно-технологічної модернізації сектору електрогенерації. </w:t>
      </w:r>
      <w:r w:rsidRPr="00130466">
        <w:rPr>
          <w:rFonts w:ascii="Times New Roman" w:hAnsi="Times New Roman"/>
          <w:i/>
          <w:color w:val="000000" w:themeColor="text1"/>
          <w:sz w:val="28"/>
          <w:szCs w:val="28"/>
          <w:lang w:val="uk-UA"/>
        </w:rPr>
        <w:t>Проблеми економіки</w:t>
      </w:r>
      <w:r w:rsidRPr="00130466">
        <w:rPr>
          <w:rFonts w:ascii="Times New Roman" w:hAnsi="Times New Roman"/>
          <w:color w:val="000000" w:themeColor="text1"/>
          <w:sz w:val="28"/>
          <w:szCs w:val="28"/>
          <w:lang w:val="uk-UA"/>
        </w:rPr>
        <w:t xml:space="preserve">. 2018. № 1. С. 69-86.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62</w:t>
      </w:r>
      <w:r w:rsidRPr="00130466">
        <w:rPr>
          <w:rFonts w:ascii="Times New Roman" w:hAnsi="Times New Roman"/>
          <w:color w:val="000000" w:themeColor="text1"/>
          <w:sz w:val="28"/>
          <w:szCs w:val="28"/>
          <w:lang w:val="uk-UA"/>
        </w:rPr>
        <w:t xml:space="preserve">. Клименко С. М. Формування стратегії розвитку підприємства з урахуванням ризиків. </w:t>
      </w:r>
      <w:r w:rsidRPr="00130466">
        <w:rPr>
          <w:rFonts w:ascii="Times New Roman" w:hAnsi="Times New Roman"/>
          <w:i/>
          <w:color w:val="000000" w:themeColor="text1"/>
          <w:sz w:val="28"/>
          <w:szCs w:val="28"/>
          <w:lang w:val="uk-UA"/>
        </w:rPr>
        <w:t>Бізнес-Інформ</w:t>
      </w:r>
      <w:r w:rsidRPr="00130466">
        <w:rPr>
          <w:rFonts w:ascii="Times New Roman" w:hAnsi="Times New Roman"/>
          <w:color w:val="000000" w:themeColor="text1"/>
          <w:sz w:val="28"/>
          <w:szCs w:val="28"/>
          <w:lang w:val="uk-UA"/>
        </w:rPr>
        <w:t xml:space="preserve">. 2013. № 8. С. 343-347.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63</w:t>
      </w:r>
      <w:r w:rsidRPr="00130466">
        <w:rPr>
          <w:rFonts w:ascii="Times New Roman" w:hAnsi="Times New Roman"/>
          <w:color w:val="000000" w:themeColor="text1"/>
          <w:sz w:val="28"/>
          <w:szCs w:val="28"/>
          <w:lang w:val="uk-UA"/>
        </w:rPr>
        <w:t xml:space="preserve">. Князь С. В., Георгіаді Н. Г., Федорчак О. Є. Метод аналізування рівня інвестиційної привабливості підприємства. </w:t>
      </w:r>
      <w:r w:rsidRPr="00130466">
        <w:rPr>
          <w:rFonts w:ascii="Times New Roman" w:hAnsi="Times New Roman"/>
          <w:i/>
          <w:color w:val="000000" w:themeColor="text1"/>
          <w:sz w:val="28"/>
          <w:szCs w:val="28"/>
          <w:lang w:val="uk-UA"/>
        </w:rPr>
        <w:t>Вісник Національного університету "Львівська політехніка". Серія «Менеджмент та підприємництво в Україні»</w:t>
      </w:r>
      <w:r w:rsidRPr="00130466">
        <w:rPr>
          <w:rFonts w:ascii="Times New Roman" w:hAnsi="Times New Roman"/>
          <w:color w:val="000000" w:themeColor="text1"/>
          <w:sz w:val="28"/>
          <w:szCs w:val="28"/>
          <w:lang w:val="uk-UA"/>
        </w:rPr>
        <w:t xml:space="preserve">, 2014. Вип. 794. С. 255-262.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64</w:t>
      </w:r>
      <w:r w:rsidRPr="00130466">
        <w:rPr>
          <w:rFonts w:ascii="Times New Roman" w:hAnsi="Times New Roman"/>
          <w:color w:val="000000" w:themeColor="text1"/>
          <w:sz w:val="28"/>
          <w:szCs w:val="28"/>
          <w:lang w:val="uk-UA"/>
        </w:rPr>
        <w:t xml:space="preserve">. Кобеля З. І., Кутаренко Н. Я., Рудько К. І. Інвестиційний потенціал України в умовах фінансово-економічної кризи.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2017. № 22. С. 32-37.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65</w:t>
      </w:r>
      <w:r w:rsidRPr="00130466">
        <w:rPr>
          <w:rFonts w:ascii="Times New Roman" w:hAnsi="Times New Roman"/>
          <w:color w:val="000000" w:themeColor="text1"/>
          <w:sz w:val="28"/>
          <w:szCs w:val="28"/>
          <w:lang w:val="uk-UA"/>
        </w:rPr>
        <w:t xml:space="preserve">. Кобєлєв В. М., Захарченко Ю. В. Теоретичні та методологічні основи формування стратегії розвитку підприємства. </w:t>
      </w:r>
      <w:r w:rsidRPr="00130466">
        <w:rPr>
          <w:rFonts w:ascii="Times New Roman" w:hAnsi="Times New Roman"/>
          <w:i/>
          <w:color w:val="000000" w:themeColor="text1"/>
          <w:sz w:val="28"/>
          <w:szCs w:val="28"/>
          <w:lang w:val="uk-UA"/>
        </w:rPr>
        <w:t>Вісник економіки транспорту і промисловості</w:t>
      </w:r>
      <w:r w:rsidRPr="00130466">
        <w:rPr>
          <w:rFonts w:ascii="Times New Roman" w:hAnsi="Times New Roman"/>
          <w:color w:val="000000" w:themeColor="text1"/>
          <w:sz w:val="28"/>
          <w:szCs w:val="28"/>
          <w:lang w:val="uk-UA"/>
        </w:rPr>
        <w:t xml:space="preserve">. 2020. Вип. 42. С. 297 – 303.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66</w:t>
      </w:r>
      <w:r w:rsidRPr="00130466">
        <w:rPr>
          <w:rFonts w:ascii="Times New Roman" w:hAnsi="Times New Roman"/>
          <w:color w:val="000000" w:themeColor="text1"/>
          <w:sz w:val="28"/>
          <w:szCs w:val="28"/>
          <w:lang w:val="uk-UA"/>
        </w:rPr>
        <w:t xml:space="preserve">. Коваленко О. В., Калита В. І. Стратегія діяльності підприємства як генеральна програма розвитку. </w:t>
      </w:r>
      <w:r w:rsidRPr="00130466">
        <w:rPr>
          <w:rFonts w:ascii="Times New Roman" w:hAnsi="Times New Roman"/>
          <w:i/>
          <w:color w:val="000000" w:themeColor="text1"/>
          <w:sz w:val="28"/>
          <w:szCs w:val="28"/>
          <w:lang w:val="uk-UA"/>
        </w:rPr>
        <w:t>Проблеми системного підходу в економіці</w:t>
      </w:r>
      <w:r w:rsidRPr="00130466">
        <w:rPr>
          <w:rFonts w:ascii="Times New Roman" w:hAnsi="Times New Roman"/>
          <w:color w:val="000000" w:themeColor="text1"/>
          <w:sz w:val="28"/>
          <w:szCs w:val="28"/>
          <w:lang w:val="uk-UA"/>
        </w:rPr>
        <w:t xml:space="preserve">. 2016. Вип. 54. С. 35-39.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67</w:t>
      </w:r>
      <w:r w:rsidRPr="00130466">
        <w:rPr>
          <w:rFonts w:ascii="Times New Roman" w:hAnsi="Times New Roman"/>
          <w:color w:val="000000" w:themeColor="text1"/>
          <w:sz w:val="28"/>
          <w:szCs w:val="28"/>
          <w:lang w:val="uk-UA"/>
        </w:rPr>
        <w:t xml:space="preserve">. Коваль В. В., Башинська М. І., Редьква О. З. Розвиток машинобудівного комплексу в контексті забезпечення його економічної безпеки. </w:t>
      </w:r>
      <w:r w:rsidRPr="00130466">
        <w:rPr>
          <w:rFonts w:ascii="Times New Roman" w:hAnsi="Times New Roman"/>
          <w:i/>
          <w:color w:val="000000" w:themeColor="text1"/>
          <w:sz w:val="28"/>
          <w:szCs w:val="28"/>
          <w:lang w:val="uk-UA"/>
        </w:rPr>
        <w:t>Причорноморські економічні студії</w:t>
      </w:r>
      <w:r w:rsidRPr="00130466">
        <w:rPr>
          <w:rFonts w:ascii="Times New Roman" w:hAnsi="Times New Roman"/>
          <w:color w:val="000000" w:themeColor="text1"/>
          <w:sz w:val="28"/>
          <w:szCs w:val="28"/>
          <w:lang w:val="uk-UA"/>
        </w:rPr>
        <w:t xml:space="preserve">. 2016. № 7. С. 117-120.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68</w:t>
      </w:r>
      <w:r w:rsidRPr="00130466">
        <w:rPr>
          <w:rFonts w:ascii="Times New Roman" w:hAnsi="Times New Roman"/>
          <w:color w:val="000000" w:themeColor="text1"/>
          <w:sz w:val="28"/>
          <w:szCs w:val="28"/>
          <w:lang w:val="uk-UA"/>
        </w:rPr>
        <w:t xml:space="preserve">. Козик В. В., Ємельянов О. Ю., Гришко В. А. Методологічні засади оцінювання інвестиційного потенціалу машинобудівних підприємств. </w:t>
      </w:r>
      <w:r w:rsidRPr="00130466">
        <w:rPr>
          <w:rFonts w:ascii="Times New Roman" w:hAnsi="Times New Roman"/>
          <w:i/>
          <w:color w:val="000000" w:themeColor="text1"/>
          <w:sz w:val="28"/>
          <w:szCs w:val="28"/>
          <w:lang w:val="uk-UA"/>
        </w:rPr>
        <w:t>Науковий вісник НЛТУ України</w:t>
      </w:r>
      <w:r w:rsidRPr="00130466">
        <w:rPr>
          <w:rFonts w:ascii="Times New Roman" w:hAnsi="Times New Roman"/>
          <w:color w:val="000000" w:themeColor="text1"/>
          <w:sz w:val="28"/>
          <w:szCs w:val="28"/>
          <w:lang w:val="uk-UA"/>
        </w:rPr>
        <w:t xml:space="preserve">. 2014. № 24 (5). С. 256-263.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69</w:t>
      </w:r>
      <w:r w:rsidRPr="00130466">
        <w:rPr>
          <w:rFonts w:ascii="Times New Roman" w:hAnsi="Times New Roman"/>
          <w:color w:val="000000" w:themeColor="text1"/>
          <w:sz w:val="28"/>
          <w:szCs w:val="28"/>
          <w:lang w:val="uk-UA"/>
        </w:rPr>
        <w:t xml:space="preserve">. Козик В. В., Ємельянов О. Ю., Загорецька О. Я. Економіка підприємства: навч. посібник. Львів: Простір – М, 2017. 406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70</w:t>
      </w:r>
      <w:r w:rsidRPr="00130466">
        <w:rPr>
          <w:rFonts w:ascii="Times New Roman" w:hAnsi="Times New Roman"/>
          <w:color w:val="000000" w:themeColor="text1"/>
          <w:sz w:val="28"/>
          <w:szCs w:val="28"/>
          <w:lang w:val="uk-UA"/>
        </w:rPr>
        <w:t xml:space="preserve">. Козик В. В., Ємельянов О. Ю., Лесик Л. І. Система показників оцінювання поточного рівня ендогенного економічного потенціалу підприємств. </w:t>
      </w:r>
      <w:r w:rsidRPr="00130466">
        <w:rPr>
          <w:rFonts w:ascii="Times New Roman" w:hAnsi="Times New Roman"/>
          <w:i/>
          <w:color w:val="000000" w:themeColor="text1"/>
          <w:sz w:val="28"/>
          <w:szCs w:val="28"/>
          <w:lang w:val="uk-UA"/>
        </w:rPr>
        <w:t>Економічний простір</w:t>
      </w:r>
      <w:r w:rsidRPr="00130466">
        <w:rPr>
          <w:rFonts w:ascii="Times New Roman" w:hAnsi="Times New Roman"/>
          <w:color w:val="000000" w:themeColor="text1"/>
          <w:sz w:val="28"/>
          <w:szCs w:val="28"/>
          <w:lang w:val="uk-UA"/>
        </w:rPr>
        <w:t xml:space="preserve">. 2014. Вип. 86. С. 173-184.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71</w:t>
      </w:r>
      <w:r w:rsidRPr="00130466">
        <w:rPr>
          <w:rFonts w:ascii="Times New Roman" w:hAnsi="Times New Roman"/>
          <w:color w:val="000000" w:themeColor="text1"/>
          <w:sz w:val="28"/>
          <w:szCs w:val="28"/>
          <w:lang w:val="uk-UA"/>
        </w:rPr>
        <w:t xml:space="preserve">. Корнійчук Г. В. Характеристика фінансового потенціалу підприємства як економічної характеристики. </w:t>
      </w:r>
      <w:r w:rsidRPr="00130466">
        <w:rPr>
          <w:rFonts w:ascii="Times New Roman" w:hAnsi="Times New Roman"/>
          <w:i/>
          <w:color w:val="000000" w:themeColor="text1"/>
          <w:sz w:val="28"/>
          <w:szCs w:val="28"/>
          <w:lang w:val="uk-UA"/>
        </w:rPr>
        <w:t>Економіка АПК</w:t>
      </w:r>
      <w:r w:rsidRPr="00130466">
        <w:rPr>
          <w:rFonts w:ascii="Times New Roman" w:hAnsi="Times New Roman"/>
          <w:color w:val="000000" w:themeColor="text1"/>
          <w:sz w:val="28"/>
          <w:szCs w:val="28"/>
          <w:lang w:val="uk-UA"/>
        </w:rPr>
        <w:t xml:space="preserve">. 2016. № 11. С. 44-49.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72</w:t>
      </w:r>
      <w:r w:rsidRPr="00130466">
        <w:rPr>
          <w:rFonts w:ascii="Times New Roman" w:hAnsi="Times New Roman"/>
          <w:color w:val="000000" w:themeColor="text1"/>
          <w:sz w:val="28"/>
          <w:szCs w:val="28"/>
          <w:lang w:val="uk-UA"/>
        </w:rPr>
        <w:t xml:space="preserve">. Косіюк О. М., Батик А. Ю. Потенціал підприємства: формування і оцінка. </w:t>
      </w:r>
      <w:r w:rsidRPr="00130466">
        <w:rPr>
          <w:rFonts w:ascii="Times New Roman" w:hAnsi="Times New Roman"/>
          <w:i/>
          <w:color w:val="000000" w:themeColor="text1"/>
          <w:sz w:val="28"/>
          <w:szCs w:val="28"/>
          <w:lang w:val="uk-UA"/>
        </w:rPr>
        <w:t>Наука й економіка: науково-теоретичний журнал Хмельницького економічного університету</w:t>
      </w:r>
      <w:r w:rsidRPr="00130466">
        <w:rPr>
          <w:rFonts w:ascii="Times New Roman" w:hAnsi="Times New Roman"/>
          <w:color w:val="000000" w:themeColor="text1"/>
          <w:sz w:val="28"/>
          <w:szCs w:val="28"/>
          <w:lang w:val="uk-UA"/>
        </w:rPr>
        <w:t xml:space="preserve">. 2007. № 2 (6). С. 57-64.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73</w:t>
      </w:r>
      <w:r w:rsidRPr="00130466">
        <w:rPr>
          <w:rFonts w:ascii="Times New Roman" w:hAnsi="Times New Roman"/>
          <w:color w:val="000000" w:themeColor="text1"/>
          <w:sz w:val="28"/>
          <w:szCs w:val="28"/>
          <w:lang w:val="uk-UA"/>
        </w:rPr>
        <w:t xml:space="preserve">. Костирко Р. О. Розвиток методології контролю економічного потенціалу підприємств в ринкових умовах.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2011. № 9. С. 145-153.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74</w:t>
      </w:r>
      <w:r w:rsidRPr="00130466">
        <w:rPr>
          <w:rFonts w:ascii="Times New Roman" w:hAnsi="Times New Roman"/>
          <w:color w:val="000000" w:themeColor="text1"/>
          <w:sz w:val="28"/>
          <w:szCs w:val="28"/>
          <w:lang w:val="uk-UA"/>
        </w:rPr>
        <w:t xml:space="preserve">. Крупка М. І., Демчишак Н. Б. Сучасна парадигма фінансового регулювання інноваційної діяльності в Україні. </w:t>
      </w:r>
      <w:r w:rsidRPr="00130466">
        <w:rPr>
          <w:rFonts w:ascii="Times New Roman" w:hAnsi="Times New Roman"/>
          <w:i/>
          <w:color w:val="000000" w:themeColor="text1"/>
          <w:sz w:val="28"/>
          <w:szCs w:val="28"/>
          <w:lang w:val="uk-UA"/>
        </w:rPr>
        <w:t>Фінанси України</w:t>
      </w:r>
      <w:r w:rsidRPr="00130466">
        <w:rPr>
          <w:rFonts w:ascii="Times New Roman" w:hAnsi="Times New Roman"/>
          <w:color w:val="000000" w:themeColor="text1"/>
          <w:sz w:val="28"/>
          <w:szCs w:val="28"/>
          <w:lang w:val="uk-UA"/>
        </w:rPr>
        <w:t xml:space="preserve">. 2017. № 11. С. 47-64.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75</w:t>
      </w:r>
      <w:r w:rsidRPr="00130466">
        <w:rPr>
          <w:rFonts w:ascii="Times New Roman" w:hAnsi="Times New Roman"/>
          <w:color w:val="000000" w:themeColor="text1"/>
          <w:sz w:val="28"/>
          <w:szCs w:val="28"/>
          <w:lang w:val="uk-UA"/>
        </w:rPr>
        <w:t xml:space="preserve">. Крупка М., Дропа Я., Макаренко У. Інвестиційна поведінка домашніх господарств на фінансовому ринку України. </w:t>
      </w:r>
      <w:r w:rsidRPr="00130466">
        <w:rPr>
          <w:rFonts w:ascii="Times New Roman" w:hAnsi="Times New Roman"/>
          <w:i/>
          <w:color w:val="000000" w:themeColor="text1"/>
          <w:sz w:val="28"/>
          <w:szCs w:val="28"/>
          <w:lang w:val="uk-UA"/>
        </w:rPr>
        <w:t>Формування ринкової економіки в Україні</w:t>
      </w:r>
      <w:r w:rsidRPr="00130466">
        <w:rPr>
          <w:rFonts w:ascii="Times New Roman" w:hAnsi="Times New Roman"/>
          <w:color w:val="000000" w:themeColor="text1"/>
          <w:sz w:val="28"/>
          <w:szCs w:val="28"/>
          <w:lang w:val="uk-UA"/>
        </w:rPr>
        <w:t xml:space="preserve">. 2018. Вип. 40, Ч. 1. С. 265 – 276.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76</w:t>
      </w:r>
      <w:r w:rsidRPr="00130466">
        <w:rPr>
          <w:rFonts w:ascii="Times New Roman" w:hAnsi="Times New Roman"/>
          <w:color w:val="000000" w:themeColor="text1"/>
          <w:sz w:val="28"/>
          <w:szCs w:val="28"/>
          <w:lang w:val="uk-UA"/>
        </w:rPr>
        <w:t>. Крупка М.І., Юрків Р.Р. Активізація інвестиційно-інноваційної діяльності суб’єктів малого підприємництва в Україні // IV міжнародна науковопрактична конференція "Проблеми становлення інформаційної економіки в Україні". ЛНУ Франка, 17-18 жовтня 2019 р. С. 63-65.</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77</w:t>
      </w:r>
      <w:r w:rsidRPr="00130466">
        <w:rPr>
          <w:rFonts w:ascii="Times New Roman" w:hAnsi="Times New Roman"/>
          <w:color w:val="000000" w:themeColor="text1"/>
          <w:sz w:val="28"/>
          <w:szCs w:val="28"/>
          <w:lang w:val="uk-UA"/>
        </w:rPr>
        <w:t xml:space="preserve">. Крупка Я. Д. Облік інвестицій: монографія. Тернопіль: Економічна думка, 2001. 302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78</w:t>
      </w:r>
      <w:r w:rsidRPr="00130466">
        <w:rPr>
          <w:rFonts w:ascii="Times New Roman" w:hAnsi="Times New Roman"/>
          <w:color w:val="000000" w:themeColor="text1"/>
          <w:sz w:val="28"/>
          <w:szCs w:val="28"/>
          <w:lang w:val="uk-UA"/>
        </w:rPr>
        <w:t xml:space="preserve">. Кубрак Н. Р., Крикавський Є. В., Косар Н.С. Потенціал еластичності у формуванні конкурентоспроможності промислових підприємств: [монографія]. Львів: Видавництво Львівської політехніки, 2013. 204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79</w:t>
      </w:r>
      <w:r w:rsidRPr="00130466">
        <w:rPr>
          <w:rFonts w:ascii="Times New Roman" w:hAnsi="Times New Roman"/>
          <w:color w:val="000000" w:themeColor="text1"/>
          <w:sz w:val="28"/>
          <w:szCs w:val="28"/>
          <w:lang w:val="uk-UA"/>
        </w:rPr>
        <w:t xml:space="preserve">. Кузьмін О. Є., Мельник О. Г. Діагностика потенціалу підприємства. </w:t>
      </w:r>
      <w:r w:rsidRPr="00130466">
        <w:rPr>
          <w:rFonts w:ascii="Times New Roman" w:hAnsi="Times New Roman"/>
          <w:i/>
          <w:color w:val="000000" w:themeColor="text1"/>
          <w:sz w:val="28"/>
          <w:szCs w:val="28"/>
          <w:lang w:val="uk-UA"/>
        </w:rPr>
        <w:t>Маркетинг та менеджмент інновацій</w:t>
      </w:r>
      <w:r w:rsidRPr="00130466">
        <w:rPr>
          <w:rFonts w:ascii="Times New Roman" w:hAnsi="Times New Roman"/>
          <w:color w:val="000000" w:themeColor="text1"/>
          <w:sz w:val="28"/>
          <w:szCs w:val="28"/>
          <w:lang w:val="uk-UA"/>
        </w:rPr>
        <w:t xml:space="preserve">. 2011. № 1. С. 155-166.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80</w:t>
      </w:r>
      <w:r w:rsidRPr="00130466">
        <w:rPr>
          <w:rFonts w:ascii="Times New Roman" w:hAnsi="Times New Roman"/>
          <w:color w:val="000000" w:themeColor="text1"/>
          <w:sz w:val="28"/>
          <w:szCs w:val="28"/>
          <w:lang w:val="uk-UA"/>
        </w:rPr>
        <w:t xml:space="preserve">. Кукош М. С. Концепція формування інвестиційного потенціалу регіону. </w:t>
      </w:r>
      <w:r w:rsidRPr="00130466">
        <w:rPr>
          <w:rFonts w:ascii="Times New Roman" w:hAnsi="Times New Roman"/>
          <w:i/>
          <w:color w:val="000000" w:themeColor="text1"/>
          <w:sz w:val="28"/>
          <w:szCs w:val="28"/>
          <w:lang w:val="uk-UA"/>
        </w:rPr>
        <w:t>Науковий вісник Ужгородського національного університету</w:t>
      </w:r>
      <w:r w:rsidRPr="00130466">
        <w:rPr>
          <w:rFonts w:ascii="Times New Roman" w:hAnsi="Times New Roman"/>
          <w:color w:val="000000" w:themeColor="text1"/>
          <w:sz w:val="28"/>
          <w:szCs w:val="28"/>
          <w:lang w:val="uk-UA"/>
        </w:rPr>
        <w:t xml:space="preserve">. 2018. №19. С. 66-70.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81</w:t>
      </w:r>
      <w:r w:rsidRPr="00130466">
        <w:rPr>
          <w:rFonts w:ascii="Times New Roman" w:hAnsi="Times New Roman"/>
          <w:color w:val="000000" w:themeColor="text1"/>
          <w:sz w:val="28"/>
          <w:szCs w:val="28"/>
          <w:lang w:val="uk-UA"/>
        </w:rPr>
        <w:t xml:space="preserve">. Куліш Г. П., Чепка В. В. Фінансовий потенціал підприємства та його роль в умовах нестабільної економіки. </w:t>
      </w:r>
      <w:r w:rsidRPr="00130466">
        <w:rPr>
          <w:rFonts w:ascii="Times New Roman" w:hAnsi="Times New Roman"/>
          <w:i/>
          <w:color w:val="000000" w:themeColor="text1"/>
          <w:sz w:val="28"/>
          <w:szCs w:val="28"/>
          <w:lang w:val="uk-UA"/>
        </w:rPr>
        <w:t>Статистика України</w:t>
      </w:r>
      <w:r w:rsidRPr="00130466">
        <w:rPr>
          <w:rFonts w:ascii="Times New Roman" w:hAnsi="Times New Roman"/>
          <w:color w:val="000000" w:themeColor="text1"/>
          <w:sz w:val="28"/>
          <w:szCs w:val="28"/>
          <w:lang w:val="uk-UA"/>
        </w:rPr>
        <w:t>. 2017. № 1. С. 29–35.</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82</w:t>
      </w:r>
      <w:r w:rsidRPr="00130466">
        <w:rPr>
          <w:rFonts w:ascii="Times New Roman" w:hAnsi="Times New Roman"/>
          <w:color w:val="000000" w:themeColor="text1"/>
          <w:sz w:val="28"/>
          <w:szCs w:val="28"/>
          <w:lang w:val="uk-UA"/>
        </w:rPr>
        <w:t xml:space="preserve">. Кунцевич В. О. Поняття фінансового потенціалу розвитку підприємства та його оцінки.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2004. № 7(37). С. 123-130.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83</w:t>
      </w:r>
      <w:r w:rsidRPr="00130466">
        <w:rPr>
          <w:rFonts w:ascii="Times New Roman" w:hAnsi="Times New Roman"/>
          <w:color w:val="000000" w:themeColor="text1"/>
          <w:sz w:val="28"/>
          <w:szCs w:val="28"/>
          <w:lang w:val="uk-UA"/>
        </w:rPr>
        <w:t xml:space="preserve">. Курченко О.О. Державна підтримка стартапів: досвід Польщі, уроки для України. </w:t>
      </w:r>
      <w:r w:rsidRPr="00130466">
        <w:rPr>
          <w:rFonts w:ascii="Times New Roman" w:hAnsi="Times New Roman"/>
          <w:i/>
          <w:color w:val="000000" w:themeColor="text1"/>
          <w:sz w:val="28"/>
          <w:szCs w:val="28"/>
          <w:lang w:val="uk-UA"/>
        </w:rPr>
        <w:t>Проблеми науки</w:t>
      </w:r>
      <w:r w:rsidRPr="00130466">
        <w:rPr>
          <w:rFonts w:ascii="Times New Roman" w:hAnsi="Times New Roman"/>
          <w:color w:val="000000" w:themeColor="text1"/>
          <w:sz w:val="28"/>
          <w:szCs w:val="28"/>
          <w:lang w:val="uk-UA"/>
        </w:rPr>
        <w:t xml:space="preserve">. 2015. № 12. С. 25–32.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84. Левченко Н. М. Фінансовий потенціал підприємства: сутність та підходи до діагностики. </w:t>
      </w:r>
      <w:r w:rsidRPr="00130466">
        <w:rPr>
          <w:rFonts w:ascii="Times New Roman" w:hAnsi="Times New Roman"/>
          <w:i/>
          <w:color w:val="000000" w:themeColor="text1"/>
          <w:sz w:val="28"/>
          <w:szCs w:val="28"/>
          <w:lang w:val="uk-UA"/>
        </w:rPr>
        <w:t>Інвестиції: практика та довід</w:t>
      </w:r>
      <w:r w:rsidRPr="00130466">
        <w:rPr>
          <w:rFonts w:ascii="Times New Roman" w:hAnsi="Times New Roman"/>
          <w:color w:val="000000" w:themeColor="text1"/>
          <w:sz w:val="28"/>
          <w:szCs w:val="28"/>
          <w:lang w:val="uk-UA"/>
        </w:rPr>
        <w:t xml:space="preserve">. 2012. № 2. С. 114–117.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85</w:t>
      </w:r>
      <w:r w:rsidRPr="00130466">
        <w:rPr>
          <w:rFonts w:ascii="Times New Roman" w:hAnsi="Times New Roman"/>
          <w:color w:val="000000" w:themeColor="text1"/>
          <w:sz w:val="28"/>
          <w:szCs w:val="28"/>
          <w:lang w:val="uk-UA"/>
        </w:rPr>
        <w:t xml:space="preserve">. Лимич Ю. В. Механізми формування та використання інноваційно-інвестиційного потенціалу економічного розвитку: автореф. дис. на здоб. наук. ступеня канд. екон. наук : спец. 08.00.04 "Економіка та упр. п-вами (за видами економічної діяльності)". Одеса, 2015. 20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86</w:t>
      </w:r>
      <w:r w:rsidRPr="00130466">
        <w:rPr>
          <w:rFonts w:ascii="Times New Roman" w:hAnsi="Times New Roman"/>
          <w:color w:val="000000" w:themeColor="text1"/>
          <w:sz w:val="28"/>
          <w:szCs w:val="28"/>
          <w:lang w:val="uk-UA"/>
        </w:rPr>
        <w:t>. Майорова Т. В. Інвестиційна діяльність: підруч</w:t>
      </w:r>
      <w:r w:rsidR="004009DE" w:rsidRPr="00130466">
        <w:rPr>
          <w:rFonts w:ascii="Times New Roman" w:hAnsi="Times New Roman"/>
          <w:color w:val="000000" w:themeColor="text1"/>
          <w:sz w:val="28"/>
          <w:szCs w:val="28"/>
          <w:lang w:val="uk-UA"/>
        </w:rPr>
        <w:t xml:space="preserve"> [</w:t>
      </w:r>
      <w:r w:rsidRPr="00130466">
        <w:rPr>
          <w:rFonts w:ascii="Times New Roman" w:hAnsi="Times New Roman"/>
          <w:color w:val="000000" w:themeColor="text1"/>
          <w:sz w:val="28"/>
          <w:szCs w:val="28"/>
          <w:lang w:val="uk-UA"/>
        </w:rPr>
        <w:t xml:space="preserve">для студ. вищ. навч. закл.]. К.: Центр учбової лiтeрaтури, 2009. 472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87</w:t>
      </w:r>
      <w:r w:rsidRPr="00130466">
        <w:rPr>
          <w:rFonts w:ascii="Times New Roman" w:hAnsi="Times New Roman"/>
          <w:color w:val="000000" w:themeColor="text1"/>
          <w:sz w:val="28"/>
          <w:szCs w:val="28"/>
          <w:lang w:val="uk-UA"/>
        </w:rPr>
        <w:t xml:space="preserve">. Максименко І. О., Бокій В. І. Ринкова вартість підприємства як результат реалізації його економічного потенціалу. </w:t>
      </w:r>
      <w:r w:rsidRPr="00130466">
        <w:rPr>
          <w:rFonts w:ascii="Times New Roman" w:hAnsi="Times New Roman"/>
          <w:i/>
          <w:color w:val="000000" w:themeColor="text1"/>
          <w:sz w:val="28"/>
          <w:szCs w:val="28"/>
          <w:lang w:val="uk-UA"/>
        </w:rPr>
        <w:t>Вісник Хмельницького національного університету</w:t>
      </w:r>
      <w:r w:rsidRPr="00130466">
        <w:rPr>
          <w:rFonts w:ascii="Times New Roman" w:hAnsi="Times New Roman"/>
          <w:color w:val="000000" w:themeColor="text1"/>
          <w:sz w:val="28"/>
          <w:szCs w:val="28"/>
          <w:lang w:val="uk-UA"/>
        </w:rPr>
        <w:t xml:space="preserve">. 2008. № 3 (1). С. 192-221.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88</w:t>
      </w:r>
      <w:r w:rsidRPr="00130466">
        <w:rPr>
          <w:rFonts w:ascii="Times New Roman" w:hAnsi="Times New Roman"/>
          <w:color w:val="000000" w:themeColor="text1"/>
          <w:sz w:val="28"/>
          <w:szCs w:val="28"/>
          <w:lang w:val="uk-UA"/>
        </w:rPr>
        <w:t xml:space="preserve">. Мала Н. Т., Грабельська О. В. Економічний розвиток підприємства: планування та моделювання. </w:t>
      </w:r>
      <w:r w:rsidRPr="00130466">
        <w:rPr>
          <w:rFonts w:ascii="Times New Roman" w:hAnsi="Times New Roman"/>
          <w:i/>
          <w:color w:val="000000" w:themeColor="text1"/>
          <w:sz w:val="28"/>
          <w:szCs w:val="28"/>
          <w:lang w:val="uk-UA"/>
        </w:rPr>
        <w:t>Вісник Національного університету «Львівська політехніка». Серія: «Менеджмент та підприємництво в Україні»</w:t>
      </w:r>
      <w:r w:rsidRPr="00130466">
        <w:rPr>
          <w:rFonts w:ascii="Times New Roman" w:hAnsi="Times New Roman"/>
          <w:color w:val="000000" w:themeColor="text1"/>
          <w:sz w:val="28"/>
          <w:szCs w:val="28"/>
          <w:lang w:val="uk-UA"/>
        </w:rPr>
        <w:t xml:space="preserve">. 2012. Вип. 739. С. 22-28.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89</w:t>
      </w:r>
      <w:r w:rsidRPr="00130466">
        <w:rPr>
          <w:rFonts w:ascii="Times New Roman" w:hAnsi="Times New Roman"/>
          <w:color w:val="000000" w:themeColor="text1"/>
          <w:sz w:val="28"/>
          <w:szCs w:val="28"/>
          <w:lang w:val="uk-UA"/>
        </w:rPr>
        <w:t xml:space="preserve">. Мамонтова Н. А. Побудова системи управління вартістю компанії.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2010. № 1(103). С. 21–26.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90</w:t>
      </w:r>
      <w:r w:rsidRPr="00130466">
        <w:rPr>
          <w:rFonts w:ascii="Times New Roman" w:hAnsi="Times New Roman"/>
          <w:color w:val="000000" w:themeColor="text1"/>
          <w:sz w:val="28"/>
          <w:szCs w:val="28"/>
          <w:lang w:val="uk-UA"/>
        </w:rPr>
        <w:t xml:space="preserve">. Маринич І. А. Сучасні підходи до діагностики фінансового потенціалу підприємства. </w:t>
      </w:r>
      <w:r w:rsidRPr="00130466">
        <w:rPr>
          <w:rFonts w:ascii="Times New Roman" w:hAnsi="Times New Roman"/>
          <w:i/>
          <w:color w:val="000000" w:themeColor="text1"/>
          <w:sz w:val="28"/>
          <w:szCs w:val="28"/>
          <w:lang w:val="uk-UA"/>
        </w:rPr>
        <w:t>Науковий вісник НЛТУ України</w:t>
      </w:r>
      <w:r w:rsidRPr="00130466">
        <w:rPr>
          <w:rFonts w:ascii="Times New Roman" w:hAnsi="Times New Roman"/>
          <w:color w:val="000000" w:themeColor="text1"/>
          <w:sz w:val="28"/>
          <w:szCs w:val="28"/>
          <w:lang w:val="uk-UA"/>
        </w:rPr>
        <w:t xml:space="preserve">. 2010. Вип. 20.1. С. 105–108.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91</w:t>
      </w:r>
      <w:r w:rsidRPr="00130466">
        <w:rPr>
          <w:rFonts w:ascii="Times New Roman" w:hAnsi="Times New Roman"/>
          <w:color w:val="000000" w:themeColor="text1"/>
          <w:sz w:val="28"/>
          <w:szCs w:val="28"/>
          <w:lang w:val="uk-UA"/>
        </w:rPr>
        <w:t xml:space="preserve">. Марків І. А., Сьомич М. І., Дячков Д. В. Oрганізаційно-економічний механізм управління інформаційним потенціалом підприємства. </w:t>
      </w:r>
      <w:r w:rsidRPr="00130466">
        <w:rPr>
          <w:rFonts w:ascii="Times New Roman" w:hAnsi="Times New Roman"/>
          <w:i/>
          <w:color w:val="000000" w:themeColor="text1"/>
          <w:sz w:val="28"/>
          <w:szCs w:val="28"/>
          <w:lang w:val="uk-UA"/>
        </w:rPr>
        <w:t>Економічний форум</w:t>
      </w:r>
      <w:r w:rsidRPr="00130466">
        <w:rPr>
          <w:rFonts w:ascii="Times New Roman" w:hAnsi="Times New Roman"/>
          <w:color w:val="000000" w:themeColor="text1"/>
          <w:sz w:val="28"/>
          <w:szCs w:val="28"/>
          <w:lang w:val="uk-UA"/>
        </w:rPr>
        <w:t xml:space="preserve">. 2016. № 2. С. 175-181.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92. </w:t>
      </w:r>
      <w:r w:rsidRPr="00130466">
        <w:rPr>
          <w:rFonts w:ascii="Times New Roman" w:hAnsi="Times New Roman"/>
          <w:color w:val="000000" w:themeColor="text1"/>
          <w:sz w:val="28"/>
          <w:szCs w:val="28"/>
          <w:lang w:val="uk-UA"/>
        </w:rPr>
        <w:t xml:space="preserve">Маслак О. І., Квятковська Л. А. Основні етапи оцінювання стратегічного потенціалу підприємства. </w:t>
      </w:r>
      <w:r w:rsidRPr="00130466">
        <w:rPr>
          <w:rFonts w:ascii="Times New Roman" w:hAnsi="Times New Roman"/>
          <w:i/>
          <w:color w:val="000000" w:themeColor="text1"/>
          <w:sz w:val="28"/>
          <w:szCs w:val="28"/>
          <w:lang w:val="uk-UA"/>
        </w:rPr>
        <w:t>Економічні науки. Серія «Економіка та менеджмент»: Збірник наукових праць. Луцький національний технічний університет</w:t>
      </w:r>
      <w:r w:rsidRPr="00130466">
        <w:rPr>
          <w:rFonts w:ascii="Times New Roman" w:hAnsi="Times New Roman"/>
          <w:color w:val="000000" w:themeColor="text1"/>
          <w:sz w:val="28"/>
          <w:szCs w:val="28"/>
          <w:lang w:val="uk-UA"/>
        </w:rPr>
        <w:t xml:space="preserve">. 2012. № 9 (34), ч. 1. С. 201-210.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93. </w:t>
      </w:r>
      <w:r w:rsidRPr="00130466">
        <w:rPr>
          <w:rFonts w:ascii="Times New Roman" w:hAnsi="Times New Roman"/>
          <w:color w:val="000000" w:themeColor="text1"/>
          <w:sz w:val="28"/>
          <w:szCs w:val="28"/>
          <w:lang w:val="uk-UA"/>
        </w:rPr>
        <w:t xml:space="preserve">Маслак О. І., Коноваленко О. Д., Безручко О. О. Зовнішнє середовище економічного потенціалу підприємства. </w:t>
      </w:r>
      <w:r w:rsidRPr="00130466">
        <w:rPr>
          <w:rFonts w:ascii="Times New Roman" w:hAnsi="Times New Roman"/>
          <w:i/>
          <w:color w:val="000000" w:themeColor="text1"/>
          <w:sz w:val="28"/>
          <w:szCs w:val="28"/>
          <w:lang w:val="uk-UA"/>
        </w:rPr>
        <w:t>Технологічний аудит та резерви виробництва.</w:t>
      </w:r>
      <w:r w:rsidRPr="00130466">
        <w:rPr>
          <w:rFonts w:ascii="Times New Roman" w:hAnsi="Times New Roman"/>
          <w:color w:val="000000" w:themeColor="text1"/>
          <w:sz w:val="28"/>
          <w:szCs w:val="28"/>
          <w:lang w:val="uk-UA"/>
        </w:rPr>
        <w:t xml:space="preserve"> 2014. № 3(17). С. 35-42. </w:t>
      </w:r>
    </w:p>
    <w:p w:rsidR="00625D39" w:rsidRPr="00130466" w:rsidRDefault="005670E0" w:rsidP="00BE5A3A">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94. Мацибора Т. В. Інвестиційна діяльність у сільському господарстві України під час війни:</w:t>
      </w:r>
      <w:r w:rsidRPr="00130466">
        <w:rPr>
          <w:rFonts w:ascii="Times New Roman" w:hAnsi="Times New Roman"/>
          <w:color w:val="000000" w:themeColor="text1"/>
          <w:sz w:val="28"/>
          <w:szCs w:val="28"/>
          <w:lang w:val="uk-UA"/>
        </w:rPr>
        <w:t xml:space="preserve"> нові виклики та загрози. Економіка АПК. 2023. Т. 30. № 5. URL: </w:t>
      </w:r>
      <w:hyperlink r:id="rId28">
        <w:r w:rsidRPr="00130466">
          <w:rPr>
            <w:rFonts w:ascii="Times New Roman" w:hAnsi="Times New Roman"/>
            <w:color w:val="000000" w:themeColor="text1"/>
            <w:sz w:val="28"/>
            <w:szCs w:val="28"/>
            <w:lang w:val="uk-UA"/>
          </w:rPr>
          <w:t>https://eapk.com.ua/uk/journals/tom-30-5-2023/investitsiyna-diyalnist-u-silskomu-gospodarstvi-ukrayini-pid-chas-viyni-novi-vikliki-ta-zagrozi</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rPr>
        <w:t xml:space="preserve">95. Мацибора Т. В. Світовий досвід повоєнного відновлення сільського господарства: практична цінність для України. Економічні горизонти. 2025. </w:t>
      </w:r>
      <w:r w:rsidRPr="00130466">
        <w:rPr>
          <w:rFonts w:ascii="Times New Roman" w:hAnsi="Times New Roman"/>
          <w:color w:val="000000" w:themeColor="text1"/>
          <w:sz w:val="28"/>
          <w:szCs w:val="28"/>
        </w:rPr>
        <w:lastRenderedPageBreak/>
        <w:t xml:space="preserve">№ 4(33). С. 153–167. DOI: </w:t>
      </w:r>
      <w:hyperlink r:id="rId29">
        <w:r w:rsidRPr="00130466">
          <w:rPr>
            <w:rFonts w:ascii="Times New Roman" w:eastAsia="Times New Roman" w:hAnsi="Times New Roman"/>
            <w:color w:val="000000" w:themeColor="text1"/>
            <w:sz w:val="28"/>
            <w:szCs w:val="28"/>
          </w:rPr>
          <w:t>https://doi.org/10.31499/2616-5236.4(33).2025.345548</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96. </w:t>
      </w:r>
      <w:r w:rsidRPr="00130466">
        <w:rPr>
          <w:rFonts w:ascii="Times New Roman" w:hAnsi="Times New Roman"/>
          <w:color w:val="000000" w:themeColor="text1"/>
          <w:sz w:val="28"/>
          <w:szCs w:val="28"/>
          <w:lang w:val="uk-UA"/>
        </w:rPr>
        <w:t xml:space="preserve">Мельник Л. Г. Економіка розвитку: підручник. Суми: ІТД «Університетська книга», 2016. 662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97. </w:t>
      </w:r>
      <w:r w:rsidRPr="00130466">
        <w:rPr>
          <w:rFonts w:ascii="Times New Roman" w:hAnsi="Times New Roman"/>
          <w:color w:val="000000" w:themeColor="text1"/>
          <w:sz w:val="28"/>
          <w:szCs w:val="28"/>
          <w:lang w:val="uk-UA"/>
        </w:rPr>
        <w:t xml:space="preserve">Мельник С. І. Основні чинники впливу на фінансову стабільність в контексті управління фінансовою безпекою підприємства. </w:t>
      </w:r>
      <w:r w:rsidRPr="00130466">
        <w:rPr>
          <w:rFonts w:ascii="Times New Roman" w:hAnsi="Times New Roman"/>
          <w:i/>
          <w:color w:val="000000" w:themeColor="text1"/>
          <w:sz w:val="28"/>
          <w:szCs w:val="28"/>
          <w:lang w:val="uk-UA"/>
        </w:rPr>
        <w:t>Проблеми системного підходу в економіці: зб. наук. праць Національного авіаційного університету</w:t>
      </w:r>
      <w:r w:rsidRPr="00130466">
        <w:rPr>
          <w:rFonts w:ascii="Times New Roman" w:hAnsi="Times New Roman"/>
          <w:color w:val="000000" w:themeColor="text1"/>
          <w:sz w:val="28"/>
          <w:szCs w:val="28"/>
          <w:lang w:val="uk-UA"/>
        </w:rPr>
        <w:t xml:space="preserve">. 2019. Вип. 5/73. Ч. 2. С. 92–97.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98</w:t>
      </w:r>
      <w:r w:rsidRPr="00130466">
        <w:rPr>
          <w:rFonts w:ascii="Times New Roman" w:hAnsi="Times New Roman"/>
          <w:color w:val="000000" w:themeColor="text1"/>
          <w:sz w:val="28"/>
          <w:szCs w:val="28"/>
          <w:lang w:val="uk-UA"/>
        </w:rPr>
        <w:t xml:space="preserve">. Мендрул О. Г. Управління вартістю підприємств: [монографія]. К.: КНЕУ, 2002. 272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99</w:t>
      </w:r>
      <w:r w:rsidRPr="00130466">
        <w:rPr>
          <w:rFonts w:ascii="Times New Roman" w:hAnsi="Times New Roman"/>
          <w:color w:val="000000" w:themeColor="text1"/>
          <w:sz w:val="28"/>
          <w:szCs w:val="28"/>
          <w:lang w:val="uk-UA"/>
        </w:rPr>
        <w:t xml:space="preserve">. Меркулов М. М. Побудова стратегії розвитку підприємства на основі сформованої системи збалансованих показників. </w:t>
      </w:r>
      <w:r w:rsidRPr="00130466">
        <w:rPr>
          <w:rFonts w:ascii="Times New Roman" w:hAnsi="Times New Roman"/>
          <w:i/>
          <w:color w:val="000000" w:themeColor="text1"/>
          <w:sz w:val="28"/>
          <w:szCs w:val="28"/>
          <w:lang w:val="uk-UA"/>
        </w:rPr>
        <w:t>Ринкова економіка: сучасна теорія і практика управління</w:t>
      </w:r>
      <w:r w:rsidRPr="00130466">
        <w:rPr>
          <w:rFonts w:ascii="Times New Roman" w:hAnsi="Times New Roman"/>
          <w:color w:val="000000" w:themeColor="text1"/>
          <w:sz w:val="28"/>
          <w:szCs w:val="28"/>
          <w:lang w:val="uk-UA"/>
        </w:rPr>
        <w:t xml:space="preserve">. 2015. № 2 (1). С. 47-54.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uk-UA"/>
        </w:rPr>
        <w:t xml:space="preserve">100. Мігус І. П., Ляшенко О. М. Ділова репутація: аналіз джерел інформації для ефективної оцінки. </w:t>
      </w:r>
      <w:r w:rsidRPr="00130466">
        <w:rPr>
          <w:rFonts w:ascii="Times New Roman" w:hAnsi="Times New Roman"/>
          <w:color w:val="000000" w:themeColor="text1"/>
          <w:sz w:val="28"/>
          <w:szCs w:val="28"/>
        </w:rPr>
        <w:t xml:space="preserve">Ефективна економіка. 2025. № 2. DOI: </w:t>
      </w:r>
      <w:hyperlink r:id="rId30">
        <w:r w:rsidRPr="00130466">
          <w:rPr>
            <w:rFonts w:ascii="Times New Roman" w:eastAsia="Times New Roman" w:hAnsi="Times New Roman"/>
            <w:color w:val="000000" w:themeColor="text1"/>
            <w:sz w:val="28"/>
            <w:szCs w:val="28"/>
          </w:rPr>
          <w:t>https://doi.org/10.32702/2307-2105.2025.2.3</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101</w:t>
      </w:r>
      <w:r w:rsidRPr="00130466">
        <w:rPr>
          <w:rFonts w:ascii="Times New Roman" w:hAnsi="Times New Roman"/>
          <w:color w:val="000000" w:themeColor="text1"/>
          <w:sz w:val="28"/>
          <w:szCs w:val="28"/>
          <w:lang w:val="uk-UA"/>
        </w:rPr>
        <w:t xml:space="preserve">. Міценко Н. Г., Кумечко О. І. Ресурсний потенціал підприємства: сутність, структура, стратегія використання. </w:t>
      </w:r>
      <w:r w:rsidRPr="00130466">
        <w:rPr>
          <w:rFonts w:ascii="Times New Roman" w:hAnsi="Times New Roman"/>
          <w:i/>
          <w:color w:val="000000" w:themeColor="text1"/>
          <w:sz w:val="28"/>
          <w:szCs w:val="28"/>
          <w:lang w:val="uk-UA"/>
        </w:rPr>
        <w:t>Науковий вісник НЛТУУ: зб. наук.- техн. праць</w:t>
      </w:r>
      <w:r w:rsidRPr="00130466">
        <w:rPr>
          <w:rFonts w:ascii="Times New Roman" w:hAnsi="Times New Roman"/>
          <w:color w:val="000000" w:themeColor="text1"/>
          <w:sz w:val="28"/>
          <w:szCs w:val="28"/>
          <w:lang w:val="uk-UA"/>
        </w:rPr>
        <w:t xml:space="preserve">. Львів: НЛТУУ, 2010. Вип. 20.9. С. 193-198.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102</w:t>
      </w:r>
      <w:r w:rsidRPr="00130466">
        <w:rPr>
          <w:rFonts w:ascii="Times New Roman" w:hAnsi="Times New Roman"/>
          <w:color w:val="000000" w:themeColor="text1"/>
          <w:sz w:val="28"/>
          <w:szCs w:val="28"/>
          <w:lang w:val="uk-UA"/>
        </w:rPr>
        <w:t xml:space="preserve">. Міценко Н. Г., Міщук А. І. Розвиток підприємства на основі інформаційного та інноваційного потенціалу. </w:t>
      </w:r>
      <w:r w:rsidRPr="00130466">
        <w:rPr>
          <w:rFonts w:ascii="Times New Roman" w:hAnsi="Times New Roman"/>
          <w:i/>
          <w:color w:val="000000" w:themeColor="text1"/>
          <w:sz w:val="28"/>
          <w:szCs w:val="28"/>
          <w:lang w:val="uk-UA"/>
        </w:rPr>
        <w:t>Науковий вісник Одеського національного економічного університету</w:t>
      </w:r>
      <w:r w:rsidRPr="00130466">
        <w:rPr>
          <w:rFonts w:ascii="Times New Roman" w:hAnsi="Times New Roman"/>
          <w:color w:val="000000" w:themeColor="text1"/>
          <w:sz w:val="28"/>
          <w:szCs w:val="28"/>
          <w:lang w:val="uk-UA"/>
        </w:rPr>
        <w:t xml:space="preserve">. 2016. № 4(236). С. 191-204.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103</w:t>
      </w:r>
      <w:r w:rsidRPr="00130466">
        <w:rPr>
          <w:rFonts w:ascii="Times New Roman" w:hAnsi="Times New Roman"/>
          <w:color w:val="000000" w:themeColor="text1"/>
          <w:sz w:val="28"/>
          <w:szCs w:val="28"/>
          <w:lang w:val="uk-UA"/>
        </w:rPr>
        <w:t xml:space="preserve">. Мороз Ю. Ю. Моніторинг економічного потенціалу підприємства: теорія, методологія, організація : [монографія]. Житомир: Житомир. нац. агроекол. ун-т, 2010. 328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104</w:t>
      </w:r>
      <w:r w:rsidRPr="00130466">
        <w:rPr>
          <w:rFonts w:ascii="Times New Roman" w:hAnsi="Times New Roman"/>
          <w:color w:val="000000" w:themeColor="text1"/>
          <w:sz w:val="28"/>
          <w:szCs w:val="28"/>
          <w:lang w:val="uk-UA"/>
        </w:rPr>
        <w:t xml:space="preserve">. Нагорнюк О. В. Класифікації видів фінансового потенціалу підприємства. </w:t>
      </w:r>
      <w:r w:rsidRPr="00130466">
        <w:rPr>
          <w:rFonts w:ascii="Times New Roman" w:hAnsi="Times New Roman"/>
          <w:i/>
          <w:color w:val="000000" w:themeColor="text1"/>
          <w:sz w:val="28"/>
          <w:szCs w:val="28"/>
          <w:lang w:val="uk-UA"/>
        </w:rPr>
        <w:t>Інтелект ХХІ</w:t>
      </w:r>
      <w:r w:rsidRPr="00130466">
        <w:rPr>
          <w:rFonts w:ascii="Times New Roman" w:hAnsi="Times New Roman"/>
          <w:color w:val="000000" w:themeColor="text1"/>
          <w:sz w:val="28"/>
          <w:szCs w:val="28"/>
          <w:lang w:val="uk-UA"/>
        </w:rPr>
        <w:t xml:space="preserve">. 2018. № 1. С. 104–109.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105</w:t>
      </w:r>
      <w:r w:rsidRPr="00130466">
        <w:rPr>
          <w:rFonts w:ascii="Times New Roman" w:hAnsi="Times New Roman"/>
          <w:color w:val="000000" w:themeColor="text1"/>
          <w:sz w:val="28"/>
          <w:szCs w:val="28"/>
          <w:lang w:val="uk-UA"/>
        </w:rPr>
        <w:t xml:space="preserve">. Назаренко А. С. Теоретичні підходи до визначення сутності економічної категорії «фінансовий потенціал підприємства». </w:t>
      </w:r>
      <w:r w:rsidRPr="00130466">
        <w:rPr>
          <w:rFonts w:ascii="Times New Roman" w:hAnsi="Times New Roman"/>
          <w:i/>
          <w:color w:val="000000" w:themeColor="text1"/>
          <w:sz w:val="28"/>
          <w:szCs w:val="28"/>
          <w:lang w:val="uk-UA"/>
        </w:rPr>
        <w:t>Економіка, фінанси і право</w:t>
      </w:r>
      <w:r w:rsidRPr="00130466">
        <w:rPr>
          <w:rFonts w:ascii="Times New Roman" w:hAnsi="Times New Roman"/>
          <w:color w:val="000000" w:themeColor="text1"/>
          <w:sz w:val="28"/>
          <w:szCs w:val="28"/>
          <w:lang w:val="uk-UA"/>
        </w:rPr>
        <w:t xml:space="preserve">. 2009. № 8. С. 22-29.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106</w:t>
      </w:r>
      <w:r w:rsidRPr="00130466">
        <w:rPr>
          <w:rFonts w:ascii="Times New Roman" w:hAnsi="Times New Roman"/>
          <w:color w:val="000000" w:themeColor="text1"/>
          <w:sz w:val="28"/>
          <w:szCs w:val="28"/>
          <w:lang w:val="uk-UA"/>
        </w:rPr>
        <w:t xml:space="preserve">. Нонік В. В., Полчанов А. Ю. Фінансовий потенціал як економічна категорія.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2017. № 17. С. 5–9. </w:t>
      </w:r>
    </w:p>
    <w:p w:rsidR="00625D39" w:rsidRPr="00130466" w:rsidRDefault="005670E0" w:rsidP="00BE5A3A">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107. Овчаренко Є. І., Галгаш М. Р. Напрями формування та розвитку безпекоорієнтованого управління в організаціях в умовах воєнних і повоєнних загроз. Бізнес Інформ. 2026. № 3. С. 503–512. DOI: </w:t>
      </w:r>
      <w:hyperlink r:id="rId31">
        <w:r w:rsidRPr="00130466">
          <w:rPr>
            <w:rFonts w:ascii="Times New Roman" w:hAnsi="Times New Roman"/>
            <w:color w:val="000000" w:themeColor="text1"/>
            <w:sz w:val="28"/>
            <w:szCs w:val="28"/>
            <w:lang w:val="uk-UA"/>
          </w:rPr>
          <w:t>https://doi.org/10.32983/2222-4459-2026-3-503-512</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uk-UA"/>
        </w:rPr>
        <w:t xml:space="preserve">108. Овчаренко Є. І., Галушка О. В. Застосування світових практик для інноваційного розвитку та покращення управління інноваціями українських підприємств у контексті повоєнного відновлення. Ефективна економіка. 2025. № 5. </w:t>
      </w:r>
      <w:r w:rsidRPr="00130466">
        <w:rPr>
          <w:rFonts w:ascii="Times New Roman" w:hAnsi="Times New Roman"/>
          <w:color w:val="000000" w:themeColor="text1"/>
          <w:sz w:val="28"/>
          <w:szCs w:val="28"/>
        </w:rPr>
        <w:t>DOI</w:t>
      </w:r>
      <w:r w:rsidRPr="00130466">
        <w:rPr>
          <w:rFonts w:ascii="Times New Roman" w:hAnsi="Times New Roman"/>
          <w:color w:val="000000" w:themeColor="text1"/>
          <w:sz w:val="28"/>
          <w:szCs w:val="28"/>
          <w:lang w:val="uk-UA"/>
        </w:rPr>
        <w:t xml:space="preserve">: </w:t>
      </w:r>
      <w:hyperlink r:id="rId32">
        <w:r w:rsidRPr="00130466">
          <w:rPr>
            <w:rFonts w:ascii="Times New Roman" w:eastAsia="Times New Roman" w:hAnsi="Times New Roman"/>
            <w:color w:val="000000" w:themeColor="text1"/>
            <w:sz w:val="28"/>
            <w:szCs w:val="28"/>
          </w:rPr>
          <w:t>https</w:t>
        </w:r>
        <w:r w:rsidRPr="00130466">
          <w:rPr>
            <w:rFonts w:ascii="Times New Roman" w:eastAsia="Times New Roman" w:hAnsi="Times New Roman"/>
            <w:color w:val="000000" w:themeColor="text1"/>
            <w:sz w:val="28"/>
            <w:szCs w:val="28"/>
            <w:lang w:val="uk-UA"/>
          </w:rPr>
          <w:t>://</w:t>
        </w:r>
        <w:r w:rsidRPr="00130466">
          <w:rPr>
            <w:rFonts w:ascii="Times New Roman" w:eastAsia="Times New Roman" w:hAnsi="Times New Roman"/>
            <w:color w:val="000000" w:themeColor="text1"/>
            <w:sz w:val="28"/>
            <w:szCs w:val="28"/>
          </w:rPr>
          <w:t>doi</w:t>
        </w:r>
        <w:r w:rsidRPr="00130466">
          <w:rPr>
            <w:rFonts w:ascii="Times New Roman" w:eastAsia="Times New Roman" w:hAnsi="Times New Roman"/>
            <w:color w:val="000000" w:themeColor="text1"/>
            <w:sz w:val="28"/>
            <w:szCs w:val="28"/>
            <w:lang w:val="uk-UA"/>
          </w:rPr>
          <w:t>.</w:t>
        </w:r>
        <w:r w:rsidRPr="00130466">
          <w:rPr>
            <w:rFonts w:ascii="Times New Roman" w:eastAsia="Times New Roman" w:hAnsi="Times New Roman"/>
            <w:color w:val="000000" w:themeColor="text1"/>
            <w:sz w:val="28"/>
            <w:szCs w:val="28"/>
          </w:rPr>
          <w:t>org</w:t>
        </w:r>
        <w:r w:rsidRPr="00130466">
          <w:rPr>
            <w:rFonts w:ascii="Times New Roman" w:eastAsia="Times New Roman" w:hAnsi="Times New Roman"/>
            <w:color w:val="000000" w:themeColor="text1"/>
            <w:sz w:val="28"/>
            <w:szCs w:val="28"/>
            <w:lang w:val="uk-UA"/>
          </w:rPr>
          <w:t>/10.32702/2307-2105.2025.5.41</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109</w:t>
      </w:r>
      <w:r w:rsidRPr="00130466">
        <w:rPr>
          <w:rFonts w:ascii="Times New Roman" w:hAnsi="Times New Roman"/>
          <w:color w:val="000000" w:themeColor="text1"/>
          <w:sz w:val="28"/>
          <w:szCs w:val="28"/>
          <w:lang w:val="uk-UA"/>
        </w:rPr>
        <w:t>. Онишко С.В. Фінансовий потенціал інноваційного розвитку економіки</w:t>
      </w:r>
      <w:r w:rsidRPr="00130466">
        <w:rPr>
          <w:rFonts w:ascii="Times New Roman" w:hAnsi="Times New Roman"/>
          <w:i/>
          <w:color w:val="000000" w:themeColor="text1"/>
          <w:sz w:val="28"/>
          <w:szCs w:val="28"/>
          <w:lang w:val="uk-UA"/>
        </w:rPr>
        <w:t>. Фінанси України</w:t>
      </w:r>
      <w:r w:rsidRPr="00130466">
        <w:rPr>
          <w:rFonts w:ascii="Times New Roman" w:hAnsi="Times New Roman"/>
          <w:color w:val="000000" w:themeColor="text1"/>
          <w:sz w:val="28"/>
          <w:szCs w:val="28"/>
          <w:lang w:val="uk-UA"/>
        </w:rPr>
        <w:t xml:space="preserve">. 2003. № 6. С. 67-74. </w:t>
      </w:r>
    </w:p>
    <w:p w:rsidR="003C64E3" w:rsidRPr="00130466" w:rsidRDefault="003C64E3" w:rsidP="003C64E3">
      <w:pPr>
        <w:spacing w:after="0" w:line="360" w:lineRule="auto"/>
        <w:ind w:firstLine="709"/>
        <w:jc w:val="both"/>
        <w:rPr>
          <w:rFonts w:ascii="Times New Roman" w:hAnsi="Times New Roman"/>
          <w:color w:val="000000" w:themeColor="text1"/>
          <w:sz w:val="28"/>
          <w:szCs w:val="28"/>
          <w:shd w:val="clear" w:color="auto" w:fill="FFFFFF"/>
        </w:rPr>
      </w:pPr>
      <w:r w:rsidRPr="00130466">
        <w:rPr>
          <w:rFonts w:ascii="Times New Roman" w:eastAsia="Times New Roman" w:hAnsi="Times New Roman"/>
          <w:color w:val="000000" w:themeColor="text1"/>
          <w:sz w:val="28"/>
          <w:szCs w:val="28"/>
          <w:shd w:val="clear" w:color="auto" w:fill="FFFFFF"/>
          <w:lang w:val="uk-UA"/>
        </w:rPr>
        <w:t>110</w:t>
      </w:r>
      <w:r w:rsidRPr="00130466">
        <w:rPr>
          <w:rFonts w:ascii="Times New Roman" w:hAnsi="Times New Roman"/>
          <w:color w:val="000000" w:themeColor="text1"/>
          <w:sz w:val="28"/>
          <w:szCs w:val="28"/>
          <w:shd w:val="clear" w:color="auto" w:fill="FFFFFF"/>
        </w:rPr>
        <w:t>. Офіційний сайт Державної служби статистики України</w:t>
      </w:r>
      <w:r w:rsidR="004009DE" w:rsidRPr="00130466">
        <w:rPr>
          <w:rFonts w:ascii="Times New Roman" w:hAnsi="Times New Roman"/>
          <w:color w:val="000000" w:themeColor="text1"/>
          <w:sz w:val="28"/>
          <w:szCs w:val="28"/>
          <w:shd w:val="clear" w:color="auto" w:fill="FFFFFF"/>
        </w:rPr>
        <w:t xml:space="preserve"> [</w:t>
      </w:r>
      <w:r w:rsidRPr="00130466">
        <w:rPr>
          <w:rFonts w:ascii="Times New Roman" w:hAnsi="Times New Roman"/>
          <w:color w:val="000000" w:themeColor="text1"/>
          <w:sz w:val="28"/>
          <w:szCs w:val="28"/>
          <w:shd w:val="clear" w:color="auto" w:fill="FFFFFF"/>
        </w:rPr>
        <w:t xml:space="preserve">Електронний ресурс]. – Режим доступу: </w:t>
      </w:r>
      <w:hyperlink r:id="rId33" w:history="1">
        <w:r w:rsidRPr="00130466">
          <w:rPr>
            <w:rFonts w:ascii="Times New Roman" w:hAnsi="Times New Roman"/>
            <w:color w:val="000000" w:themeColor="text1"/>
            <w:sz w:val="28"/>
            <w:szCs w:val="28"/>
          </w:rPr>
          <w:t>http://www.ukrstat.gov.ua</w:t>
        </w:r>
      </w:hyperlink>
      <w:r w:rsidRPr="00130466">
        <w:rPr>
          <w:rFonts w:ascii="Times New Roman" w:hAnsi="Times New Roman"/>
          <w:color w:val="000000" w:themeColor="text1"/>
          <w:sz w:val="28"/>
          <w:szCs w:val="28"/>
          <w:shd w:val="clear" w:color="auto" w:fill="FFFFFF"/>
        </w:rPr>
        <w:t xml:space="preserve">.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111</w:t>
      </w:r>
      <w:r w:rsidRPr="00130466">
        <w:rPr>
          <w:rFonts w:ascii="Times New Roman" w:hAnsi="Times New Roman"/>
          <w:color w:val="000000" w:themeColor="text1"/>
          <w:sz w:val="28"/>
          <w:szCs w:val="28"/>
          <w:lang w:val="uk-UA"/>
        </w:rPr>
        <w:t xml:space="preserve">. Петрушка Т. О., Юрків Р. Р., Петрушка К. І. Методологічні засади оцінювання фінансового потенціалу інвестиційної діяльності малих підприємств у сфері технологічного оновлення виробництва. </w:t>
      </w:r>
      <w:r w:rsidRPr="00130466">
        <w:rPr>
          <w:rFonts w:ascii="Times New Roman" w:hAnsi="Times New Roman"/>
          <w:i/>
          <w:color w:val="000000" w:themeColor="text1"/>
          <w:sz w:val="28"/>
          <w:szCs w:val="28"/>
          <w:lang w:val="uk-UA"/>
        </w:rPr>
        <w:t>Міжнародний науковий журнал «Інтернаука». Серія «Економічні науки»</w:t>
      </w:r>
      <w:r w:rsidRPr="00130466">
        <w:rPr>
          <w:rFonts w:ascii="Times New Roman" w:hAnsi="Times New Roman"/>
          <w:color w:val="000000" w:themeColor="text1"/>
          <w:sz w:val="28"/>
          <w:szCs w:val="28"/>
          <w:lang w:val="uk-UA"/>
        </w:rPr>
        <w:t xml:space="preserve">. 2021. № 5 (49), С. 90–97.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112</w:t>
      </w:r>
      <w:r w:rsidRPr="00130466">
        <w:rPr>
          <w:rFonts w:ascii="Times New Roman" w:hAnsi="Times New Roman"/>
          <w:color w:val="000000" w:themeColor="text1"/>
          <w:sz w:val="28"/>
          <w:szCs w:val="28"/>
          <w:lang w:val="uk-UA"/>
        </w:rPr>
        <w:t xml:space="preserve">. Пирог О. В. Технологічний розвиток промисловості України. </w:t>
      </w:r>
      <w:r w:rsidRPr="00130466">
        <w:rPr>
          <w:rFonts w:ascii="Times New Roman" w:hAnsi="Times New Roman"/>
          <w:i/>
          <w:color w:val="000000" w:themeColor="text1"/>
          <w:sz w:val="28"/>
          <w:szCs w:val="28"/>
          <w:lang w:val="uk-UA"/>
        </w:rPr>
        <w:t>Актуальні проблеми розвитку економіки регіону: науковий збірник</w:t>
      </w:r>
      <w:r w:rsidRPr="00130466">
        <w:rPr>
          <w:rFonts w:ascii="Times New Roman" w:hAnsi="Times New Roman"/>
          <w:color w:val="000000" w:themeColor="text1"/>
          <w:sz w:val="28"/>
          <w:szCs w:val="28"/>
          <w:lang w:val="uk-UA"/>
        </w:rPr>
        <w:t xml:space="preserve">. 2011. № 2 (7). С. 248-252.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113</w:t>
      </w:r>
      <w:r w:rsidRPr="00130466">
        <w:rPr>
          <w:rFonts w:ascii="Times New Roman" w:hAnsi="Times New Roman"/>
          <w:color w:val="000000" w:themeColor="text1"/>
          <w:sz w:val="28"/>
          <w:szCs w:val="28"/>
          <w:lang w:val="uk-UA"/>
        </w:rPr>
        <w:t xml:space="preserve">. Погорелов Ю. С. Розвиток підприємства: поняття та види. </w:t>
      </w:r>
      <w:r w:rsidRPr="00130466">
        <w:rPr>
          <w:rFonts w:ascii="Times New Roman" w:hAnsi="Times New Roman"/>
          <w:i/>
          <w:color w:val="000000" w:themeColor="text1"/>
          <w:sz w:val="28"/>
          <w:szCs w:val="28"/>
          <w:lang w:val="uk-UA"/>
        </w:rPr>
        <w:t>Культура народов Причерноморья</w:t>
      </w:r>
      <w:r w:rsidRPr="00130466">
        <w:rPr>
          <w:rFonts w:ascii="Times New Roman" w:hAnsi="Times New Roman"/>
          <w:color w:val="000000" w:themeColor="text1"/>
          <w:sz w:val="28"/>
          <w:szCs w:val="28"/>
          <w:lang w:val="uk-UA"/>
        </w:rPr>
        <w:t xml:space="preserve">. 2006. № 88. С. 75-81.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rPr>
        <w:t xml:space="preserve">114. Полінкевич О. М., Тринчук В. В., Мальцева В. В., Рудой В. М. Інвестиційна привабливість соціального підприємництва для релокованих підприємств. Інвестиції: практика та досвід. 2024. № 2. С. 56–61. DOI: </w:t>
      </w:r>
      <w:hyperlink r:id="rId34">
        <w:r w:rsidRPr="00130466">
          <w:rPr>
            <w:rFonts w:ascii="Times New Roman" w:eastAsia="Times New Roman" w:hAnsi="Times New Roman"/>
            <w:color w:val="000000" w:themeColor="text1"/>
            <w:sz w:val="28"/>
            <w:szCs w:val="28"/>
          </w:rPr>
          <w:t>https://doi.org/10.32702/2306-6814.2024.2.56</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115</w:t>
      </w:r>
      <w:r w:rsidRPr="00130466">
        <w:rPr>
          <w:rFonts w:ascii="Times New Roman" w:hAnsi="Times New Roman"/>
          <w:color w:val="000000" w:themeColor="text1"/>
          <w:sz w:val="28"/>
          <w:szCs w:val="28"/>
          <w:lang w:val="uk-UA"/>
        </w:rPr>
        <w:t xml:space="preserve">. Поліщук Є.А., Онікієнко С.В. Вплив ризиків на інвестиційний потенціал будівельної галузі. </w:t>
      </w:r>
      <w:r w:rsidRPr="00130466">
        <w:rPr>
          <w:rFonts w:ascii="Times New Roman" w:hAnsi="Times New Roman"/>
          <w:i/>
          <w:color w:val="000000" w:themeColor="text1"/>
          <w:sz w:val="28"/>
          <w:szCs w:val="28"/>
          <w:lang w:val="uk-UA"/>
        </w:rPr>
        <w:t>Проблеми і перспективи економіки та управління.</w:t>
      </w:r>
      <w:r w:rsidRPr="00130466">
        <w:rPr>
          <w:rFonts w:ascii="Times New Roman" w:hAnsi="Times New Roman"/>
          <w:color w:val="000000" w:themeColor="text1"/>
          <w:sz w:val="28"/>
          <w:szCs w:val="28"/>
          <w:lang w:val="uk-UA"/>
        </w:rPr>
        <w:t xml:space="preserve"> 2020. № 4. С. 103 – 112.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116</w:t>
      </w:r>
      <w:r w:rsidRPr="00130466">
        <w:rPr>
          <w:rFonts w:ascii="Times New Roman" w:hAnsi="Times New Roman"/>
          <w:color w:val="000000" w:themeColor="text1"/>
          <w:sz w:val="28"/>
          <w:szCs w:val="28"/>
          <w:lang w:val="uk-UA"/>
        </w:rPr>
        <w:t xml:space="preserve">. Положення (стандарт) бухгалтерського обліку 4 «Звіт про рух грошових коштів» : положення Міністерства фінансів України від 31.03.1999 р. № 0391.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117</w:t>
      </w:r>
      <w:r w:rsidRPr="00130466">
        <w:rPr>
          <w:rFonts w:ascii="Times New Roman" w:hAnsi="Times New Roman"/>
          <w:color w:val="000000" w:themeColor="text1"/>
          <w:sz w:val="28"/>
          <w:szCs w:val="28"/>
          <w:lang w:val="uk-UA"/>
        </w:rPr>
        <w:t xml:space="preserve">. Про інвестиційну діяльність: Закон України № 1561-ХІІ від 18.09.1991 p. URL: http://zakon3.rada.gov.ua/laws/show/1560-12.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118</w:t>
      </w:r>
      <w:r w:rsidRPr="00130466">
        <w:rPr>
          <w:rFonts w:ascii="Times New Roman" w:hAnsi="Times New Roman"/>
          <w:color w:val="000000" w:themeColor="text1"/>
          <w:sz w:val="28"/>
          <w:szCs w:val="28"/>
          <w:lang w:val="uk-UA"/>
        </w:rPr>
        <w:t xml:space="preserve">. П’ятницька Г. Т., Найдюк В. С. Фінансова стійкість як базис для визначення стратегічного вектору інноваційного розвитку підприємства.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2018. № 4. С. 7–16.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119</w:t>
      </w:r>
      <w:r w:rsidRPr="00130466">
        <w:rPr>
          <w:rFonts w:ascii="Times New Roman" w:hAnsi="Times New Roman"/>
          <w:color w:val="000000" w:themeColor="text1"/>
          <w:sz w:val="28"/>
          <w:szCs w:val="28"/>
          <w:lang w:val="uk-UA"/>
        </w:rPr>
        <w:t xml:space="preserve">. Редько Л. І. Використання фінансових ресурсів як джерел фінансування інноваційної діяльності та проблема їх застосування. </w:t>
      </w:r>
      <w:r w:rsidRPr="00130466">
        <w:rPr>
          <w:rFonts w:ascii="Times New Roman" w:hAnsi="Times New Roman"/>
          <w:i/>
          <w:color w:val="000000" w:themeColor="text1"/>
          <w:sz w:val="28"/>
          <w:szCs w:val="28"/>
          <w:lang w:val="uk-UA"/>
        </w:rPr>
        <w:t>Держава і регіони</w:t>
      </w:r>
      <w:r w:rsidRPr="00130466">
        <w:rPr>
          <w:rFonts w:ascii="Times New Roman" w:hAnsi="Times New Roman"/>
          <w:color w:val="000000" w:themeColor="text1"/>
          <w:sz w:val="28"/>
          <w:szCs w:val="28"/>
          <w:lang w:val="uk-UA"/>
        </w:rPr>
        <w:t xml:space="preserve">. 2007. № 2. С. 214-217.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120</w:t>
      </w:r>
      <w:r w:rsidRPr="00130466">
        <w:rPr>
          <w:rFonts w:ascii="Times New Roman" w:hAnsi="Times New Roman"/>
          <w:color w:val="000000" w:themeColor="text1"/>
          <w:sz w:val="28"/>
          <w:szCs w:val="28"/>
          <w:lang w:val="uk-UA"/>
        </w:rPr>
        <w:t xml:space="preserve">. Свірський В.C. Фінансовий потенціал: теорети коконцептуальні засади. </w:t>
      </w:r>
      <w:r w:rsidRPr="00130466">
        <w:rPr>
          <w:rFonts w:ascii="Times New Roman" w:hAnsi="Times New Roman"/>
          <w:i/>
          <w:color w:val="000000" w:themeColor="text1"/>
          <w:sz w:val="28"/>
          <w:szCs w:val="28"/>
          <w:lang w:val="uk-UA"/>
        </w:rPr>
        <w:t>Світ фінансів</w:t>
      </w:r>
      <w:r w:rsidRPr="00130466">
        <w:rPr>
          <w:rFonts w:ascii="Times New Roman" w:hAnsi="Times New Roman"/>
          <w:color w:val="000000" w:themeColor="text1"/>
          <w:sz w:val="28"/>
          <w:szCs w:val="28"/>
          <w:lang w:val="uk-UA"/>
        </w:rPr>
        <w:t xml:space="preserve">. 2007. № 4. С. 43-51.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121. </w:t>
      </w:r>
      <w:r w:rsidRPr="00130466">
        <w:rPr>
          <w:rFonts w:ascii="Times New Roman" w:hAnsi="Times New Roman"/>
          <w:color w:val="000000" w:themeColor="text1"/>
          <w:sz w:val="28"/>
          <w:szCs w:val="28"/>
          <w:lang w:val="uk-UA"/>
        </w:rPr>
        <w:t xml:space="preserve">Сич Є. М., Сугоняко Д. О. Структура механізму інноваційно-інвестиційного управління розвитком підприємств туристичного транспорту. Проблеми підвищення ефективності інфраструктури. </w:t>
      </w:r>
      <w:r w:rsidRPr="00130466">
        <w:rPr>
          <w:rFonts w:ascii="Times New Roman" w:hAnsi="Times New Roman"/>
          <w:i/>
          <w:color w:val="000000" w:themeColor="text1"/>
          <w:sz w:val="28"/>
          <w:szCs w:val="28"/>
          <w:lang w:val="uk-UA"/>
        </w:rPr>
        <w:t>Збірник наукових праць</w:t>
      </w:r>
      <w:r w:rsidRPr="00130466">
        <w:rPr>
          <w:rFonts w:ascii="Times New Roman" w:hAnsi="Times New Roman"/>
          <w:color w:val="000000" w:themeColor="text1"/>
          <w:sz w:val="28"/>
          <w:szCs w:val="28"/>
          <w:lang w:val="uk-UA"/>
        </w:rPr>
        <w:t xml:space="preserve">. 2011. № 32. С. 166-170.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122. </w:t>
      </w:r>
      <w:r w:rsidRPr="00130466">
        <w:rPr>
          <w:rFonts w:ascii="Times New Roman" w:hAnsi="Times New Roman"/>
          <w:color w:val="000000" w:themeColor="text1"/>
          <w:sz w:val="28"/>
          <w:szCs w:val="28"/>
          <w:lang w:val="uk-UA"/>
        </w:rPr>
        <w:t xml:space="preserve">Смолій Л. В. Формування інвестиційного механізму інноваційного розвитку буряківництва. </w:t>
      </w:r>
      <w:r w:rsidRPr="00130466">
        <w:rPr>
          <w:rFonts w:ascii="Times New Roman" w:hAnsi="Times New Roman"/>
          <w:i/>
          <w:color w:val="000000" w:themeColor="text1"/>
          <w:sz w:val="28"/>
          <w:szCs w:val="28"/>
          <w:lang w:val="uk-UA"/>
        </w:rPr>
        <w:t>Інноваційна економіка</w:t>
      </w:r>
      <w:r w:rsidRPr="00130466">
        <w:rPr>
          <w:rFonts w:ascii="Times New Roman" w:hAnsi="Times New Roman"/>
          <w:color w:val="000000" w:themeColor="text1"/>
          <w:sz w:val="28"/>
          <w:szCs w:val="28"/>
          <w:lang w:val="uk-UA"/>
        </w:rPr>
        <w:t xml:space="preserve">. 2010. № 17. С. 168-171.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123. </w:t>
      </w:r>
      <w:r w:rsidRPr="00130466">
        <w:rPr>
          <w:rFonts w:ascii="Times New Roman" w:hAnsi="Times New Roman"/>
          <w:color w:val="000000" w:themeColor="text1"/>
          <w:sz w:val="28"/>
          <w:szCs w:val="28"/>
          <w:lang w:val="uk-UA"/>
        </w:rPr>
        <w:t xml:space="preserve">Смолій Л. В., Загороднюк О. В., Малюга Л. М. Моделювання прийняття інвестиційних рішень щодо технічного забезпечення аграрних підприємств. </w:t>
      </w:r>
      <w:r w:rsidRPr="00130466">
        <w:rPr>
          <w:rFonts w:ascii="Times New Roman" w:hAnsi="Times New Roman"/>
          <w:i/>
          <w:color w:val="000000" w:themeColor="text1"/>
          <w:sz w:val="28"/>
          <w:szCs w:val="28"/>
          <w:lang w:val="uk-UA"/>
        </w:rPr>
        <w:t>Економічний часопис-ХХІ</w:t>
      </w:r>
      <w:r w:rsidRPr="00130466">
        <w:rPr>
          <w:rFonts w:ascii="Times New Roman" w:hAnsi="Times New Roman"/>
          <w:color w:val="000000" w:themeColor="text1"/>
          <w:sz w:val="28"/>
          <w:szCs w:val="28"/>
          <w:lang w:val="uk-UA"/>
        </w:rPr>
        <w:t xml:space="preserve">. 2017. Вип. 163. С. 79-84.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124</w:t>
      </w:r>
      <w:r w:rsidRPr="00130466">
        <w:rPr>
          <w:rFonts w:ascii="Times New Roman" w:hAnsi="Times New Roman"/>
          <w:color w:val="000000" w:themeColor="text1"/>
          <w:sz w:val="28"/>
          <w:szCs w:val="28"/>
          <w:lang w:val="uk-UA"/>
        </w:rPr>
        <w:t xml:space="preserve">. Станасюк Н. С. Стратегічні орієнтири державного управління розвитком промислового потенціалу в Україні. </w:t>
      </w:r>
      <w:r w:rsidRPr="00130466">
        <w:rPr>
          <w:rFonts w:ascii="Times New Roman" w:hAnsi="Times New Roman"/>
          <w:i/>
          <w:color w:val="000000" w:themeColor="text1"/>
          <w:sz w:val="28"/>
          <w:szCs w:val="28"/>
          <w:lang w:val="uk-UA"/>
        </w:rPr>
        <w:t>Причорноморські економічні студії</w:t>
      </w:r>
      <w:r w:rsidRPr="00130466">
        <w:rPr>
          <w:rFonts w:ascii="Times New Roman" w:hAnsi="Times New Roman"/>
          <w:color w:val="000000" w:themeColor="text1"/>
          <w:sz w:val="28"/>
          <w:szCs w:val="28"/>
          <w:lang w:val="uk-UA"/>
        </w:rPr>
        <w:t xml:space="preserve">. 2017. Вип. 17. С. 66–70.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125</w:t>
      </w:r>
      <w:r w:rsidRPr="00130466">
        <w:rPr>
          <w:rFonts w:ascii="Times New Roman" w:hAnsi="Times New Roman"/>
          <w:color w:val="000000" w:themeColor="text1"/>
          <w:sz w:val="28"/>
          <w:szCs w:val="28"/>
          <w:lang w:val="uk-UA"/>
        </w:rPr>
        <w:t xml:space="preserve">. Стояненко І. В., Зубко Т. Л., Терещенко А. М. Оцінка фінансового потенціалу підприємства. </w:t>
      </w:r>
      <w:r w:rsidRPr="00130466">
        <w:rPr>
          <w:rFonts w:ascii="Times New Roman" w:hAnsi="Times New Roman"/>
          <w:i/>
          <w:color w:val="000000" w:themeColor="text1"/>
          <w:sz w:val="28"/>
          <w:szCs w:val="28"/>
          <w:lang w:val="uk-UA"/>
        </w:rPr>
        <w:t>Економіка. Фінанси. Право</w:t>
      </w:r>
      <w:r w:rsidRPr="00130466">
        <w:rPr>
          <w:rFonts w:ascii="Times New Roman" w:hAnsi="Times New Roman"/>
          <w:color w:val="000000" w:themeColor="text1"/>
          <w:sz w:val="28"/>
          <w:szCs w:val="28"/>
          <w:lang w:val="uk-UA"/>
        </w:rPr>
        <w:t xml:space="preserve">. 2019. № 6/2. С. 20–25.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126</w:t>
      </w:r>
      <w:r w:rsidRPr="00130466">
        <w:rPr>
          <w:rFonts w:ascii="Times New Roman" w:hAnsi="Times New Roman"/>
          <w:color w:val="000000" w:themeColor="text1"/>
          <w:sz w:val="28"/>
          <w:szCs w:val="28"/>
          <w:lang w:val="uk-UA"/>
        </w:rPr>
        <w:t xml:space="preserve">. Тищенко Т. І. Оцінювання інноваційного потенціалу промислового підприємства. </w:t>
      </w:r>
      <w:r w:rsidRPr="00130466">
        <w:rPr>
          <w:rFonts w:ascii="Times New Roman" w:hAnsi="Times New Roman"/>
          <w:i/>
          <w:color w:val="000000" w:themeColor="text1"/>
          <w:sz w:val="28"/>
          <w:szCs w:val="28"/>
          <w:lang w:val="uk-UA"/>
        </w:rPr>
        <w:t>Економічний вісник ДВНЗ УДХТУ</w:t>
      </w:r>
      <w:r w:rsidRPr="00130466">
        <w:rPr>
          <w:rFonts w:ascii="Times New Roman" w:hAnsi="Times New Roman"/>
          <w:color w:val="000000" w:themeColor="text1"/>
          <w:sz w:val="28"/>
          <w:szCs w:val="28"/>
          <w:lang w:val="uk-UA"/>
        </w:rPr>
        <w:t xml:space="preserve">. 2015. № 2. С. 65- 71.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127</w:t>
      </w:r>
      <w:r w:rsidRPr="00130466">
        <w:rPr>
          <w:rFonts w:ascii="Times New Roman" w:hAnsi="Times New Roman"/>
          <w:color w:val="000000" w:themeColor="text1"/>
          <w:sz w:val="28"/>
          <w:szCs w:val="28"/>
          <w:lang w:val="uk-UA"/>
        </w:rPr>
        <w:t xml:space="preserve">. Трусова Н.В. Моделювання середовища фінансового ризику в системі фінансового потенціалу підприємства. </w:t>
      </w:r>
      <w:r w:rsidRPr="00130466">
        <w:rPr>
          <w:rFonts w:ascii="Times New Roman" w:hAnsi="Times New Roman"/>
          <w:i/>
          <w:color w:val="000000" w:themeColor="text1"/>
          <w:sz w:val="28"/>
          <w:szCs w:val="28"/>
          <w:lang w:val="uk-UA"/>
        </w:rPr>
        <w:t>Глобальні та національні проблеми економіки</w:t>
      </w:r>
      <w:r w:rsidRPr="00130466">
        <w:rPr>
          <w:rFonts w:ascii="Times New Roman" w:hAnsi="Times New Roman"/>
          <w:color w:val="000000" w:themeColor="text1"/>
          <w:sz w:val="28"/>
          <w:szCs w:val="28"/>
          <w:lang w:val="uk-UA"/>
        </w:rPr>
        <w:t xml:space="preserve">. 2015. № 6. С. 826-829.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128. </w:t>
      </w:r>
      <w:r w:rsidRPr="00130466">
        <w:rPr>
          <w:rFonts w:ascii="Times New Roman" w:hAnsi="Times New Roman"/>
          <w:color w:val="000000" w:themeColor="text1"/>
          <w:sz w:val="28"/>
          <w:szCs w:val="28"/>
          <w:lang w:val="uk-UA"/>
        </w:rPr>
        <w:t xml:space="preserve">Турило А. А. Потенціал підприємства: сутність та методологічні підходи до визначення. </w:t>
      </w:r>
      <w:r w:rsidRPr="00130466">
        <w:rPr>
          <w:rFonts w:ascii="Times New Roman" w:hAnsi="Times New Roman"/>
          <w:i/>
          <w:color w:val="000000" w:themeColor="text1"/>
          <w:sz w:val="28"/>
          <w:szCs w:val="28"/>
          <w:lang w:val="uk-UA"/>
        </w:rPr>
        <w:t>Економічний вісник Національного гірничого університету</w:t>
      </w:r>
      <w:r w:rsidRPr="00130466">
        <w:rPr>
          <w:rFonts w:ascii="Times New Roman" w:hAnsi="Times New Roman"/>
          <w:color w:val="000000" w:themeColor="text1"/>
          <w:sz w:val="28"/>
          <w:szCs w:val="28"/>
          <w:lang w:val="uk-UA"/>
        </w:rPr>
        <w:t xml:space="preserve">. 2014. № 3. С. 65-71.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129</w:t>
      </w:r>
      <w:r w:rsidRPr="00130466">
        <w:rPr>
          <w:rFonts w:ascii="Times New Roman" w:hAnsi="Times New Roman"/>
          <w:color w:val="000000" w:themeColor="text1"/>
          <w:sz w:val="28"/>
          <w:szCs w:val="28"/>
          <w:lang w:val="uk-UA"/>
        </w:rPr>
        <w:t xml:space="preserve">. Турило А. М. Оцінка вартості підприємства в системі фінансово-економічної стратегії його розвитку. </w:t>
      </w:r>
      <w:r w:rsidRPr="00130466">
        <w:rPr>
          <w:rFonts w:ascii="Times New Roman" w:hAnsi="Times New Roman"/>
          <w:i/>
          <w:color w:val="000000" w:themeColor="text1"/>
          <w:sz w:val="28"/>
          <w:szCs w:val="28"/>
          <w:lang w:val="uk-UA"/>
        </w:rPr>
        <w:t>Фінанси України</w:t>
      </w:r>
      <w:r w:rsidRPr="00130466">
        <w:rPr>
          <w:rFonts w:ascii="Times New Roman" w:hAnsi="Times New Roman"/>
          <w:color w:val="000000" w:themeColor="text1"/>
          <w:sz w:val="28"/>
          <w:szCs w:val="28"/>
          <w:lang w:val="uk-UA"/>
        </w:rPr>
        <w:t xml:space="preserve">. 2009. № 5. С. 95-100.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130. </w:t>
      </w:r>
      <w:r w:rsidRPr="00130466">
        <w:rPr>
          <w:rFonts w:ascii="Times New Roman" w:hAnsi="Times New Roman"/>
          <w:color w:val="000000" w:themeColor="text1"/>
          <w:sz w:val="28"/>
          <w:szCs w:val="28"/>
          <w:lang w:val="uk-UA"/>
        </w:rPr>
        <w:t xml:space="preserve">Турило А. М., Богачевська К. В. Потенціал підприємства: сутність, класифікація, види. </w:t>
      </w:r>
      <w:r w:rsidRPr="00130466">
        <w:rPr>
          <w:rFonts w:ascii="Times New Roman" w:hAnsi="Times New Roman"/>
          <w:i/>
          <w:color w:val="000000" w:themeColor="text1"/>
          <w:sz w:val="28"/>
          <w:szCs w:val="28"/>
          <w:lang w:val="uk-UA"/>
        </w:rPr>
        <w:t>Бізнес Інформ</w:t>
      </w:r>
      <w:r w:rsidRPr="00130466">
        <w:rPr>
          <w:rFonts w:ascii="Times New Roman" w:hAnsi="Times New Roman"/>
          <w:color w:val="000000" w:themeColor="text1"/>
          <w:sz w:val="28"/>
          <w:szCs w:val="28"/>
          <w:lang w:val="uk-UA"/>
        </w:rPr>
        <w:t xml:space="preserve">. 2014. № 2. С. 259-263.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131</w:t>
      </w:r>
      <w:r w:rsidRPr="00130466">
        <w:rPr>
          <w:rFonts w:ascii="Times New Roman" w:hAnsi="Times New Roman"/>
          <w:color w:val="000000" w:themeColor="text1"/>
          <w:sz w:val="28"/>
          <w:szCs w:val="28"/>
          <w:lang w:val="uk-UA"/>
        </w:rPr>
        <w:t xml:space="preserve">. Турчак В. В. Методика оцінки фінансового потенціалу підприємства в сучасних умовах господарювання. </w:t>
      </w:r>
      <w:r w:rsidRPr="00130466">
        <w:rPr>
          <w:rFonts w:ascii="Times New Roman" w:hAnsi="Times New Roman"/>
          <w:i/>
          <w:color w:val="000000" w:themeColor="text1"/>
          <w:sz w:val="28"/>
          <w:szCs w:val="28"/>
          <w:lang w:val="uk-UA"/>
        </w:rPr>
        <w:t>Молодий вчений</w:t>
      </w:r>
      <w:r w:rsidRPr="00130466">
        <w:rPr>
          <w:rFonts w:ascii="Times New Roman" w:hAnsi="Times New Roman"/>
          <w:color w:val="000000" w:themeColor="text1"/>
          <w:sz w:val="28"/>
          <w:szCs w:val="28"/>
          <w:lang w:val="uk-UA"/>
        </w:rPr>
        <w:t xml:space="preserve">. 2014. № 8(11). С. 49–52.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132</w:t>
      </w:r>
      <w:r w:rsidRPr="00130466">
        <w:rPr>
          <w:rFonts w:ascii="Times New Roman" w:hAnsi="Times New Roman"/>
          <w:color w:val="000000" w:themeColor="text1"/>
          <w:sz w:val="28"/>
          <w:szCs w:val="28"/>
          <w:lang w:val="uk-UA"/>
        </w:rPr>
        <w:t xml:space="preserve">. Фещур Р. Управління соціально-економічним розвитком підприємства: методологія та інструментарій: монографія. Львів: Растр-7, 2016. 226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133</w:t>
      </w:r>
      <w:r w:rsidRPr="00130466">
        <w:rPr>
          <w:rFonts w:ascii="Times New Roman" w:hAnsi="Times New Roman"/>
          <w:color w:val="000000" w:themeColor="text1"/>
          <w:sz w:val="28"/>
          <w:szCs w:val="28"/>
          <w:lang w:val="uk-UA"/>
        </w:rPr>
        <w:t xml:space="preserve">. Фінансово-управлінські аспекти інноваційно-інвестиційного розвитку підприємництва в національній економіці: монографія. Синчак В.П., Сибірянська Ю.В., Свириденко О.О., Поліщук Є.А. та ін. Хмельницький: ХУУП, 2017. 373 с.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134</w:t>
      </w:r>
      <w:r w:rsidRPr="00130466">
        <w:rPr>
          <w:rFonts w:ascii="Times New Roman" w:hAnsi="Times New Roman"/>
          <w:color w:val="000000" w:themeColor="text1"/>
          <w:sz w:val="28"/>
          <w:szCs w:val="28"/>
          <w:lang w:val="uk-UA"/>
        </w:rPr>
        <w:t xml:space="preserve">. Хацер М. В. Стратегія розвитку підприємства в умовах нестабільності економіки держави. Збірник наукових праць </w:t>
      </w:r>
      <w:r w:rsidRPr="00130466">
        <w:rPr>
          <w:rFonts w:ascii="Times New Roman" w:hAnsi="Times New Roman"/>
          <w:i/>
          <w:color w:val="000000" w:themeColor="text1"/>
          <w:sz w:val="28"/>
          <w:szCs w:val="28"/>
          <w:lang w:val="uk-UA"/>
        </w:rPr>
        <w:t>Таврійського державного агротехнологічного університету (економічні науки)</w:t>
      </w:r>
      <w:r w:rsidRPr="00130466">
        <w:rPr>
          <w:rFonts w:ascii="Times New Roman" w:hAnsi="Times New Roman"/>
          <w:color w:val="000000" w:themeColor="text1"/>
          <w:sz w:val="28"/>
          <w:szCs w:val="28"/>
          <w:lang w:val="uk-UA"/>
        </w:rPr>
        <w:t xml:space="preserve">. 2014. № 3. С. 109-112.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135</w:t>
      </w:r>
      <w:r w:rsidRPr="00130466">
        <w:rPr>
          <w:rFonts w:ascii="Times New Roman" w:hAnsi="Times New Roman"/>
          <w:color w:val="000000" w:themeColor="text1"/>
          <w:sz w:val="28"/>
          <w:szCs w:val="28"/>
          <w:lang w:val="uk-UA"/>
        </w:rPr>
        <w:t xml:space="preserve">. Хіміон О. О. Теоретичні і методичні засади оцінки управління вартістю компанії.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2010. № 5(107). С. 150–158.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 xml:space="preserve">136. Холод Є.С. Вартісно-орієнтоване управління у функціонально-економічному механізмі підвищення інвестиційної привабливості сільськогосподарських підприємств. Interdisciplinary Horizons of Knowledge: Science, Society, Technology and Sustainable Futures. Proceedings of International Scientific and Practical Conference. October 1, 2026 in Hainan Tropical Ocean University (HTOU), Hainan, China. Prague: Publishing house Education and Science s.r.o., 2026. С. 88–92. URL: </w:t>
      </w:r>
      <w:hyperlink r:id="rId35">
        <w:r w:rsidRPr="00130466">
          <w:rPr>
            <w:rFonts w:ascii="Times New Roman" w:hAnsi="Times New Roman"/>
            <w:color w:val="000000" w:themeColor="text1"/>
            <w:sz w:val="28"/>
            <w:szCs w:val="28"/>
            <w:lang w:val="uk-UA"/>
          </w:rPr>
          <w:t>https://phes.com.ua/files/conferences/Zbirnyk_Hainan_01-10-2026.pdf</w:t>
        </w:r>
      </w:hyperlink>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137. Холод Є.С. Вплив сутності інвестиційного процесу на формування інвестиційної привабливості підприємств. Міждисциплінарні дослідження в галузі науки, інновацій та суспільного розвитку. Вип. 3. Монографія. Прага: Publishing house Education and Science s.r.o., 2026. С. 278-280. DOI: </w:t>
      </w:r>
      <w:hyperlink r:id="rId36">
        <w:r w:rsidRPr="00130466">
          <w:rPr>
            <w:rFonts w:ascii="Times New Roman" w:hAnsi="Times New Roman"/>
            <w:color w:val="000000" w:themeColor="text1"/>
            <w:sz w:val="28"/>
            <w:szCs w:val="28"/>
            <w:lang w:val="uk-UA"/>
          </w:rPr>
          <w:t>https://doi.org/10.65237/3-2026-18</w:t>
        </w:r>
      </w:hyperlink>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138. Холод Є.С. Обґрунтування вибору можливих варіантів формування інвестиційної привабливості підприємств. Global Scientific Horizons 2026: International Conference on Research, Innovation and </w:t>
      </w:r>
      <w:r w:rsidRPr="00130466">
        <w:rPr>
          <w:rFonts w:ascii="Times New Roman" w:hAnsi="Times New Roman"/>
          <w:color w:val="000000" w:themeColor="text1"/>
          <w:sz w:val="28"/>
          <w:szCs w:val="28"/>
          <w:lang w:val="uk-UA"/>
        </w:rPr>
        <w:t xml:space="preserve">Interdisciplinary Development. Proceedings of International Scientific and Practical Conference. January 21, 2026 in Charles University, Prague, Czech Republic. Prague: Publishing house Education and Science s.r.o., 2026. С. 44-47. URL: </w:t>
      </w:r>
      <w:hyperlink r:id="rId37">
        <w:r w:rsidRPr="00130466">
          <w:rPr>
            <w:rFonts w:ascii="Times New Roman" w:hAnsi="Times New Roman"/>
            <w:color w:val="000000" w:themeColor="text1"/>
            <w:sz w:val="28"/>
            <w:szCs w:val="28"/>
            <w:lang w:val="uk-UA"/>
          </w:rPr>
          <w:t>https://phes.com.ua/files/Conferences_21_01_26.pdf</w:t>
        </w:r>
      </w:hyperlink>
    </w:p>
    <w:p w:rsidR="003C64E3" w:rsidRPr="00130466" w:rsidRDefault="00665717" w:rsidP="00665717">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139. Холод Є.С. </w:t>
      </w:r>
      <w:r w:rsidRPr="00130466">
        <w:rPr>
          <w:rFonts w:ascii="Times New Roman" w:hAnsi="Times New Roman"/>
          <w:color w:val="000000" w:themeColor="text1"/>
          <w:sz w:val="28"/>
          <w:szCs w:val="28"/>
          <w:lang w:val="uk-UA"/>
        </w:rPr>
        <w:t>Особливості прийняття управлінських рішень банками при формуванні інвестиційної привабливості сільськогосподарських підприємств. Інвестиції: практика та досвід. 2026. № 1. С. 213-216.</w:t>
      </w:r>
    </w:p>
    <w:p w:rsidR="00665717" w:rsidRPr="00130466" w:rsidRDefault="00665717" w:rsidP="00665717">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140. Холод Є.С. </w:t>
      </w:r>
      <w:r w:rsidRPr="00130466">
        <w:rPr>
          <w:rFonts w:ascii="Times New Roman" w:hAnsi="Times New Roman"/>
          <w:color w:val="000000" w:themeColor="text1"/>
          <w:sz w:val="28"/>
          <w:szCs w:val="28"/>
          <w:lang w:val="uk-UA"/>
        </w:rPr>
        <w:t>Особливості прийняття управлінських рішень при визначенні доцільністю інвестиційного проекту та формування інвестиційної привабливості сільськогосподарських підприємств. Ефективна економіка. 2026. № 1. URL: https://www.nayka.com.ua/index.php/ee/article/view/8895/9037</w:t>
      </w:r>
    </w:p>
    <w:p w:rsidR="00665717" w:rsidRPr="00130466" w:rsidRDefault="003C64E3" w:rsidP="00665717">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141. </w:t>
      </w:r>
      <w:r w:rsidR="00665717" w:rsidRPr="00130466">
        <w:rPr>
          <w:rFonts w:ascii="Times New Roman" w:hAnsi="Times New Roman"/>
          <w:color w:val="000000" w:themeColor="text1"/>
          <w:sz w:val="28"/>
          <w:szCs w:val="28"/>
          <w:lang w:val="uk-UA"/>
        </w:rPr>
        <w:t>Холод Є.С. Оцінка сучасних підходів до проблеми аналізу інвестиційної привабливості підприємств. Агросвіт. 2025. № 24. С. 252-256.</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 xml:space="preserve">142. Черненький В. П. Економічний розвиток підприємства: сутність та види. </w:t>
      </w:r>
      <w:r w:rsidRPr="00130466">
        <w:rPr>
          <w:rFonts w:ascii="Times New Roman" w:hAnsi="Times New Roman"/>
          <w:i/>
          <w:color w:val="000000" w:themeColor="text1"/>
          <w:sz w:val="28"/>
          <w:szCs w:val="28"/>
          <w:lang w:val="uk-UA"/>
        </w:rPr>
        <w:t>Формування ринкової економіки в Україні</w:t>
      </w:r>
      <w:r w:rsidRPr="00130466">
        <w:rPr>
          <w:rFonts w:ascii="Times New Roman" w:hAnsi="Times New Roman"/>
          <w:color w:val="000000" w:themeColor="text1"/>
          <w:sz w:val="28"/>
          <w:szCs w:val="28"/>
          <w:lang w:val="uk-UA"/>
        </w:rPr>
        <w:t xml:space="preserve">. 2010. Вип. 23. С. 116-126.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143</w:t>
      </w:r>
      <w:r w:rsidRPr="00130466">
        <w:rPr>
          <w:rFonts w:ascii="Times New Roman" w:hAnsi="Times New Roman"/>
          <w:color w:val="000000" w:themeColor="text1"/>
          <w:sz w:val="28"/>
          <w:szCs w:val="28"/>
          <w:lang w:val="uk-UA"/>
        </w:rPr>
        <w:t xml:space="preserve">. Чимшит С. І., Чалапко Л. Д., Окуневич І. Л. Методологічні основи аналізу потенціалу підприємства. </w:t>
      </w:r>
      <w:r w:rsidRPr="00130466">
        <w:rPr>
          <w:rFonts w:ascii="Times New Roman" w:hAnsi="Times New Roman"/>
          <w:i/>
          <w:color w:val="000000" w:themeColor="text1"/>
          <w:sz w:val="28"/>
          <w:szCs w:val="28"/>
          <w:lang w:val="uk-UA"/>
        </w:rPr>
        <w:t>Вісник економічної науки України</w:t>
      </w:r>
      <w:r w:rsidRPr="00130466">
        <w:rPr>
          <w:rFonts w:ascii="Times New Roman" w:hAnsi="Times New Roman"/>
          <w:color w:val="000000" w:themeColor="text1"/>
          <w:sz w:val="28"/>
          <w:szCs w:val="28"/>
          <w:lang w:val="uk-UA"/>
        </w:rPr>
        <w:t xml:space="preserve">. 2011. № 1. С. 169-175.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144</w:t>
      </w:r>
      <w:r w:rsidRPr="00130466">
        <w:rPr>
          <w:rFonts w:ascii="Times New Roman" w:hAnsi="Times New Roman"/>
          <w:color w:val="000000" w:themeColor="text1"/>
          <w:sz w:val="28"/>
          <w:szCs w:val="28"/>
          <w:lang w:val="uk-UA"/>
        </w:rPr>
        <w:t xml:space="preserve">. Шавшин О. С. Стратегія інноваційного розвитку підприємства. </w:t>
      </w:r>
      <w:r w:rsidRPr="00130466">
        <w:rPr>
          <w:rFonts w:ascii="Times New Roman" w:hAnsi="Times New Roman"/>
          <w:i/>
          <w:color w:val="000000" w:themeColor="text1"/>
          <w:sz w:val="28"/>
          <w:szCs w:val="28"/>
          <w:lang w:val="uk-UA"/>
        </w:rPr>
        <w:t>Міжнародний науковий журнал «Інтернаука». Сер.: Економічні науки</w:t>
      </w:r>
      <w:r w:rsidRPr="00130466">
        <w:rPr>
          <w:rFonts w:ascii="Times New Roman" w:hAnsi="Times New Roman"/>
          <w:color w:val="000000" w:themeColor="text1"/>
          <w:sz w:val="28"/>
          <w:szCs w:val="28"/>
          <w:lang w:val="uk-UA"/>
        </w:rPr>
        <w:t xml:space="preserve">. 2017. №3(25). С. 167-171.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145</w:t>
      </w:r>
      <w:r w:rsidRPr="00130466">
        <w:rPr>
          <w:rFonts w:ascii="Times New Roman" w:hAnsi="Times New Roman"/>
          <w:color w:val="000000" w:themeColor="text1"/>
          <w:sz w:val="28"/>
          <w:szCs w:val="28"/>
          <w:lang w:val="uk-UA"/>
        </w:rPr>
        <w:t xml:space="preserve">. Шаманська О. І. Основні напрямки підвищення ефективності управління ресурсним потенціалом підприємства.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2012. № 6. С. 166-172.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146</w:t>
      </w:r>
      <w:r w:rsidRPr="00130466">
        <w:rPr>
          <w:rFonts w:ascii="Times New Roman" w:hAnsi="Times New Roman"/>
          <w:color w:val="000000" w:themeColor="text1"/>
          <w:sz w:val="28"/>
          <w:szCs w:val="28"/>
          <w:lang w:val="uk-UA"/>
        </w:rPr>
        <w:t xml:space="preserve">. Шишковський С. В., Фещур Р. В., Самуляк В. Ю. Непрямий метод оцінювання рівня розвитку підприємств. </w:t>
      </w:r>
      <w:r w:rsidRPr="00130466">
        <w:rPr>
          <w:rFonts w:ascii="Times New Roman" w:hAnsi="Times New Roman"/>
          <w:i/>
          <w:color w:val="000000" w:themeColor="text1"/>
          <w:sz w:val="28"/>
          <w:szCs w:val="28"/>
          <w:lang w:val="uk-UA"/>
        </w:rPr>
        <w:t>Вісник Національного університету “Львівська політехніка”. Серія: «Менеджмент та підприємництво в Україні: етапи становлення і проблеми розвитку”</w:t>
      </w:r>
      <w:r w:rsidRPr="00130466">
        <w:rPr>
          <w:rFonts w:ascii="Times New Roman" w:hAnsi="Times New Roman"/>
          <w:color w:val="000000" w:themeColor="text1"/>
          <w:sz w:val="28"/>
          <w:szCs w:val="28"/>
          <w:lang w:val="uk-UA"/>
        </w:rPr>
        <w:t xml:space="preserve">, 2012. Вип. 727. С. 286-291.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147</w:t>
      </w:r>
      <w:r w:rsidRPr="00130466">
        <w:rPr>
          <w:rFonts w:ascii="Times New Roman" w:hAnsi="Times New Roman"/>
          <w:color w:val="000000" w:themeColor="text1"/>
          <w:sz w:val="28"/>
          <w:szCs w:val="28"/>
          <w:lang w:val="uk-UA"/>
        </w:rPr>
        <w:t xml:space="preserve">. Шумська С.С. Фінансовий потенціал України: методологія визначення та оцінки. </w:t>
      </w:r>
      <w:r w:rsidRPr="00130466">
        <w:rPr>
          <w:rFonts w:ascii="Times New Roman" w:hAnsi="Times New Roman"/>
          <w:i/>
          <w:color w:val="000000" w:themeColor="text1"/>
          <w:sz w:val="28"/>
          <w:szCs w:val="28"/>
          <w:lang w:val="uk-UA"/>
        </w:rPr>
        <w:t>Фінанси України</w:t>
      </w:r>
      <w:r w:rsidRPr="00130466">
        <w:rPr>
          <w:rFonts w:ascii="Times New Roman" w:hAnsi="Times New Roman"/>
          <w:color w:val="000000" w:themeColor="text1"/>
          <w:sz w:val="28"/>
          <w:szCs w:val="28"/>
          <w:lang w:val="uk-UA"/>
        </w:rPr>
        <w:t xml:space="preserve">. 2007. № 5. С. 55-64.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148</w:t>
      </w:r>
      <w:r w:rsidRPr="00130466">
        <w:rPr>
          <w:rFonts w:ascii="Times New Roman" w:hAnsi="Times New Roman"/>
          <w:color w:val="000000" w:themeColor="text1"/>
          <w:sz w:val="28"/>
          <w:szCs w:val="28"/>
          <w:lang w:val="uk-UA"/>
        </w:rPr>
        <w:t xml:space="preserve">. Юрків Р.Р. Адаптація іноземного досвіду формування і використання фінансового потенціалу інвестиційної діяльності суб’єктів малого підприємництва в Україні. </w:t>
      </w:r>
      <w:r w:rsidRPr="00130466">
        <w:rPr>
          <w:rFonts w:ascii="Times New Roman" w:hAnsi="Times New Roman"/>
          <w:i/>
          <w:color w:val="000000" w:themeColor="text1"/>
          <w:sz w:val="28"/>
          <w:szCs w:val="28"/>
          <w:lang w:val="uk-UA"/>
        </w:rPr>
        <w:t>Інвестиції: практика та досвід</w:t>
      </w:r>
      <w:r w:rsidRPr="00130466">
        <w:rPr>
          <w:rFonts w:ascii="Times New Roman" w:hAnsi="Times New Roman"/>
          <w:color w:val="000000" w:themeColor="text1"/>
          <w:sz w:val="28"/>
          <w:szCs w:val="28"/>
          <w:lang w:val="uk-UA"/>
        </w:rPr>
        <w:t xml:space="preserve">. 2021. №10. С. 96–102.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149</w:t>
      </w:r>
      <w:r w:rsidRPr="00130466">
        <w:rPr>
          <w:rFonts w:ascii="Times New Roman" w:hAnsi="Times New Roman"/>
          <w:color w:val="000000" w:themeColor="text1"/>
          <w:sz w:val="28"/>
          <w:szCs w:val="28"/>
          <w:lang w:val="uk-UA"/>
        </w:rPr>
        <w:t xml:space="preserve">. Юрків Р.Р. Власні джерела інвестиційних ресурсів суб’єктів малого підприємництва в Україні: проблеми формування, оцінки й управління. </w:t>
      </w:r>
      <w:r w:rsidRPr="00130466">
        <w:rPr>
          <w:rFonts w:ascii="Times New Roman" w:hAnsi="Times New Roman"/>
          <w:i/>
          <w:color w:val="000000" w:themeColor="text1"/>
          <w:sz w:val="28"/>
          <w:szCs w:val="28"/>
          <w:lang w:val="uk-UA"/>
        </w:rPr>
        <w:t>Формування ринкової економіки в Україні: зб. наук. праць</w:t>
      </w:r>
      <w:r w:rsidRPr="00130466">
        <w:rPr>
          <w:rFonts w:ascii="Times New Roman" w:hAnsi="Times New Roman"/>
          <w:color w:val="000000" w:themeColor="text1"/>
          <w:sz w:val="28"/>
          <w:szCs w:val="28"/>
          <w:lang w:val="uk-UA"/>
        </w:rPr>
        <w:t xml:space="preserve">. 2018. Вип. 40, ч. 2. С. 254–264.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150</w:t>
      </w:r>
      <w:r w:rsidRPr="00130466">
        <w:rPr>
          <w:rFonts w:ascii="Times New Roman" w:hAnsi="Times New Roman"/>
          <w:color w:val="000000" w:themeColor="text1"/>
          <w:sz w:val="28"/>
          <w:szCs w:val="28"/>
          <w:lang w:val="uk-UA"/>
        </w:rPr>
        <w:t xml:space="preserve">. Юрків Р.Р. Показники оцінювання рівня використання фінансового потенціалу інвестиційної діяльності малих підприємств. I International Multidisciplinary Scientific and Theoretical Conference «Advanced discoveries of modern science: experience, approaches and innovations» (Vol. 1), </w:t>
      </w:r>
      <w:r w:rsidRPr="00130466">
        <w:rPr>
          <w:rFonts w:ascii="Times New Roman" w:hAnsi="Times New Roman"/>
          <w:color w:val="000000" w:themeColor="text1"/>
          <w:sz w:val="28"/>
          <w:szCs w:val="28"/>
          <w:lang w:val="uk-UA"/>
        </w:rPr>
        <w:lastRenderedPageBreak/>
        <w:t xml:space="preserve">9 квітня 2021 р. Амстердам, Нідерланди: European Scientific Platform. С. 31-33.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151</w:t>
      </w:r>
      <w:r w:rsidRPr="00130466">
        <w:rPr>
          <w:rFonts w:ascii="Times New Roman" w:hAnsi="Times New Roman"/>
          <w:color w:val="000000" w:themeColor="text1"/>
          <w:sz w:val="28"/>
          <w:szCs w:val="28"/>
          <w:lang w:val="uk-UA"/>
        </w:rPr>
        <w:t xml:space="preserve">. Юрків Р.Р. Сутність та послідовність оцінювання позичкового потенціалу інвестиційної діяльності малих підприємств. I International Multidisciplinary Scientific and Theoretical Conference «Sectoral research XXI: characteristics and features», 26 березня 2021 р. Чикаго, США: European Scientific Platform. С. 49-51.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152</w:t>
      </w:r>
      <w:r w:rsidRPr="00130466">
        <w:rPr>
          <w:rFonts w:ascii="Times New Roman" w:hAnsi="Times New Roman"/>
          <w:color w:val="000000" w:themeColor="text1"/>
          <w:sz w:val="28"/>
          <w:szCs w:val="28"/>
          <w:lang w:val="uk-UA"/>
        </w:rPr>
        <w:t xml:space="preserve">. Юрків Р.Р. Сутність, складники та види фінансового потенціалу інвестиційної діяльності підприємств. I Міжнародна науково-практична конференція «Education and science of today: intersectoral issues and development of sciences», 19 березня 2021 р., Кембридж, Великобританія. С. 46-48.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153</w:t>
      </w:r>
      <w:r w:rsidRPr="00130466">
        <w:rPr>
          <w:rFonts w:ascii="Times New Roman" w:hAnsi="Times New Roman"/>
          <w:color w:val="000000" w:themeColor="text1"/>
          <w:sz w:val="28"/>
          <w:szCs w:val="28"/>
          <w:lang w:val="uk-UA"/>
        </w:rPr>
        <w:t xml:space="preserve">. Юрків Р.Р. Сучасні тенденції та напрями інвестиційної діяльності малих підприємств. </w:t>
      </w:r>
      <w:r w:rsidRPr="00130466">
        <w:rPr>
          <w:rFonts w:ascii="Times New Roman" w:hAnsi="Times New Roman"/>
          <w:i/>
          <w:color w:val="000000" w:themeColor="text1"/>
          <w:sz w:val="28"/>
          <w:szCs w:val="28"/>
          <w:lang w:val="uk-UA"/>
        </w:rPr>
        <w:t>Формування ринкової економіки в Україні: зб. наук. праць</w:t>
      </w:r>
      <w:r w:rsidRPr="00130466">
        <w:rPr>
          <w:rFonts w:ascii="Times New Roman" w:hAnsi="Times New Roman"/>
          <w:color w:val="000000" w:themeColor="text1"/>
          <w:sz w:val="28"/>
          <w:szCs w:val="28"/>
          <w:lang w:val="uk-UA"/>
        </w:rPr>
        <w:t xml:space="preserve">. 2019. Вип. 41. С. 496–503.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154</w:t>
      </w:r>
      <w:r w:rsidRPr="00130466">
        <w:rPr>
          <w:rFonts w:ascii="Times New Roman" w:hAnsi="Times New Roman"/>
          <w:color w:val="000000" w:themeColor="text1"/>
          <w:sz w:val="28"/>
          <w:szCs w:val="28"/>
          <w:lang w:val="uk-UA"/>
        </w:rPr>
        <w:t xml:space="preserve">. Юрків Р.Р. Теоретико-методологічні основи формування та оцінювання фінансового потенціалу інвестиційної діяльності малих підприємств. </w:t>
      </w:r>
      <w:r w:rsidRPr="00130466">
        <w:rPr>
          <w:rFonts w:ascii="Times New Roman" w:hAnsi="Times New Roman"/>
          <w:i/>
          <w:color w:val="000000" w:themeColor="text1"/>
          <w:sz w:val="28"/>
          <w:szCs w:val="28"/>
          <w:lang w:val="uk-UA"/>
        </w:rPr>
        <w:t>Міжнародний науковий журнал «Інтернаука». Серія «Економічні науки»</w:t>
      </w:r>
      <w:r w:rsidRPr="00130466">
        <w:rPr>
          <w:rFonts w:ascii="Times New Roman" w:hAnsi="Times New Roman"/>
          <w:color w:val="000000" w:themeColor="text1"/>
          <w:sz w:val="28"/>
          <w:szCs w:val="28"/>
          <w:lang w:val="uk-UA"/>
        </w:rPr>
        <w:t xml:space="preserve">. 2021. № 8 (52). С. 81–88.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155</w:t>
      </w:r>
      <w:r w:rsidRPr="00130466">
        <w:rPr>
          <w:rFonts w:ascii="Times New Roman" w:hAnsi="Times New Roman"/>
          <w:color w:val="000000" w:themeColor="text1"/>
          <w:sz w:val="28"/>
          <w:szCs w:val="28"/>
          <w:lang w:val="uk-UA"/>
        </w:rPr>
        <w:t xml:space="preserve">. Юрків Р.Р. Формування фінансового потенціалу інвестиційно-інноваційної діяльності малих підприємств в Україні. </w:t>
      </w:r>
      <w:r w:rsidRPr="00130466">
        <w:rPr>
          <w:rFonts w:ascii="Times New Roman" w:hAnsi="Times New Roman"/>
          <w:i/>
          <w:color w:val="000000" w:themeColor="text1"/>
          <w:sz w:val="28"/>
          <w:szCs w:val="28"/>
          <w:lang w:val="uk-UA"/>
        </w:rPr>
        <w:t>Вісник Львівського університету. Серія економічна</w:t>
      </w:r>
      <w:r w:rsidRPr="00130466">
        <w:rPr>
          <w:rFonts w:ascii="Times New Roman" w:hAnsi="Times New Roman"/>
          <w:color w:val="000000" w:themeColor="text1"/>
          <w:sz w:val="28"/>
          <w:szCs w:val="28"/>
          <w:lang w:val="uk-UA"/>
        </w:rPr>
        <w:t xml:space="preserve">. 2017. Вип. 54. С. 275–282.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156</w:t>
      </w:r>
      <w:r w:rsidRPr="00130466">
        <w:rPr>
          <w:rFonts w:ascii="Times New Roman" w:hAnsi="Times New Roman"/>
          <w:color w:val="000000" w:themeColor="text1"/>
          <w:sz w:val="28"/>
          <w:szCs w:val="28"/>
          <w:lang w:val="uk-UA"/>
        </w:rPr>
        <w:t xml:space="preserve">. Юрків Р.Р. Формування фінансового потенціалу інвестиційної діяльності суб’єктів малого підприємництва в Україні. </w:t>
      </w:r>
      <w:r w:rsidRPr="00130466">
        <w:rPr>
          <w:rFonts w:ascii="Times New Roman" w:hAnsi="Times New Roman"/>
          <w:i/>
          <w:color w:val="000000" w:themeColor="text1"/>
          <w:sz w:val="28"/>
          <w:szCs w:val="28"/>
          <w:lang w:val="uk-UA"/>
        </w:rPr>
        <w:t>Агросвіт</w:t>
      </w:r>
      <w:r w:rsidRPr="00130466">
        <w:rPr>
          <w:rFonts w:ascii="Times New Roman" w:hAnsi="Times New Roman"/>
          <w:color w:val="000000" w:themeColor="text1"/>
          <w:sz w:val="28"/>
          <w:szCs w:val="28"/>
          <w:lang w:val="uk-UA"/>
        </w:rPr>
        <w:t xml:space="preserve">. 2021. № 13-14. С. 45–52.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157</w:t>
      </w:r>
      <w:r w:rsidRPr="00130466">
        <w:rPr>
          <w:rFonts w:ascii="Times New Roman" w:hAnsi="Times New Roman"/>
          <w:color w:val="000000" w:themeColor="text1"/>
          <w:sz w:val="28"/>
          <w:szCs w:val="28"/>
          <w:lang w:val="uk-UA"/>
        </w:rPr>
        <w:t xml:space="preserve">. Юрків Р.Р. Інституційні аспекти формування та реалізації фінансового потенціалу інвестиційної діяльності суб'єктів малого підприємництва в Україні. </w:t>
      </w:r>
      <w:r w:rsidRPr="00130466">
        <w:rPr>
          <w:rFonts w:ascii="Times New Roman" w:hAnsi="Times New Roman"/>
          <w:i/>
          <w:color w:val="000000" w:themeColor="text1"/>
          <w:sz w:val="28"/>
          <w:szCs w:val="28"/>
          <w:lang w:val="uk-UA"/>
        </w:rPr>
        <w:t>Економіка та держава</w:t>
      </w:r>
      <w:r w:rsidRPr="00130466">
        <w:rPr>
          <w:rFonts w:ascii="Times New Roman" w:hAnsi="Times New Roman"/>
          <w:color w:val="000000" w:themeColor="text1"/>
          <w:sz w:val="28"/>
          <w:szCs w:val="28"/>
          <w:lang w:val="uk-UA"/>
        </w:rPr>
        <w:t xml:space="preserve">. 2021. № 7. С.101–106.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158</w:t>
      </w:r>
      <w:r w:rsidRPr="00130466">
        <w:rPr>
          <w:rFonts w:ascii="Times New Roman" w:hAnsi="Times New Roman"/>
          <w:color w:val="000000" w:themeColor="text1"/>
          <w:sz w:val="28"/>
          <w:szCs w:val="28"/>
          <w:lang w:val="uk-UA"/>
        </w:rPr>
        <w:t xml:space="preserve">. Якименко Н. В. Управління інноваційною сприйнятливістю як складова адаптивного управління інноваційним розвитком підприємств </w:t>
      </w:r>
      <w:r w:rsidRPr="00130466">
        <w:rPr>
          <w:rFonts w:ascii="Times New Roman" w:hAnsi="Times New Roman"/>
          <w:color w:val="000000" w:themeColor="text1"/>
          <w:sz w:val="28"/>
          <w:szCs w:val="28"/>
          <w:lang w:val="uk-UA"/>
        </w:rPr>
        <w:lastRenderedPageBreak/>
        <w:t xml:space="preserve">залізничного транспорту. </w:t>
      </w:r>
      <w:r w:rsidRPr="00130466">
        <w:rPr>
          <w:rFonts w:ascii="Times New Roman" w:hAnsi="Times New Roman"/>
          <w:i/>
          <w:color w:val="000000" w:themeColor="text1"/>
          <w:sz w:val="28"/>
          <w:szCs w:val="28"/>
          <w:lang w:val="uk-UA"/>
        </w:rPr>
        <w:t>Вісник економіки транспорту і промисловості</w:t>
      </w:r>
      <w:r w:rsidRPr="00130466">
        <w:rPr>
          <w:rFonts w:ascii="Times New Roman" w:hAnsi="Times New Roman"/>
          <w:color w:val="000000" w:themeColor="text1"/>
          <w:sz w:val="28"/>
          <w:szCs w:val="28"/>
          <w:lang w:val="uk-UA"/>
        </w:rPr>
        <w:t xml:space="preserve">. 2012. № 40. С. 286-289.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159</w:t>
      </w:r>
      <w:r w:rsidRPr="00130466">
        <w:rPr>
          <w:rFonts w:ascii="Times New Roman" w:hAnsi="Times New Roman"/>
          <w:color w:val="000000" w:themeColor="text1"/>
          <w:sz w:val="28"/>
          <w:szCs w:val="28"/>
          <w:lang w:val="uk-UA"/>
        </w:rPr>
        <w:t xml:space="preserve">. Янковська Л. А. Оптимізація трудового потенціалу в системі менеджменту персоналу промислового підприємства. </w:t>
      </w:r>
      <w:r w:rsidRPr="00130466">
        <w:rPr>
          <w:rFonts w:ascii="Times New Roman" w:hAnsi="Times New Roman"/>
          <w:i/>
          <w:color w:val="000000" w:themeColor="text1"/>
          <w:sz w:val="28"/>
          <w:szCs w:val="28"/>
          <w:lang w:val="uk-UA"/>
        </w:rPr>
        <w:t>Актуальні проблеми економіки</w:t>
      </w:r>
      <w:r w:rsidRPr="00130466">
        <w:rPr>
          <w:rFonts w:ascii="Times New Roman" w:hAnsi="Times New Roman"/>
          <w:color w:val="000000" w:themeColor="text1"/>
          <w:sz w:val="28"/>
          <w:szCs w:val="28"/>
          <w:lang w:val="uk-UA"/>
        </w:rPr>
        <w:t xml:space="preserve">. 2006. № 9. С. 200-203.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160</w:t>
      </w:r>
      <w:r w:rsidRPr="00130466">
        <w:rPr>
          <w:rFonts w:ascii="Times New Roman" w:hAnsi="Times New Roman"/>
          <w:color w:val="000000" w:themeColor="text1"/>
          <w:sz w:val="28"/>
          <w:szCs w:val="28"/>
          <w:lang w:val="uk-UA"/>
        </w:rPr>
        <w:t xml:space="preserve">. Ярема Я. Р., Свинороєв Ю. О. Потенціал ресурсозбереження: теоретичні аспекти та практичне застосування. </w:t>
      </w:r>
      <w:r w:rsidRPr="00130466">
        <w:rPr>
          <w:rFonts w:ascii="Times New Roman" w:hAnsi="Times New Roman"/>
          <w:i/>
          <w:color w:val="000000" w:themeColor="text1"/>
          <w:sz w:val="28"/>
          <w:szCs w:val="28"/>
          <w:lang w:val="uk-UA"/>
        </w:rPr>
        <w:t>Культура народов Причорномор’я</w:t>
      </w:r>
      <w:r w:rsidRPr="00130466">
        <w:rPr>
          <w:rFonts w:ascii="Times New Roman" w:hAnsi="Times New Roman"/>
          <w:color w:val="000000" w:themeColor="text1"/>
          <w:sz w:val="28"/>
          <w:szCs w:val="28"/>
          <w:lang w:val="uk-UA"/>
        </w:rPr>
        <w:t xml:space="preserve">. 2011. Вип. 214. С. 85-87.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161</w:t>
      </w:r>
      <w:r w:rsidRPr="00130466">
        <w:rPr>
          <w:rFonts w:ascii="Times New Roman" w:hAnsi="Times New Roman"/>
          <w:color w:val="000000" w:themeColor="text1"/>
          <w:sz w:val="28"/>
          <w:szCs w:val="28"/>
          <w:lang w:val="uk-UA"/>
        </w:rPr>
        <w:t xml:space="preserve">. Яремик М.М., Юрків Р.Р. Розвиток системи фінансового інструментарію забезпечення науково-технічної та інноваційної діяльності України. V міжнародна науково-практична інтернет-конференція: "Фінансова система країни: тенденції та перспективи розвитку". Острозька академія, 11-12 жовтня 2018 р. С. 419-422.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162</w:t>
      </w:r>
      <w:r w:rsidRPr="00130466">
        <w:rPr>
          <w:rFonts w:ascii="Times New Roman" w:hAnsi="Times New Roman"/>
          <w:color w:val="000000" w:themeColor="text1"/>
          <w:sz w:val="28"/>
          <w:szCs w:val="28"/>
          <w:lang w:val="uk-UA"/>
        </w:rPr>
        <w:t xml:space="preserve">. Adenugba A. A., Ige A. A., Kesinro O. R. Financial leverage and firms’ value: A study of selected firms in Nigeria. </w:t>
      </w:r>
      <w:r w:rsidRPr="00130466">
        <w:rPr>
          <w:rFonts w:ascii="Times New Roman" w:hAnsi="Times New Roman"/>
          <w:i/>
          <w:color w:val="000000" w:themeColor="text1"/>
          <w:sz w:val="28"/>
          <w:szCs w:val="28"/>
          <w:lang w:val="uk-UA"/>
        </w:rPr>
        <w:t>Eur. J. Res. Reflect. Manag. Sci</w:t>
      </w:r>
      <w:r w:rsidRPr="00130466">
        <w:rPr>
          <w:rFonts w:ascii="Times New Roman" w:hAnsi="Times New Roman"/>
          <w:color w:val="000000" w:themeColor="text1"/>
          <w:sz w:val="28"/>
          <w:szCs w:val="28"/>
          <w:lang w:val="uk-UA"/>
        </w:rPr>
        <w:t xml:space="preserve">. 2016. Vol. 4. Pp. 14–32.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163. Agoraki M.-E. K., Giaka M., Konstantios D., Patsika V. Firms’ sustainability, financial performance, and regulatory dynamics: Evidence from European firms. Journal of International Money and Finance. 2023. Vol. 131. Art. 102785. DOI: </w:t>
      </w:r>
      <w:hyperlink r:id="rId38">
        <w:r w:rsidRPr="00130466">
          <w:rPr>
            <w:rFonts w:ascii="Times New Roman" w:hAnsi="Times New Roman"/>
            <w:color w:val="000000" w:themeColor="text1"/>
            <w:sz w:val="28"/>
            <w:szCs w:val="28"/>
            <w:lang w:val="uk-UA"/>
          </w:rPr>
          <w:t>https://doi.org/10.1016/j.jimonfin.2022.102785</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164</w:t>
      </w:r>
      <w:r w:rsidRPr="00130466">
        <w:rPr>
          <w:rFonts w:ascii="Times New Roman" w:hAnsi="Times New Roman"/>
          <w:color w:val="000000" w:themeColor="text1"/>
          <w:sz w:val="28"/>
          <w:szCs w:val="28"/>
          <w:lang w:val="uk-UA"/>
        </w:rPr>
        <w:t xml:space="preserve">. Akinleye G. T., Olarewaju O. O. Credit Management and Profitability Growth in Nigerian Manufacturing Firms. Acta Univ. Danub. Oecon. 2019. Vol. 15. Pp. 445–456.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165. Aydoğmuş M., Gülay G., Ergun K. Impact of ESG performance on firm value and profitability. Borsa Istanbul Review. 2022. Vol. 22. Suppl. 2. P. S119–S127. DOI: </w:t>
      </w:r>
      <w:hyperlink r:id="rId39">
        <w:r w:rsidRPr="00130466">
          <w:rPr>
            <w:rFonts w:ascii="Times New Roman" w:hAnsi="Times New Roman"/>
            <w:color w:val="000000" w:themeColor="text1"/>
            <w:sz w:val="28"/>
            <w:szCs w:val="28"/>
            <w:lang w:val="uk-UA"/>
          </w:rPr>
          <w:t>https://doi.org/10.1016/j.bir.2022.11.006</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166</w:t>
      </w:r>
      <w:r w:rsidRPr="00130466">
        <w:rPr>
          <w:rFonts w:ascii="Times New Roman" w:hAnsi="Times New Roman"/>
          <w:color w:val="000000" w:themeColor="text1"/>
          <w:sz w:val="28"/>
          <w:szCs w:val="28"/>
          <w:lang w:val="uk-UA"/>
        </w:rPr>
        <w:t xml:space="preserve">. Bhalli M., Hashmi S., Majeed A. Impact of Credit Constraints on Firms Growth: A Case Study of Manufacturing Sector of Pakistan. J. Quant. Method. 2017. Vol. 1. Pp. 4–40.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 xml:space="preserve">167. Boiral O., Brotherton M.-C., Talbot D., Guillaumie L. Assessing and managing environmental, social, and governance risks in agri-food companies. Corporate Social Responsibility and Environmental Management. 2024. Vol. 31(6). P. 5690–5708. DOI: </w:t>
      </w:r>
      <w:hyperlink r:id="rId40">
        <w:r w:rsidRPr="00130466">
          <w:rPr>
            <w:rFonts w:ascii="Times New Roman" w:hAnsi="Times New Roman"/>
            <w:color w:val="000000" w:themeColor="text1"/>
            <w:sz w:val="28"/>
            <w:szCs w:val="28"/>
            <w:lang w:val="uk-UA"/>
          </w:rPr>
          <w:t>https://doi.org/10.1002/csr.2884</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168</w:t>
      </w:r>
      <w:r w:rsidRPr="00130466">
        <w:rPr>
          <w:rFonts w:ascii="Times New Roman" w:hAnsi="Times New Roman"/>
          <w:color w:val="000000" w:themeColor="text1"/>
          <w:sz w:val="28"/>
          <w:szCs w:val="28"/>
          <w:lang w:val="uk-UA"/>
        </w:rPr>
        <w:t>. Bondinuba F. Exploring the Challenges and Barriers in Accessing Financial Facilities by Small and Medium Construction Firms in Ghana. Civ. Environ. Res. 2012. Vol. 2. Pp. 25–35.</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169. Chang X., Fu K., Jin Y., Liem P. F. Sustainable Finance: ESG/CSR, Firm Value, and Investment Returns. Asia-Pacific Journal of Financial Studies. 2022. Vol. 51(3). P. 325–371. DOI: </w:t>
      </w:r>
      <w:hyperlink r:id="rId41">
        <w:r w:rsidRPr="00130466">
          <w:rPr>
            <w:rFonts w:ascii="Times New Roman" w:hAnsi="Times New Roman"/>
            <w:color w:val="000000" w:themeColor="text1"/>
            <w:sz w:val="28"/>
            <w:szCs w:val="28"/>
            <w:lang w:val="uk-UA"/>
          </w:rPr>
          <w:t>https://doi.org/10.1111/ajfs.12379</w:t>
        </w:r>
      </w:hyperlink>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170. Cristea M., Noja G. G., Drăcea R. M., Iacobuță-Mihăiță A.-O., Dorożyński T. ESG investment strategies and the financial performance of European agricultural companies: a new modelling approach. Journal of Business </w:t>
      </w:r>
      <w:r w:rsidRPr="00130466">
        <w:rPr>
          <w:rFonts w:ascii="Times New Roman" w:hAnsi="Times New Roman"/>
          <w:color w:val="000000" w:themeColor="text1"/>
          <w:sz w:val="28"/>
          <w:szCs w:val="28"/>
          <w:lang w:val="uk-UA"/>
        </w:rPr>
        <w:t xml:space="preserve">Economics and Management. 2024. Vol. 25(6). P. 1283–1307. DOI: </w:t>
      </w:r>
      <w:hyperlink r:id="rId42">
        <w:r w:rsidRPr="00130466">
          <w:rPr>
            <w:rFonts w:ascii="Times New Roman" w:hAnsi="Times New Roman"/>
            <w:color w:val="000000" w:themeColor="text1"/>
            <w:sz w:val="28"/>
            <w:szCs w:val="28"/>
            <w:lang w:val="uk-UA"/>
          </w:rPr>
          <w:t>https://doi.org/10.3846/jbem.2024.23010</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171</w:t>
      </w:r>
      <w:r w:rsidRPr="00130466">
        <w:rPr>
          <w:rFonts w:ascii="Times New Roman" w:hAnsi="Times New Roman"/>
          <w:color w:val="000000" w:themeColor="text1"/>
          <w:sz w:val="28"/>
          <w:szCs w:val="28"/>
          <w:lang w:val="uk-UA"/>
        </w:rPr>
        <w:t xml:space="preserve">. Franchuk V., Omelchuk O., Melnyk S., Kelman M., Mykytyuk O. Identification the ways of counteraction of the threats to the financial security of hightech enterprises. Business: Theory and Practice. 2020. Vol. 21. No. 1. Pp. 1–9.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172. Gawęda A. Does environmental, social, and governance performance elevate firm value? International evidence. Finance Research Letters. 2025. Vol. 73. Art. 106639. DOI: </w:t>
      </w:r>
      <w:hyperlink r:id="rId43">
        <w:r w:rsidRPr="00130466">
          <w:rPr>
            <w:rFonts w:ascii="Times New Roman" w:hAnsi="Times New Roman"/>
            <w:color w:val="000000" w:themeColor="text1"/>
            <w:sz w:val="28"/>
            <w:szCs w:val="28"/>
            <w:lang w:val="uk-UA"/>
          </w:rPr>
          <w:t>https://doi.org/10.1016/j.frl.2024.106639</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173. Hoque M. A. Impact of financial leverage on financial performance: Evidence from textile sector of Bangladesh. </w:t>
      </w:r>
      <w:r w:rsidRPr="00130466">
        <w:rPr>
          <w:rFonts w:ascii="Times New Roman" w:hAnsi="Times New Roman"/>
          <w:color w:val="000000" w:themeColor="text1"/>
          <w:sz w:val="28"/>
          <w:szCs w:val="28"/>
          <w:lang w:val="uk-UA"/>
        </w:rPr>
        <w:t xml:space="preserve">IIUC Bus. Rev. 2017. Vol. 6. Pp. 75–84.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en-US"/>
        </w:rPr>
        <w:t xml:space="preserve">174. Horbatiuk L., Chebotarov Ie. Investment Potential of the Grain Product Subcomplex in the Conditions of War and Post-War Recovery. Economic Herald of the Donbas. 2024. № 4(78). P. 194–199. DOI: </w:t>
      </w:r>
      <w:hyperlink r:id="rId44">
        <w:r w:rsidRPr="00130466">
          <w:rPr>
            <w:rFonts w:ascii="Times New Roman" w:eastAsia="Times New Roman" w:hAnsi="Times New Roman"/>
            <w:color w:val="000000" w:themeColor="text1"/>
            <w:sz w:val="28"/>
            <w:szCs w:val="28"/>
            <w:lang w:val="en-US"/>
          </w:rPr>
          <w:t>https://doi.org/10.12958/1817-3772-2024-4(78)-194-199</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175</w:t>
      </w:r>
      <w:r w:rsidRPr="00130466">
        <w:rPr>
          <w:rFonts w:ascii="Times New Roman" w:hAnsi="Times New Roman"/>
          <w:color w:val="000000" w:themeColor="text1"/>
          <w:sz w:val="28"/>
          <w:szCs w:val="28"/>
          <w:lang w:val="uk-UA"/>
        </w:rPr>
        <w:t xml:space="preserve">. Iqbal U., Usman M. Impact of Financial Leverage on Firm Performance: Textile Composite Companies of Pakistan. </w:t>
      </w:r>
      <w:r w:rsidRPr="00130466">
        <w:rPr>
          <w:rFonts w:ascii="Times New Roman" w:hAnsi="Times New Roman"/>
          <w:i/>
          <w:color w:val="000000" w:themeColor="text1"/>
          <w:sz w:val="28"/>
          <w:szCs w:val="28"/>
          <w:lang w:val="uk-UA"/>
        </w:rPr>
        <w:t>SEISENSE J. Manag.</w:t>
      </w:r>
      <w:r w:rsidRPr="00130466">
        <w:rPr>
          <w:rFonts w:ascii="Times New Roman" w:hAnsi="Times New Roman"/>
          <w:color w:val="000000" w:themeColor="text1"/>
          <w:sz w:val="28"/>
          <w:szCs w:val="28"/>
          <w:lang w:val="uk-UA"/>
        </w:rPr>
        <w:t xml:space="preserve"> 2018. Vol. 1. Pp. 70– 78.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en-US"/>
        </w:rPr>
        <w:t xml:space="preserve">176. Irtyshcheva I., Stehnei M., Kramarenko I., Liashenko O., Mykhalchynets H., Mykhalchynets N., Neimet V. Simulation of the Performance of the Financial Market of Ukraine in the Conditions of Overcoming Threats to Economic Security. WSEAS Transactions on Business and Economics. 2024. Vol. 21. P. 299–316. DOI: </w:t>
      </w:r>
      <w:hyperlink r:id="rId45">
        <w:r w:rsidRPr="00130466">
          <w:rPr>
            <w:rFonts w:ascii="Times New Roman" w:eastAsia="Times New Roman" w:hAnsi="Times New Roman"/>
            <w:color w:val="000000" w:themeColor="text1"/>
            <w:sz w:val="28"/>
            <w:szCs w:val="28"/>
            <w:lang w:val="en-US"/>
          </w:rPr>
          <w:t>https://doi.org/10.37394/23207.2024.21.27</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177</w:t>
      </w:r>
      <w:r w:rsidRPr="00130466">
        <w:rPr>
          <w:rFonts w:ascii="Times New Roman" w:hAnsi="Times New Roman"/>
          <w:color w:val="000000" w:themeColor="text1"/>
          <w:sz w:val="28"/>
          <w:szCs w:val="28"/>
          <w:lang w:val="uk-UA"/>
        </w:rPr>
        <w:t xml:space="preserve">. Jaramillo J., Sossa J. W. Z., Mendoza J. L. O. Barriers to sustainability for small and medium enterprises in the framework of sustainable development—Literature review. </w:t>
      </w:r>
      <w:r w:rsidRPr="00130466">
        <w:rPr>
          <w:rFonts w:ascii="Times New Roman" w:hAnsi="Times New Roman"/>
          <w:i/>
          <w:color w:val="000000" w:themeColor="text1"/>
          <w:sz w:val="28"/>
          <w:szCs w:val="28"/>
          <w:lang w:val="uk-UA"/>
        </w:rPr>
        <w:t>Bus. Strategy Environ</w:t>
      </w:r>
      <w:r w:rsidRPr="00130466">
        <w:rPr>
          <w:rFonts w:ascii="Times New Roman" w:hAnsi="Times New Roman"/>
          <w:color w:val="000000" w:themeColor="text1"/>
          <w:sz w:val="28"/>
          <w:szCs w:val="28"/>
          <w:lang w:val="uk-UA"/>
        </w:rPr>
        <w:t xml:space="preserve">. 2019. Vol. 28. Pp. 512–524.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178</w:t>
      </w:r>
      <w:r w:rsidRPr="00130466">
        <w:rPr>
          <w:rFonts w:ascii="Times New Roman" w:hAnsi="Times New Roman"/>
          <w:color w:val="000000" w:themeColor="text1"/>
          <w:sz w:val="28"/>
          <w:szCs w:val="28"/>
          <w:lang w:val="uk-UA"/>
        </w:rPr>
        <w:t xml:space="preserve">. Javed Z. H., Rao H. H., Akram B., Nazir M. F. Effect of Financial Leverage on Performance of the Firms: Empirical Evidence from Pakistan. </w:t>
      </w:r>
      <w:r w:rsidRPr="00130466">
        <w:rPr>
          <w:rFonts w:ascii="Times New Roman" w:hAnsi="Times New Roman"/>
          <w:i/>
          <w:color w:val="000000" w:themeColor="text1"/>
          <w:sz w:val="28"/>
          <w:szCs w:val="28"/>
          <w:lang w:val="uk-UA"/>
        </w:rPr>
        <w:t>SPOUDAI J. Econ. Bus</w:t>
      </w:r>
      <w:r w:rsidRPr="00130466">
        <w:rPr>
          <w:rFonts w:ascii="Times New Roman" w:hAnsi="Times New Roman"/>
          <w:color w:val="000000" w:themeColor="text1"/>
          <w:sz w:val="28"/>
          <w:szCs w:val="28"/>
          <w:lang w:val="uk-UA"/>
        </w:rPr>
        <w:t xml:space="preserve">. 2015. Vol. 65. Pp. 87–95.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en-US"/>
        </w:rPr>
        <w:t xml:space="preserve">179. Klapkiv J., Putsenteilo P., Karpenko V. The Convergence of Factors That Affect the Dairy Product Market: A Comparative Analysis of European Union Countries. Comparative Economic Research. Central and Eastern Europe. 2023. Vol. 26. № 2. P. 105–127. DOI: </w:t>
      </w:r>
      <w:hyperlink r:id="rId46">
        <w:r w:rsidRPr="00130466">
          <w:rPr>
            <w:rFonts w:ascii="Times New Roman" w:eastAsia="Times New Roman" w:hAnsi="Times New Roman"/>
            <w:color w:val="000000" w:themeColor="text1"/>
            <w:sz w:val="28"/>
            <w:szCs w:val="28"/>
            <w:lang w:val="en-US"/>
          </w:rPr>
          <w:t>https://doi.org/10.18778/1508-2008.26.15</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180</w:t>
      </w:r>
      <w:r w:rsidRPr="00130466">
        <w:rPr>
          <w:rFonts w:ascii="Times New Roman" w:hAnsi="Times New Roman"/>
          <w:color w:val="000000" w:themeColor="text1"/>
          <w:sz w:val="28"/>
          <w:szCs w:val="28"/>
          <w:lang w:val="uk-UA"/>
        </w:rPr>
        <w:t xml:space="preserve">. Kobushko I., Jula O., Kolesnyk M. Improvement of the mechanism of innovative development of small and medium-sized enterprises. SocioEconomic Challenges. 2017. №1. С. 60-67.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181</w:t>
      </w:r>
      <w:r w:rsidRPr="00130466">
        <w:rPr>
          <w:rFonts w:ascii="Times New Roman" w:hAnsi="Times New Roman"/>
          <w:color w:val="000000" w:themeColor="text1"/>
          <w:sz w:val="28"/>
          <w:szCs w:val="28"/>
          <w:lang w:val="uk-UA"/>
        </w:rPr>
        <w:t xml:space="preserve">. Krasniqi B. A. Are small firms really credit constrained? Empirical evidence from Kosova. Int. Entrep. Manag. J. 2010. Vol. 6. Pp. 459–479.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182. Li X., Saat M. M., Khatib S. F. A., Liu Y. Sustainable development and firm value: How ESG performance shapes corporate success—a systematic literature review. Business Strategy &amp; Development. 2024. Vol. 7(4). Art. e70026. DOI: </w:t>
      </w:r>
      <w:hyperlink r:id="rId47">
        <w:r w:rsidRPr="00130466">
          <w:rPr>
            <w:rFonts w:ascii="Times New Roman" w:hAnsi="Times New Roman"/>
            <w:color w:val="000000" w:themeColor="text1"/>
            <w:sz w:val="28"/>
            <w:szCs w:val="28"/>
            <w:lang w:val="uk-UA"/>
          </w:rPr>
          <w:t>https://doi.org/10.1002/bsd2.70026</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183</w:t>
      </w:r>
      <w:r w:rsidRPr="00130466">
        <w:rPr>
          <w:rFonts w:ascii="Times New Roman" w:hAnsi="Times New Roman"/>
          <w:color w:val="000000" w:themeColor="text1"/>
          <w:sz w:val="28"/>
          <w:szCs w:val="28"/>
          <w:lang w:val="uk-UA"/>
        </w:rPr>
        <w:t xml:space="preserve">. Olugbenga S., Mashigo P. The impact of microfinance on microenterprises. Invest. Manag. Financ. Innov. 2017. Vol. 14. Pp. 82–92.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184</w:t>
      </w:r>
      <w:r w:rsidRPr="00130466">
        <w:rPr>
          <w:rFonts w:ascii="Times New Roman" w:hAnsi="Times New Roman"/>
          <w:color w:val="000000" w:themeColor="text1"/>
          <w:sz w:val="28"/>
          <w:szCs w:val="28"/>
          <w:lang w:val="uk-UA"/>
        </w:rPr>
        <w:t xml:space="preserve">. Polishchuk Y., Kornyliuk A., Ivashchenko A. Investor relations tools for business in smart specialization strategy. Baltic Journal of Economic Studies. 2020. Vol. 6(4). Pp. 133-140.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185</w:t>
      </w:r>
      <w:r w:rsidRPr="00130466">
        <w:rPr>
          <w:rFonts w:ascii="Times New Roman" w:hAnsi="Times New Roman"/>
          <w:color w:val="000000" w:themeColor="text1"/>
          <w:sz w:val="28"/>
          <w:szCs w:val="28"/>
          <w:lang w:val="uk-UA"/>
        </w:rPr>
        <w:t xml:space="preserve">. Polishchuk Ye., Kornyliuk A. SMEs debt financing in the EU: on the eve of the coronacrisis. Banks and Bank Systems. 2020. Vol. 15(3). Pp. 81-94.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186. Postiglione M., Carini C., Falini A. ESG and firm value: A hybrid literature review on cost of capital implications from Scopus database. Corporate Social Responsibility and Environmental Management. 2024. Vol. 31(6). P. 6457–6480. DOI: </w:t>
      </w:r>
      <w:hyperlink r:id="rId48">
        <w:r w:rsidRPr="00130466">
          <w:rPr>
            <w:rFonts w:ascii="Times New Roman" w:hAnsi="Times New Roman"/>
            <w:color w:val="000000" w:themeColor="text1"/>
            <w:sz w:val="28"/>
            <w:szCs w:val="28"/>
            <w:lang w:val="uk-UA"/>
          </w:rPr>
          <w:t>https://doi.org/10.1002/csr.2940</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187</w:t>
      </w:r>
      <w:r w:rsidRPr="00130466">
        <w:rPr>
          <w:rFonts w:ascii="Times New Roman" w:hAnsi="Times New Roman"/>
          <w:color w:val="000000" w:themeColor="text1"/>
          <w:sz w:val="28"/>
          <w:szCs w:val="28"/>
          <w:lang w:val="uk-UA"/>
        </w:rPr>
        <w:t xml:space="preserve">. Rostamkalaei A., Freel M. S. The cost of growth: Small firms and the pricing of bank loans. Small Bus. Econ. 2016. Vol. 46. Pp. 255–272.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188</w:t>
      </w:r>
      <w:r w:rsidRPr="00130466">
        <w:rPr>
          <w:rFonts w:ascii="Times New Roman" w:hAnsi="Times New Roman"/>
          <w:color w:val="000000" w:themeColor="text1"/>
          <w:sz w:val="28"/>
          <w:szCs w:val="28"/>
          <w:lang w:val="uk-UA"/>
        </w:rPr>
        <w:t xml:space="preserve">. Sherifi I., Andrushchenko H., Vankovych D, Solokha D., Malyshenko I. Strategic Management of Industrial Enterprise Innovation Potential Development. Academy of Strategic Management Journal. 2020. Vol. 19 Issue 6. Pp. 1-8.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189</w:t>
      </w:r>
      <w:r w:rsidRPr="00130466">
        <w:rPr>
          <w:rFonts w:ascii="Times New Roman" w:hAnsi="Times New Roman"/>
          <w:color w:val="000000" w:themeColor="text1"/>
          <w:sz w:val="28"/>
          <w:szCs w:val="28"/>
          <w:lang w:val="uk-UA"/>
        </w:rPr>
        <w:t xml:space="preserve">. Tambunan T. Recent evidence of the development of micro, small and medium enterprises in Indonesia. J. Glob. Entrep. Res. 2019. Vol. 9 (18). Pp. 1–15. </w:t>
      </w:r>
    </w:p>
    <w:p w:rsidR="00625D39" w:rsidRPr="00130466" w:rsidRDefault="005670E0" w:rsidP="000A7675">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 xml:space="preserve">190. Truong T. H. D. Environmental, social and governance performance and firm value: does ownership concentration matter? Management Decision. 2025. Vol. 63(2). P. 488–511. DOI: </w:t>
      </w:r>
      <w:hyperlink r:id="rId49">
        <w:r w:rsidRPr="00130466">
          <w:rPr>
            <w:rFonts w:ascii="Times New Roman" w:hAnsi="Times New Roman"/>
            <w:color w:val="000000" w:themeColor="text1"/>
            <w:sz w:val="28"/>
            <w:szCs w:val="28"/>
            <w:lang w:val="uk-UA"/>
          </w:rPr>
          <w:t>https://doi.org/10.1108/MD-10-2023-1993</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191</w:t>
      </w:r>
      <w:r w:rsidRPr="00130466">
        <w:rPr>
          <w:rFonts w:ascii="Times New Roman" w:hAnsi="Times New Roman"/>
          <w:color w:val="000000" w:themeColor="text1"/>
          <w:sz w:val="28"/>
          <w:szCs w:val="28"/>
          <w:lang w:val="uk-UA"/>
        </w:rPr>
        <w:t xml:space="preserve">. Upadhyaya A. S. Micro Finance in Sustainable Development: A Descriptive Study on Indian Experience. J. Econ. Dev. 2011. Vol. 13. Pp. 72–88.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hAnsi="Times New Roman"/>
          <w:color w:val="000000" w:themeColor="text1"/>
          <w:sz w:val="28"/>
          <w:szCs w:val="28"/>
          <w:lang w:val="en-US"/>
        </w:rPr>
        <w:t xml:space="preserve">192. Vilenchuk O., Nedilska L., Kurovska N., Vikarchuk O., Klapkiv Y. Mission of International Agribusiness Insurance: Modern Challenges and Opportunities for Ukraine. Scientific Horizons. 2022. Vol. 25. № 10. P. 107–118. DOI: </w:t>
      </w:r>
      <w:hyperlink r:id="rId50">
        <w:r w:rsidRPr="00130466">
          <w:rPr>
            <w:rFonts w:ascii="Times New Roman" w:eastAsia="Times New Roman" w:hAnsi="Times New Roman"/>
            <w:color w:val="000000" w:themeColor="text1"/>
            <w:sz w:val="28"/>
            <w:szCs w:val="28"/>
            <w:lang w:val="en-US"/>
          </w:rPr>
          <w:t>https://doi.org/10.48077/scihor.25(10).2022.107-118</w:t>
        </w:r>
      </w:hyperlink>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193</w:t>
      </w:r>
      <w:r w:rsidRPr="00130466">
        <w:rPr>
          <w:rFonts w:ascii="Times New Roman" w:hAnsi="Times New Roman"/>
          <w:color w:val="000000" w:themeColor="text1"/>
          <w:sz w:val="28"/>
          <w:szCs w:val="28"/>
          <w:lang w:val="uk-UA"/>
        </w:rPr>
        <w:t xml:space="preserve">. Yang W. Empirical Study on Effect of Credit Constraints on Productivity of Firms in Growth Enterprise Market of China. J. Financ. Econ. 2018. Vol. 6. Pp. 173–177. </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lastRenderedPageBreak/>
        <w:t>194</w:t>
      </w:r>
      <w:r w:rsidRPr="00130466">
        <w:rPr>
          <w:rFonts w:ascii="Times New Roman" w:hAnsi="Times New Roman"/>
          <w:color w:val="000000" w:themeColor="text1"/>
          <w:sz w:val="28"/>
          <w:szCs w:val="28"/>
          <w:lang w:val="uk-UA"/>
        </w:rPr>
        <w:t xml:space="preserve">. Yemelyanov O., Kurylo O., Petrushka T. Methodological principles of evaluating economic potential of industrial enterprise sustainable development. </w:t>
      </w:r>
      <w:r w:rsidRPr="00130466">
        <w:rPr>
          <w:rFonts w:ascii="Times New Roman" w:hAnsi="Times New Roman"/>
          <w:i/>
          <w:color w:val="000000" w:themeColor="text1"/>
          <w:sz w:val="28"/>
          <w:szCs w:val="28"/>
          <w:lang w:val="uk-UA"/>
        </w:rPr>
        <w:t>Scientific Bulletin of Polissia</w:t>
      </w:r>
      <w:r w:rsidRPr="00130466">
        <w:rPr>
          <w:rFonts w:ascii="Times New Roman" w:hAnsi="Times New Roman"/>
          <w:color w:val="000000" w:themeColor="text1"/>
          <w:sz w:val="28"/>
          <w:szCs w:val="28"/>
          <w:lang w:val="uk-UA"/>
        </w:rPr>
        <w:t>. 2018. Vol. 2 (14). Pp.141–149.</w:t>
      </w:r>
    </w:p>
    <w:p w:rsidR="003C64E3" w:rsidRPr="00130466" w:rsidRDefault="003C64E3" w:rsidP="003C64E3">
      <w:pPr>
        <w:spacing w:after="0" w:line="360" w:lineRule="auto"/>
        <w:ind w:firstLine="709"/>
        <w:jc w:val="both"/>
        <w:rPr>
          <w:rFonts w:ascii="Times New Roman" w:hAnsi="Times New Roman"/>
          <w:color w:val="000000" w:themeColor="text1"/>
          <w:sz w:val="28"/>
          <w:szCs w:val="28"/>
          <w:lang w:val="uk-UA"/>
        </w:rPr>
      </w:pPr>
      <w:r w:rsidRPr="00130466">
        <w:rPr>
          <w:rFonts w:ascii="Times New Roman" w:eastAsia="Times New Roman" w:hAnsi="Times New Roman"/>
          <w:color w:val="000000" w:themeColor="text1"/>
          <w:sz w:val="28"/>
          <w:szCs w:val="28"/>
          <w:lang w:val="uk-UA"/>
        </w:rPr>
        <w:t>195</w:t>
      </w:r>
      <w:r w:rsidRPr="00130466">
        <w:rPr>
          <w:rFonts w:ascii="Times New Roman" w:hAnsi="Times New Roman"/>
          <w:color w:val="000000" w:themeColor="text1"/>
          <w:sz w:val="28"/>
          <w:szCs w:val="28"/>
          <w:lang w:val="uk-UA"/>
        </w:rPr>
        <w:t xml:space="preserve">. Yemelyanov O., Symak A., Zarytska O. Modeling the process of forming the potential of economic development of an industrial enterprise. </w:t>
      </w:r>
      <w:r w:rsidRPr="00130466">
        <w:rPr>
          <w:rFonts w:ascii="Times New Roman" w:hAnsi="Times New Roman"/>
          <w:i/>
          <w:color w:val="000000" w:themeColor="text1"/>
          <w:sz w:val="28"/>
          <w:szCs w:val="28"/>
          <w:lang w:val="uk-UA"/>
        </w:rPr>
        <w:t>Periodyk naukowy Akademii Polonijnej, Czestochowa, Akademia Polonijna w Czestochowie</w:t>
      </w:r>
      <w:r w:rsidRPr="00130466">
        <w:rPr>
          <w:rFonts w:ascii="Times New Roman" w:hAnsi="Times New Roman"/>
          <w:color w:val="000000" w:themeColor="text1"/>
          <w:sz w:val="28"/>
          <w:szCs w:val="28"/>
          <w:lang w:val="uk-UA"/>
        </w:rPr>
        <w:t>. 2016. Vol. 3. Pp. 128–137</w:t>
      </w:r>
    </w:p>
    <w:p w:rsidR="009D657A" w:rsidRDefault="009D657A">
      <w:pPr>
        <w:spacing w:after="0" w:line="240" w:lineRule="auto"/>
        <w:rPr>
          <w:rFonts w:ascii="Times New Roman" w:eastAsia="Times New Roman" w:hAnsi="Times New Roman"/>
          <w:b/>
          <w:sz w:val="28"/>
          <w:szCs w:val="28"/>
          <w:lang w:val="uk-UA" w:eastAsia="ru-RU"/>
        </w:rPr>
      </w:pPr>
      <w:r>
        <w:rPr>
          <w:b/>
          <w:sz w:val="28"/>
          <w:szCs w:val="28"/>
          <w:lang w:val="uk-UA"/>
        </w:rPr>
        <w:br w:type="page"/>
      </w: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D638FA" w:rsidRDefault="00D638FA" w:rsidP="0056221B">
      <w:pPr>
        <w:pStyle w:val="a5"/>
        <w:spacing w:before="0" w:beforeAutospacing="0" w:after="0" w:afterAutospacing="0" w:line="360" w:lineRule="auto"/>
        <w:ind w:firstLine="709"/>
        <w:jc w:val="center"/>
        <w:rPr>
          <w:b/>
          <w:sz w:val="28"/>
          <w:szCs w:val="28"/>
          <w:lang w:val="uk-UA"/>
        </w:rPr>
      </w:pPr>
    </w:p>
    <w:p w:rsidR="00F24B97" w:rsidRDefault="0056221B" w:rsidP="0056221B">
      <w:pPr>
        <w:pStyle w:val="a5"/>
        <w:spacing w:before="0" w:beforeAutospacing="0" w:after="0" w:afterAutospacing="0" w:line="360" w:lineRule="auto"/>
        <w:ind w:firstLine="709"/>
        <w:jc w:val="center"/>
        <w:rPr>
          <w:b/>
          <w:sz w:val="28"/>
          <w:szCs w:val="28"/>
          <w:lang w:val="uk-UA"/>
        </w:rPr>
      </w:pPr>
      <w:r>
        <w:rPr>
          <w:b/>
          <w:sz w:val="28"/>
          <w:szCs w:val="28"/>
          <w:lang w:val="uk-UA"/>
        </w:rPr>
        <w:t>ДОДАТКИ</w:t>
      </w:r>
    </w:p>
    <w:p w:rsidR="00435FDC" w:rsidRDefault="00435FDC">
      <w:pPr>
        <w:sectPr w:rsidR="00435FDC" w:rsidSect="00C40589">
          <w:headerReference w:type="default" r:id="rId51"/>
          <w:pgSz w:w="11906" w:h="16838"/>
          <w:pgMar w:top="1134" w:right="851" w:bottom="1134" w:left="1701" w:header="709" w:footer="709" w:gutter="0"/>
          <w:cols w:space="708"/>
          <w:docGrid w:linePitch="360"/>
        </w:sectPr>
      </w:pPr>
    </w:p>
    <w:p w:rsidR="00435FDC" w:rsidRDefault="00EB5B4E">
      <w:pPr>
        <w:keepNext/>
        <w:jc w:val="center"/>
      </w:pPr>
      <w:r>
        <w:rPr>
          <w:rFonts w:ascii="Times New Roman" w:eastAsia="Times New Roman" w:hAnsi="Times New Roman"/>
          <w:b/>
          <w:sz w:val="28"/>
        </w:rPr>
        <w:lastRenderedPageBreak/>
        <w:t>ДОДАТОК А</w:t>
      </w:r>
    </w:p>
    <w:p w:rsidR="00435FDC" w:rsidRDefault="00EB5B4E">
      <w:pPr>
        <w:keepNext/>
        <w:jc w:val="center"/>
      </w:pPr>
      <w:r>
        <w:rPr>
          <w:rFonts w:ascii="Times New Roman" w:eastAsia="Times New Roman" w:hAnsi="Times New Roman"/>
          <w:sz w:val="28"/>
        </w:rPr>
        <w:t>Структура ВВП України у 2021–2025 роках</w:t>
      </w:r>
    </w:p>
    <w:p w:rsidR="00B37265" w:rsidRPr="00400BAB" w:rsidRDefault="00B37265" w:rsidP="00400BAB">
      <w:pPr>
        <w:spacing w:line="360" w:lineRule="auto"/>
        <w:jc w:val="center"/>
        <w:rPr>
          <w:rFonts w:ascii="Times New Roman" w:hAnsi="Times New Roman"/>
          <w:sz w:val="28"/>
          <w:szCs w:val="28"/>
          <w:lang w:val="en-US"/>
        </w:rPr>
      </w:pPr>
      <w:r w:rsidRPr="00400BAB">
        <w:rPr>
          <w:rFonts w:ascii="Times New Roman" w:hAnsi="Times New Roman"/>
          <w:noProof/>
          <w:sz w:val="28"/>
          <w:szCs w:val="28"/>
          <w:lang w:val="uk-UA" w:eastAsia="uk-UA"/>
        </w:rPr>
        <w:drawing>
          <wp:inline distT="0" distB="0" distL="0" distR="0" wp14:anchorId="1D5BDFA2" wp14:editId="689EFDB3">
            <wp:extent cx="7360057" cy="3838672"/>
            <wp:effectExtent l="0" t="0" r="18415" b="17780"/>
            <wp:docPr id="205972696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B37265" w:rsidRPr="00400BAB" w:rsidRDefault="00B37265" w:rsidP="00400BAB">
      <w:pPr>
        <w:spacing w:line="360" w:lineRule="auto"/>
        <w:ind w:firstLine="709"/>
        <w:jc w:val="both"/>
        <w:rPr>
          <w:rFonts w:ascii="Times New Roman" w:hAnsi="Times New Roman"/>
          <w:b/>
          <w:bCs/>
          <w:color w:val="000000"/>
          <w:sz w:val="28"/>
          <w:szCs w:val="28"/>
          <w:lang w:val="uk-UA"/>
        </w:rPr>
      </w:pPr>
      <w:r w:rsidRPr="00400BAB">
        <w:rPr>
          <w:rFonts w:ascii="Times New Roman" w:hAnsi="Times New Roman"/>
          <w:b/>
          <w:bCs/>
          <w:color w:val="000000"/>
          <w:sz w:val="28"/>
          <w:szCs w:val="28"/>
          <w:lang w:val="uk-UA"/>
        </w:rPr>
        <w:t>Рис. А.1 Структура ВВП України за 2021 – 2025рр. у фактичних цінах, млрд. грн.</w:t>
      </w:r>
    </w:p>
    <w:p w:rsidR="00B37265" w:rsidRPr="00400BAB" w:rsidRDefault="00B37265" w:rsidP="00400BAB">
      <w:pPr>
        <w:spacing w:line="360" w:lineRule="auto"/>
        <w:ind w:firstLine="709"/>
        <w:jc w:val="both"/>
        <w:rPr>
          <w:rFonts w:ascii="Times New Roman" w:hAnsi="Times New Roman"/>
          <w:sz w:val="28"/>
          <w:szCs w:val="28"/>
          <w:lang w:val="uk-UA"/>
        </w:rPr>
      </w:pPr>
      <w:r w:rsidRPr="00400BAB">
        <w:rPr>
          <w:rFonts w:ascii="Times New Roman" w:hAnsi="Times New Roman"/>
          <w:i/>
          <w:iCs/>
          <w:color w:val="000000"/>
          <w:lang w:val="uk-UA"/>
        </w:rPr>
        <w:t xml:space="preserve">Джерело: обраховано автором за </w:t>
      </w:r>
      <w:r w:rsidRPr="00872207">
        <w:rPr>
          <w:rFonts w:ascii="Times New Roman" w:hAnsi="Times New Roman"/>
          <w:i/>
          <w:iCs/>
          <w:color w:val="000000"/>
          <w:lang w:val="uk-UA"/>
        </w:rPr>
        <w:t>даними Держстат України</w:t>
      </w:r>
      <w:r w:rsidR="00872207" w:rsidRPr="00872207">
        <w:rPr>
          <w:rFonts w:ascii="Times New Roman" w:hAnsi="Times New Roman"/>
          <w:i/>
          <w:iCs/>
          <w:color w:val="000000"/>
        </w:rPr>
        <w:t xml:space="preserve"> </w:t>
      </w:r>
      <w:r w:rsidR="00872207" w:rsidRPr="00872207">
        <w:rPr>
          <w:rFonts w:ascii="Times New Roman" w:eastAsia="Times New Roman" w:hAnsi="Times New Roman"/>
          <w:i/>
          <w:iCs/>
          <w:color w:val="000000"/>
          <w:sz w:val="28"/>
          <w:szCs w:val="28"/>
        </w:rPr>
        <w:t>[110]</w:t>
      </w:r>
      <w:r w:rsidR="00872207" w:rsidRPr="00872207">
        <w:rPr>
          <w:rFonts w:ascii="Times New Roman" w:hAnsi="Times New Roman"/>
          <w:i/>
          <w:iCs/>
          <w:color w:val="000000"/>
        </w:rPr>
        <w:t>.</w:t>
      </w:r>
      <w:r w:rsidR="00872207">
        <w:rPr>
          <w:rFonts w:ascii="Times New Roman" w:hAnsi="Times New Roman"/>
          <w:sz w:val="28"/>
          <w:szCs w:val="28"/>
          <w:lang w:val="uk-UA"/>
        </w:rPr>
        <w:t xml:space="preserve"> </w:t>
      </w:r>
    </w:p>
    <w:p w:rsidR="00435FDC" w:rsidRPr="003E104E" w:rsidRDefault="00EB5B4E">
      <w:pPr>
        <w:keepNext/>
        <w:pageBreakBefore/>
        <w:jc w:val="center"/>
        <w:rPr>
          <w:lang w:val="uk-UA"/>
        </w:rPr>
      </w:pPr>
      <w:r w:rsidRPr="003E104E">
        <w:rPr>
          <w:rFonts w:ascii="Times New Roman" w:eastAsia="Times New Roman" w:hAnsi="Times New Roman"/>
          <w:b/>
          <w:sz w:val="28"/>
          <w:lang w:val="uk-UA"/>
        </w:rPr>
        <w:lastRenderedPageBreak/>
        <w:t>ДОДАТОК Б</w:t>
      </w:r>
    </w:p>
    <w:p w:rsidR="00435FDC" w:rsidRPr="003E104E" w:rsidRDefault="00EB5B4E">
      <w:pPr>
        <w:keepNext/>
        <w:jc w:val="center"/>
        <w:rPr>
          <w:lang w:val="uk-UA"/>
        </w:rPr>
      </w:pPr>
      <w:r w:rsidRPr="003E104E">
        <w:rPr>
          <w:rFonts w:ascii="Times New Roman" w:eastAsia="Times New Roman" w:hAnsi="Times New Roman"/>
          <w:sz w:val="28"/>
          <w:lang w:val="uk-UA"/>
        </w:rPr>
        <w:t>Динаміка виробництва сільськогосподарської продукції України</w:t>
      </w:r>
    </w:p>
    <w:p w:rsidR="00B37265" w:rsidRPr="00A0574A" w:rsidRDefault="00B37265" w:rsidP="00400BAB">
      <w:pPr>
        <w:spacing w:after="0" w:line="360" w:lineRule="auto"/>
        <w:ind w:firstLine="709"/>
        <w:jc w:val="right"/>
        <w:rPr>
          <w:rFonts w:ascii="Times New Roman" w:hAnsi="Times New Roman"/>
          <w:sz w:val="28"/>
          <w:szCs w:val="28"/>
          <w:lang w:val="uk-UA"/>
        </w:rPr>
      </w:pPr>
      <w:r w:rsidRPr="00A0574A">
        <w:rPr>
          <w:rFonts w:ascii="Times New Roman" w:hAnsi="Times New Roman"/>
          <w:sz w:val="28"/>
          <w:szCs w:val="28"/>
          <w:lang w:val="uk-UA"/>
        </w:rPr>
        <w:t>Таблиця Б.1</w:t>
      </w:r>
    </w:p>
    <w:p w:rsidR="00B37265" w:rsidRPr="00400BAB" w:rsidRDefault="00B37265" w:rsidP="00400BAB">
      <w:pPr>
        <w:spacing w:after="0" w:line="360" w:lineRule="auto"/>
        <w:jc w:val="center"/>
        <w:rPr>
          <w:rFonts w:ascii="Times New Roman" w:hAnsi="Times New Roman"/>
          <w:b/>
          <w:bCs/>
          <w:color w:val="000000"/>
          <w:sz w:val="28"/>
          <w:szCs w:val="28"/>
          <w:lang w:val="uk-UA"/>
        </w:rPr>
      </w:pPr>
      <w:r w:rsidRPr="00400BAB">
        <w:rPr>
          <w:rFonts w:ascii="Times New Roman" w:hAnsi="Times New Roman"/>
          <w:b/>
          <w:bCs/>
          <w:color w:val="000000"/>
          <w:sz w:val="28"/>
          <w:szCs w:val="28"/>
        </w:rPr>
        <w:t>Динаміка виробництва сільськогосподарської продукції в Україні у 2021–2025 рр.</w:t>
      </w:r>
    </w:p>
    <w:tbl>
      <w:tblPr>
        <w:tblStyle w:val="a4"/>
        <w:tblW w:w="0" w:type="auto"/>
        <w:tblLook w:val="04A0" w:firstRow="1" w:lastRow="0" w:firstColumn="1" w:lastColumn="0" w:noHBand="0" w:noVBand="1"/>
      </w:tblPr>
      <w:tblGrid>
        <w:gridCol w:w="5577"/>
        <w:gridCol w:w="1222"/>
        <w:gridCol w:w="993"/>
        <w:gridCol w:w="992"/>
        <w:gridCol w:w="992"/>
        <w:gridCol w:w="971"/>
        <w:gridCol w:w="844"/>
        <w:gridCol w:w="1291"/>
        <w:gridCol w:w="1116"/>
      </w:tblGrid>
      <w:tr w:rsidR="00A0574A" w:rsidRPr="00400BAB" w:rsidTr="00D638FA">
        <w:trPr>
          <w:cantSplit/>
          <w:tblHeader/>
        </w:trPr>
        <w:tc>
          <w:tcPr>
            <w:tcW w:w="5577"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lang w:val="uk-UA"/>
              </w:rPr>
              <w:t>Показник</w:t>
            </w:r>
          </w:p>
        </w:tc>
        <w:tc>
          <w:tcPr>
            <w:tcW w:w="1222" w:type="dxa"/>
          </w:tcPr>
          <w:p w:rsidR="00A0574A" w:rsidRPr="00400BAB" w:rsidRDefault="00A0574A" w:rsidP="005670E0">
            <w:pPr>
              <w:spacing w:after="0" w:line="240" w:lineRule="auto"/>
              <w:jc w:val="center"/>
              <w:rPr>
                <w:rFonts w:ascii="Times New Roman" w:hAnsi="Times New Roman"/>
              </w:rPr>
            </w:pPr>
            <w:r w:rsidRPr="00400BAB">
              <w:rPr>
                <w:rFonts w:ascii="Times New Roman" w:hAnsi="Times New Roman"/>
                <w:color w:val="000000"/>
                <w:sz w:val="23"/>
                <w:szCs w:val="23"/>
              </w:rPr>
              <w:t xml:space="preserve">Одиниця </w:t>
            </w:r>
          </w:p>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виміру</w:t>
            </w:r>
          </w:p>
        </w:tc>
        <w:tc>
          <w:tcPr>
            <w:tcW w:w="993"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2021</w:t>
            </w:r>
          </w:p>
        </w:tc>
        <w:tc>
          <w:tcPr>
            <w:tcW w:w="992"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2022</w:t>
            </w:r>
          </w:p>
        </w:tc>
        <w:tc>
          <w:tcPr>
            <w:tcW w:w="992"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2023</w:t>
            </w:r>
          </w:p>
        </w:tc>
        <w:tc>
          <w:tcPr>
            <w:tcW w:w="971"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2024</w:t>
            </w:r>
          </w:p>
        </w:tc>
        <w:tc>
          <w:tcPr>
            <w:tcW w:w="844"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rPr>
              <w:t>2025</w:t>
            </w:r>
          </w:p>
        </w:tc>
        <w:tc>
          <w:tcPr>
            <w:tcW w:w="1291"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lang w:val="uk-UA"/>
              </w:rPr>
              <w:t>Абсолютні зміни</w:t>
            </w:r>
          </w:p>
        </w:tc>
        <w:tc>
          <w:tcPr>
            <w:tcW w:w="1116" w:type="dxa"/>
          </w:tcPr>
          <w:p w:rsidR="00A0574A" w:rsidRPr="00400BAB" w:rsidRDefault="00A0574A" w:rsidP="005670E0">
            <w:pPr>
              <w:spacing w:after="0" w:line="240" w:lineRule="auto"/>
              <w:jc w:val="center"/>
              <w:rPr>
                <w:rFonts w:ascii="Times New Roman" w:hAnsi="Times New Roman"/>
                <w:color w:val="000000"/>
                <w:sz w:val="23"/>
                <w:szCs w:val="23"/>
                <w:lang w:val="uk-UA"/>
              </w:rPr>
            </w:pPr>
            <w:r w:rsidRPr="00400BAB">
              <w:rPr>
                <w:rFonts w:ascii="Times New Roman" w:hAnsi="Times New Roman"/>
                <w:color w:val="000000"/>
                <w:sz w:val="23"/>
                <w:szCs w:val="23"/>
                <w:lang w:val="uk-UA"/>
              </w:rPr>
              <w:t>Відносна зміна 2025 до 2021, %</w:t>
            </w:r>
          </w:p>
        </w:tc>
      </w:tr>
      <w:tr w:rsidR="00B37265" w:rsidRPr="00400BAB" w:rsidTr="00D638FA">
        <w:trPr>
          <w:cantSplit/>
        </w:trPr>
        <w:tc>
          <w:tcPr>
            <w:tcW w:w="5577"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1</w:t>
            </w:r>
          </w:p>
        </w:tc>
        <w:tc>
          <w:tcPr>
            <w:tcW w:w="1222"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2</w:t>
            </w:r>
          </w:p>
        </w:tc>
        <w:tc>
          <w:tcPr>
            <w:tcW w:w="993"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3</w:t>
            </w:r>
          </w:p>
        </w:tc>
        <w:tc>
          <w:tcPr>
            <w:tcW w:w="992"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4</w:t>
            </w:r>
          </w:p>
        </w:tc>
        <w:tc>
          <w:tcPr>
            <w:tcW w:w="992"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5</w:t>
            </w:r>
          </w:p>
        </w:tc>
        <w:tc>
          <w:tcPr>
            <w:tcW w:w="971"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6</w:t>
            </w:r>
          </w:p>
        </w:tc>
        <w:tc>
          <w:tcPr>
            <w:tcW w:w="844"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7</w:t>
            </w:r>
          </w:p>
        </w:tc>
        <w:tc>
          <w:tcPr>
            <w:tcW w:w="1291"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8</w:t>
            </w:r>
          </w:p>
        </w:tc>
        <w:tc>
          <w:tcPr>
            <w:tcW w:w="1116" w:type="dxa"/>
          </w:tcPr>
          <w:p w:rsidR="00B37265" w:rsidRPr="00400BAB" w:rsidRDefault="00A0574A" w:rsidP="00A0574A">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9</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Валова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продукція</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сільського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господарства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всього</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млрд</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грн</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1000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880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930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980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-2,00%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Індекс</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обсягу</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до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попереднього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року</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107,3</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105,7</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105,4</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2,4</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+2,33%</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2.</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Валова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продукція</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рослинництва</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млрд</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грн</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590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640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680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720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0,00%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Індекс</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рослинництва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до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попереднього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року</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104,5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81,9</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108,5</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106,3</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105,9</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1,4</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+1,34%</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3.</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Валова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продукція</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тваринництва</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млрд</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грн</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240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250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260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-7,14%</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Індекс</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тваринництва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до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попереднього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року</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100,5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82,1</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104,3</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104,2</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104,0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3,5</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+3,48%</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4.</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Частка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рослинництва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у</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структурі</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валової</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продукції</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72,7</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73,1</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73,5</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1,5</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+2,08%</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5.</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Частка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тваринництва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у</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структурі</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валової</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продукції</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27,3</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26,9</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26,5</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-1,5</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-5,36%</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6.</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зернових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зернобобових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всього</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86,0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60,0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65,0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70,0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-16</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-18,60%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у</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т.ч.</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пшениця</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20,0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22,0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24,0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26,0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-7</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-21,21%</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кукурудза</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41,0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25,0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28,0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32,0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-9</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-21,95%</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інші</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зернові</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11,0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12,0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0,00%</w:t>
            </w:r>
          </w:p>
        </w:tc>
      </w:tr>
    </w:tbl>
    <w:p w:rsidR="00D638FA" w:rsidRDefault="00D638FA">
      <w:pPr>
        <w:rPr>
          <w:lang w:val="uk-UA"/>
        </w:rPr>
      </w:pPr>
      <w:r>
        <w:br w:type="page"/>
      </w:r>
    </w:p>
    <w:p w:rsidR="00D638FA" w:rsidRPr="00A0574A" w:rsidRDefault="00D638FA" w:rsidP="00D638FA">
      <w:pPr>
        <w:spacing w:after="0" w:line="360" w:lineRule="auto"/>
        <w:ind w:firstLine="709"/>
        <w:jc w:val="right"/>
        <w:rPr>
          <w:rFonts w:ascii="Times New Roman" w:hAnsi="Times New Roman"/>
          <w:sz w:val="28"/>
          <w:szCs w:val="28"/>
          <w:lang w:val="uk-UA"/>
        </w:rPr>
      </w:pPr>
      <w:r>
        <w:rPr>
          <w:rFonts w:ascii="Times New Roman" w:hAnsi="Times New Roman"/>
          <w:sz w:val="28"/>
          <w:szCs w:val="28"/>
          <w:lang w:val="uk-UA"/>
        </w:rPr>
        <w:lastRenderedPageBreak/>
        <w:t>Продовження табл. Б.1</w:t>
      </w:r>
    </w:p>
    <w:tbl>
      <w:tblPr>
        <w:tblStyle w:val="a4"/>
        <w:tblW w:w="0" w:type="auto"/>
        <w:tblLook w:val="04A0" w:firstRow="1" w:lastRow="0" w:firstColumn="1" w:lastColumn="0" w:noHBand="0" w:noVBand="1"/>
      </w:tblPr>
      <w:tblGrid>
        <w:gridCol w:w="5577"/>
        <w:gridCol w:w="1222"/>
        <w:gridCol w:w="993"/>
        <w:gridCol w:w="992"/>
        <w:gridCol w:w="992"/>
        <w:gridCol w:w="971"/>
        <w:gridCol w:w="844"/>
        <w:gridCol w:w="1291"/>
        <w:gridCol w:w="1116"/>
      </w:tblGrid>
      <w:tr w:rsidR="00D638FA" w:rsidRPr="00400BAB" w:rsidTr="00D638FA">
        <w:trPr>
          <w:cantSplit/>
          <w:tblHeader/>
        </w:trPr>
        <w:tc>
          <w:tcPr>
            <w:tcW w:w="5577"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1</w:t>
            </w:r>
          </w:p>
        </w:tc>
        <w:tc>
          <w:tcPr>
            <w:tcW w:w="1222"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2</w:t>
            </w:r>
          </w:p>
        </w:tc>
        <w:tc>
          <w:tcPr>
            <w:tcW w:w="993"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3</w:t>
            </w:r>
          </w:p>
        </w:tc>
        <w:tc>
          <w:tcPr>
            <w:tcW w:w="992"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4</w:t>
            </w:r>
          </w:p>
        </w:tc>
        <w:tc>
          <w:tcPr>
            <w:tcW w:w="992"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5</w:t>
            </w:r>
          </w:p>
        </w:tc>
        <w:tc>
          <w:tcPr>
            <w:tcW w:w="971"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6</w:t>
            </w:r>
          </w:p>
        </w:tc>
        <w:tc>
          <w:tcPr>
            <w:tcW w:w="844"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7</w:t>
            </w:r>
          </w:p>
        </w:tc>
        <w:tc>
          <w:tcPr>
            <w:tcW w:w="1291"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8</w:t>
            </w:r>
          </w:p>
        </w:tc>
        <w:tc>
          <w:tcPr>
            <w:tcW w:w="1116" w:type="dxa"/>
          </w:tcPr>
          <w:p w:rsidR="00D638FA" w:rsidRPr="00400BAB" w:rsidRDefault="00D638FA" w:rsidP="00DF10C3">
            <w:pPr>
              <w:spacing w:after="0" w:line="240" w:lineRule="auto"/>
              <w:jc w:val="center"/>
              <w:rPr>
                <w:rFonts w:ascii="Times New Roman" w:hAnsi="Times New Roman"/>
                <w:color w:val="000000"/>
                <w:sz w:val="23"/>
                <w:szCs w:val="23"/>
                <w:lang w:val="uk-UA"/>
              </w:rPr>
            </w:pPr>
            <w:r>
              <w:rPr>
                <w:rFonts w:ascii="Times New Roman" w:hAnsi="Times New Roman"/>
                <w:color w:val="000000"/>
                <w:sz w:val="23"/>
                <w:szCs w:val="23"/>
                <w:lang w:val="uk-UA"/>
              </w:rPr>
              <w:t>9</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7.</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олійних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культур</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всього</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17,0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19,0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20,0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21,0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-4,55%</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у</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т.ч.</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соняшник</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16,0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13,0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14,0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15,0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-6,25%</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ріпак</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3,1</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3,2</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0,2</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+6,67%</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Fonts w:ascii="Times New Roman" w:hAnsi="Times New Roman"/>
                <w:color w:val="000000"/>
                <w:sz w:val="23"/>
                <w:szCs w:val="23"/>
              </w:rPr>
              <w:t>соя</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0,00%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8.</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цукрових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буряків</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(фабричних)</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9,0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9,5</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-0,5</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-4,76%</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9.</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овочів</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відкритого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ґрунту</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9,5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8,3</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8,5</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-10,53%</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10.</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плодів</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ягід</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2,2</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1,8</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1,9</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2,1</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-0,1</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-4,55%</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11.</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Поголів’я</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ВРХ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(на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кінець</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року)</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голів</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2,6</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2,5</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2,45</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2,4</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-0,6</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-20,00%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12.</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Поголів’я</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свиней</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голів</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4,8</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4,7</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4,6</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4,5</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-18,18%</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13.</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м’яса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(у</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забійній</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масі)</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тис.</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2350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2100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2150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2200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2250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-100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-4,26%</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14.</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Виробництво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молока</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8,7</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7,9</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8,1</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8,2</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-0,5</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-5,75%</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15.</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Експорт</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зернових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всього</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44,0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38,0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45,0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48,0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50,0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6</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+13,64%</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16.</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Експорт</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олійних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та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продуктів</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їх</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переробки</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млн</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т</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12,0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11,0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11,5</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12,0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0,00%</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17.</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Капітальні</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інвестиції</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сільське</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господарство</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млрд</w:t>
            </w:r>
            <w:r w:rsidRPr="00400BAB">
              <w:rPr>
                <w:rStyle w:val="apple-converted-space"/>
                <w:rFonts w:ascii="Times New Roman" w:hAnsi="Times New Roman"/>
                <w:color w:val="000000"/>
                <w:sz w:val="23"/>
                <w:szCs w:val="23"/>
              </w:rPr>
              <w:t> </w:t>
            </w:r>
            <w:r w:rsidRPr="00400BAB">
              <w:rPr>
                <w:rFonts w:ascii="Times New Roman" w:hAnsi="Times New Roman"/>
                <w:color w:val="000000"/>
                <w:sz w:val="23"/>
                <w:szCs w:val="23"/>
              </w:rPr>
              <w:t>грн</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65,0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40,0</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45,0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50,0</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55,0</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-10</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-15,38%</w:t>
            </w:r>
          </w:p>
        </w:tc>
      </w:tr>
      <w:tr w:rsidR="00B37265" w:rsidRPr="00400BAB" w:rsidTr="00D638FA">
        <w:trPr>
          <w:cantSplit/>
        </w:trPr>
        <w:tc>
          <w:tcPr>
            <w:tcW w:w="5577" w:type="dxa"/>
          </w:tcPr>
          <w:p w:rsidR="00B37265" w:rsidRPr="00400BAB" w:rsidRDefault="00B37265" w:rsidP="00400BAB">
            <w:pPr>
              <w:jc w:val="both"/>
              <w:rPr>
                <w:rFonts w:ascii="Times New Roman" w:hAnsi="Times New Roman"/>
                <w:color w:val="000000"/>
                <w:sz w:val="23"/>
                <w:szCs w:val="23"/>
                <w:lang w:val="uk-UA"/>
              </w:rPr>
            </w:pPr>
            <w:r w:rsidRPr="00400BAB">
              <w:rPr>
                <w:rStyle w:val="af1"/>
                <w:rFonts w:ascii="Times New Roman" w:eastAsiaTheme="majorEastAsia" w:hAnsi="Times New Roman"/>
                <w:b w:val="0"/>
                <w:bCs w:val="0"/>
                <w:color w:val="000000"/>
                <w:sz w:val="23"/>
                <w:szCs w:val="23"/>
              </w:rPr>
              <w:t>18.</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Частка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сільського</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господарства</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у</w:t>
            </w:r>
            <w:r w:rsidRPr="00400BAB">
              <w:rPr>
                <w:rStyle w:val="apple-converted-space"/>
                <w:rFonts w:ascii="Times New Roman" w:hAnsi="Times New Roman"/>
                <w:color w:val="000000"/>
                <w:sz w:val="23"/>
                <w:szCs w:val="23"/>
              </w:rPr>
              <w:t> </w:t>
            </w:r>
            <w:r w:rsidRPr="00400BAB">
              <w:rPr>
                <w:rStyle w:val="af1"/>
                <w:rFonts w:ascii="Times New Roman" w:eastAsiaTheme="majorEastAsia" w:hAnsi="Times New Roman"/>
                <w:b w:val="0"/>
                <w:bCs w:val="0"/>
                <w:color w:val="000000"/>
                <w:sz w:val="23"/>
                <w:szCs w:val="23"/>
              </w:rPr>
              <w:t>ВВП</w:t>
            </w:r>
          </w:p>
        </w:tc>
        <w:tc>
          <w:tcPr>
            <w:tcW w:w="122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w:t>
            </w:r>
          </w:p>
        </w:tc>
        <w:tc>
          <w:tcPr>
            <w:tcW w:w="993"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10,5</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11,8</w:t>
            </w:r>
          </w:p>
        </w:tc>
        <w:tc>
          <w:tcPr>
            <w:tcW w:w="992"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11,0</w:t>
            </w:r>
          </w:p>
        </w:tc>
        <w:tc>
          <w:tcPr>
            <w:tcW w:w="971"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10,7</w:t>
            </w:r>
          </w:p>
        </w:tc>
        <w:tc>
          <w:tcPr>
            <w:tcW w:w="844" w:type="dxa"/>
          </w:tcPr>
          <w:p w:rsidR="00B37265" w:rsidRPr="00400BAB" w:rsidRDefault="00B37265" w:rsidP="00400BAB">
            <w:pPr>
              <w:jc w:val="center"/>
              <w:rPr>
                <w:rFonts w:ascii="Times New Roman" w:hAnsi="Times New Roman"/>
                <w:color w:val="000000"/>
                <w:sz w:val="23"/>
                <w:szCs w:val="23"/>
                <w:lang w:val="uk-UA"/>
              </w:rPr>
            </w:pPr>
            <w:r w:rsidRPr="00400BAB">
              <w:rPr>
                <w:rFonts w:ascii="Times New Roman" w:hAnsi="Times New Roman"/>
                <w:color w:val="000000"/>
                <w:sz w:val="23"/>
                <w:szCs w:val="23"/>
              </w:rPr>
              <w:t>10,3</w:t>
            </w:r>
          </w:p>
        </w:tc>
        <w:tc>
          <w:tcPr>
            <w:tcW w:w="1291"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-0,2</w:t>
            </w:r>
          </w:p>
        </w:tc>
        <w:tc>
          <w:tcPr>
            <w:tcW w:w="1116" w:type="dxa"/>
          </w:tcPr>
          <w:p w:rsidR="00B37265" w:rsidRPr="00400BAB" w:rsidRDefault="00B37265" w:rsidP="00400BAB">
            <w:pPr>
              <w:jc w:val="center"/>
              <w:rPr>
                <w:rFonts w:ascii="Times New Roman" w:hAnsi="Times New Roman"/>
                <w:color w:val="000000"/>
                <w:lang w:val="uk-UA"/>
              </w:rPr>
            </w:pPr>
            <w:r w:rsidRPr="00400BAB">
              <w:rPr>
                <w:rFonts w:ascii="Times New Roman" w:hAnsi="Times New Roman"/>
                <w:color w:val="000000"/>
                <w:lang w:val="uk-UA"/>
              </w:rPr>
              <w:t>-1,90%</w:t>
            </w:r>
          </w:p>
        </w:tc>
      </w:tr>
    </w:tbl>
    <w:p w:rsidR="00B37265" w:rsidRPr="00872207" w:rsidRDefault="00B37265" w:rsidP="00872207">
      <w:pPr>
        <w:spacing w:line="360" w:lineRule="auto"/>
        <w:ind w:firstLine="709"/>
        <w:jc w:val="both"/>
        <w:rPr>
          <w:rFonts w:ascii="Times New Roman" w:hAnsi="Times New Roman"/>
        </w:rPr>
      </w:pPr>
      <w:r w:rsidRPr="00400BAB">
        <w:rPr>
          <w:rFonts w:ascii="Times New Roman" w:hAnsi="Times New Roman"/>
          <w:i/>
          <w:iCs/>
          <w:color w:val="000000"/>
          <w:lang w:val="uk-UA"/>
        </w:rPr>
        <w:t xml:space="preserve">Джерело: обраховано автором за </w:t>
      </w:r>
      <w:r w:rsidRPr="00872207">
        <w:rPr>
          <w:rFonts w:ascii="Times New Roman" w:hAnsi="Times New Roman"/>
          <w:i/>
          <w:iCs/>
          <w:color w:val="000000"/>
          <w:lang w:val="uk-UA"/>
        </w:rPr>
        <w:t>даними Держстат України</w:t>
      </w:r>
      <w:r w:rsidR="00872207" w:rsidRPr="00872207">
        <w:rPr>
          <w:rFonts w:ascii="Times New Roman" w:hAnsi="Times New Roman"/>
          <w:i/>
          <w:iCs/>
          <w:color w:val="000000"/>
        </w:rPr>
        <w:t xml:space="preserve"> </w:t>
      </w:r>
      <w:r w:rsidR="00872207" w:rsidRPr="00872207">
        <w:rPr>
          <w:rFonts w:ascii="Times New Roman" w:eastAsia="Times New Roman" w:hAnsi="Times New Roman"/>
          <w:i/>
          <w:iCs/>
          <w:color w:val="000000"/>
          <w:sz w:val="28"/>
          <w:szCs w:val="28"/>
        </w:rPr>
        <w:t>[110]</w:t>
      </w:r>
      <w:r w:rsidR="00872207" w:rsidRPr="00872207">
        <w:rPr>
          <w:rFonts w:ascii="Times New Roman" w:hAnsi="Times New Roman"/>
          <w:i/>
          <w:iCs/>
          <w:color w:val="000000"/>
        </w:rPr>
        <w:t>.</w:t>
      </w:r>
    </w:p>
    <w:p w:rsidR="00435FDC" w:rsidRDefault="00EB5B4E">
      <w:pPr>
        <w:keepNext/>
        <w:pageBreakBefore/>
        <w:jc w:val="center"/>
      </w:pPr>
      <w:r>
        <w:rPr>
          <w:rFonts w:ascii="Times New Roman" w:eastAsia="Times New Roman" w:hAnsi="Times New Roman"/>
          <w:b/>
          <w:sz w:val="28"/>
        </w:rPr>
        <w:lastRenderedPageBreak/>
        <w:t>ДОДАТОК В</w:t>
      </w:r>
    </w:p>
    <w:p w:rsidR="00435FDC" w:rsidRDefault="00EB5B4E">
      <w:pPr>
        <w:keepNext/>
        <w:jc w:val="center"/>
      </w:pPr>
      <w:r>
        <w:rPr>
          <w:rFonts w:ascii="Times New Roman" w:eastAsia="Times New Roman" w:hAnsi="Times New Roman"/>
          <w:sz w:val="28"/>
        </w:rPr>
        <w:t>Графічні матеріали щодо ринку сільськогосподарських земель та розмінування</w:t>
      </w:r>
    </w:p>
    <w:tbl>
      <w:tblPr>
        <w:tblW w:w="0" w:type="auto"/>
        <w:tblLook w:val="04A0" w:firstRow="1" w:lastRow="0" w:firstColumn="1" w:lastColumn="0" w:noHBand="0" w:noVBand="1"/>
      </w:tblPr>
      <w:tblGrid>
        <w:gridCol w:w="7278"/>
        <w:gridCol w:w="6680"/>
      </w:tblGrid>
      <w:tr w:rsidR="00B37265" w:rsidRPr="00400BAB" w:rsidTr="00D912C4">
        <w:trPr>
          <w:cantSplit/>
          <w:tblHeader/>
        </w:trPr>
        <w:tc>
          <w:tcPr>
            <w:tcW w:w="7278" w:type="dxa"/>
          </w:tcPr>
          <w:p w:rsidR="00B37265" w:rsidRPr="00400BAB" w:rsidRDefault="00B37265" w:rsidP="00D912C4">
            <w:pPr>
              <w:spacing w:after="0"/>
              <w:jc w:val="center"/>
              <w:rPr>
                <w:rFonts w:ascii="Times New Roman" w:hAnsi="Times New Roman"/>
                <w:b/>
                <w:bCs/>
                <w:color w:val="000000"/>
                <w:sz w:val="21"/>
                <w:szCs w:val="21"/>
                <w:lang w:val="uk-UA"/>
              </w:rPr>
            </w:pPr>
            <w:r w:rsidRPr="00400BAB">
              <w:rPr>
                <w:rFonts w:ascii="Times New Roman" w:hAnsi="Times New Roman"/>
                <w:noProof/>
                <w:lang w:val="uk-UA" w:eastAsia="uk-UA"/>
                <w14:ligatures w14:val="standardContextual"/>
              </w:rPr>
              <w:drawing>
                <wp:inline distT="0" distB="0" distL="0" distR="0" wp14:anchorId="2C906F52" wp14:editId="3C0B6BFD">
                  <wp:extent cx="3547871" cy="1837943"/>
                  <wp:effectExtent l="0" t="0" r="5080" b="10795"/>
                  <wp:docPr id="1980895465"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D8A2CFF-7BF8-B1DB-B738-14EE871A64C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80895465" name="Диаграмма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D8A2CFF-7BF8-B1DB-B738-14EE871A64C8}"/>
                              </a:ext>
                            </a:extLst>
                          </pic:cNvPr>
                          <pic:cNvPicPr>
                            <a:picLocks noGrp="1" noRot="1" noChangeAspect="1" noMove="1" noResize="1" noEditPoints="1" noAdjustHandles="1" noChangeArrowheads="1" noChangeShapeType="1"/>
                          </pic:cNvPicPr>
                        </pic:nvPicPr>
                        <pic:blipFill>
                          <a:blip r:embed="rId53"/>
                          <a:stretch>
                            <a:fillRect/>
                          </a:stretch>
                        </pic:blipFill>
                        <pic:spPr>
                          <a:xfrm>
                            <a:off x="0" y="0"/>
                            <a:ext cx="4490720" cy="2326005"/>
                          </a:xfrm>
                          <a:prstGeom prst="rect">
                            <a:avLst/>
                          </a:prstGeom>
                        </pic:spPr>
                      </pic:pic>
                    </a:graphicData>
                  </a:graphic>
                </wp:inline>
              </w:drawing>
            </w:r>
            <w:r w:rsidRPr="00400BAB">
              <w:rPr>
                <w:rFonts w:ascii="Times New Roman" w:hAnsi="Times New Roman"/>
                <w:b/>
                <w:bCs/>
                <w:color w:val="000000"/>
                <w:sz w:val="21"/>
                <w:szCs w:val="21"/>
                <w:lang w:val="uk-UA"/>
              </w:rPr>
              <w:t>Рис. В.1 Загальна площа відчужених ділянок, тис га</w:t>
            </w:r>
          </w:p>
          <w:p w:rsidR="00B37265" w:rsidRPr="00D912C4" w:rsidRDefault="00B37265" w:rsidP="00D912C4">
            <w:pPr>
              <w:spacing w:after="0" w:line="360" w:lineRule="auto"/>
              <w:ind w:firstLine="709"/>
              <w:jc w:val="both"/>
              <w:rPr>
                <w:rFonts w:ascii="Times New Roman" w:hAnsi="Times New Roman"/>
                <w:color w:val="000000"/>
                <w:sz w:val="28"/>
                <w:szCs w:val="28"/>
              </w:rPr>
            </w:pPr>
            <w:r w:rsidRPr="00400BAB">
              <w:rPr>
                <w:rFonts w:ascii="Times New Roman" w:hAnsi="Times New Roman"/>
                <w:i/>
                <w:iCs/>
                <w:color w:val="000000"/>
                <w:sz w:val="21"/>
                <w:szCs w:val="21"/>
                <w:lang w:val="uk-UA"/>
              </w:rPr>
              <w:t xml:space="preserve">Джерело: обраховано автором за даними </w:t>
            </w:r>
            <w:r w:rsidR="00D912C4" w:rsidRPr="00872207">
              <w:rPr>
                <w:rFonts w:ascii="Times New Roman" w:hAnsi="Times New Roman"/>
                <w:i/>
                <w:iCs/>
                <w:color w:val="000000"/>
                <w:lang w:val="uk-UA"/>
              </w:rPr>
              <w:t>Держстат України</w:t>
            </w:r>
            <w:r w:rsidR="00D912C4" w:rsidRPr="00872207">
              <w:rPr>
                <w:rFonts w:ascii="Times New Roman" w:hAnsi="Times New Roman"/>
                <w:i/>
                <w:iCs/>
                <w:color w:val="000000"/>
              </w:rPr>
              <w:t xml:space="preserve"> </w:t>
            </w:r>
            <w:r w:rsidR="00D912C4" w:rsidRPr="00872207">
              <w:rPr>
                <w:rFonts w:ascii="Times New Roman" w:eastAsia="Times New Roman" w:hAnsi="Times New Roman"/>
                <w:i/>
                <w:iCs/>
                <w:color w:val="000000"/>
                <w:sz w:val="28"/>
                <w:szCs w:val="28"/>
              </w:rPr>
              <w:t>[110]</w:t>
            </w:r>
            <w:r w:rsidR="00D912C4" w:rsidRPr="00872207">
              <w:rPr>
                <w:rFonts w:ascii="Times New Roman" w:hAnsi="Times New Roman"/>
                <w:i/>
                <w:iCs/>
                <w:color w:val="000000"/>
              </w:rPr>
              <w:t>.</w:t>
            </w:r>
          </w:p>
        </w:tc>
        <w:tc>
          <w:tcPr>
            <w:tcW w:w="6680" w:type="dxa"/>
          </w:tcPr>
          <w:p w:rsidR="00B37265" w:rsidRPr="00400BAB" w:rsidRDefault="00B37265" w:rsidP="00D912C4">
            <w:pPr>
              <w:spacing w:after="0"/>
              <w:jc w:val="center"/>
              <w:rPr>
                <w:rFonts w:ascii="Times New Roman" w:hAnsi="Times New Roman"/>
                <w:color w:val="000000"/>
                <w:sz w:val="28"/>
                <w:szCs w:val="28"/>
                <w:lang w:val="uk-UA"/>
              </w:rPr>
            </w:pPr>
            <w:r w:rsidRPr="00400BAB">
              <w:rPr>
                <w:rFonts w:ascii="Times New Roman" w:hAnsi="Times New Roman"/>
                <w:noProof/>
                <w:lang w:val="uk-UA" w:eastAsia="uk-UA"/>
                <w14:ligatures w14:val="standardContextual"/>
              </w:rPr>
              <w:drawing>
                <wp:inline distT="0" distB="0" distL="0" distR="0" wp14:anchorId="1D3AA287" wp14:editId="6D79D1CF">
                  <wp:extent cx="3191256" cy="1792224"/>
                  <wp:effectExtent l="0" t="0" r="12065" b="5080"/>
                  <wp:docPr id="1094252717"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0E81FD1-ADD0-F97E-9ED3-AC649869FD2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94252717" name="Диаграмма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B0E81FD1-ADD0-F97E-9ED3-AC649869FD2F}"/>
                              </a:ext>
                            </a:extLst>
                          </pic:cNvPr>
                          <pic:cNvPicPr>
                            <a:picLocks noGrp="1" noRot="1" noChangeAspect="1" noMove="1" noResize="1" noEditPoints="1" noAdjustHandles="1" noChangeArrowheads="1" noChangeShapeType="1"/>
                          </pic:cNvPicPr>
                        </pic:nvPicPr>
                        <pic:blipFill>
                          <a:blip r:embed="rId54"/>
                          <a:stretch>
                            <a:fillRect/>
                          </a:stretch>
                        </pic:blipFill>
                        <pic:spPr>
                          <a:xfrm>
                            <a:off x="0" y="0"/>
                            <a:ext cx="4039235" cy="2268220"/>
                          </a:xfrm>
                          <a:prstGeom prst="rect">
                            <a:avLst/>
                          </a:prstGeom>
                        </pic:spPr>
                      </pic:pic>
                    </a:graphicData>
                  </a:graphic>
                </wp:inline>
              </w:drawing>
            </w:r>
          </w:p>
          <w:p w:rsidR="00B37265" w:rsidRPr="00400BAB" w:rsidRDefault="00B37265" w:rsidP="00D912C4">
            <w:pPr>
              <w:spacing w:after="0"/>
              <w:ind w:firstLine="734"/>
              <w:jc w:val="both"/>
              <w:rPr>
                <w:rFonts w:ascii="Times New Roman" w:hAnsi="Times New Roman"/>
                <w:b/>
                <w:bCs/>
                <w:color w:val="000000"/>
                <w:sz w:val="21"/>
                <w:szCs w:val="21"/>
                <w:lang w:val="uk-UA"/>
              </w:rPr>
            </w:pPr>
            <w:r w:rsidRPr="00400BAB">
              <w:rPr>
                <w:rFonts w:ascii="Times New Roman" w:hAnsi="Times New Roman"/>
                <w:b/>
                <w:bCs/>
                <w:color w:val="000000"/>
                <w:sz w:val="21"/>
                <w:szCs w:val="21"/>
                <w:lang w:val="uk-UA"/>
              </w:rPr>
              <w:t>Рис. В.2 Площа с</w:t>
            </w:r>
            <w:r w:rsidRPr="00400BAB">
              <w:rPr>
                <w:rFonts w:ascii="Times New Roman" w:hAnsi="Times New Roman"/>
                <w:b/>
                <w:bCs/>
                <w:color w:val="000000"/>
                <w:sz w:val="21"/>
                <w:szCs w:val="21"/>
              </w:rPr>
              <w:t>/</w:t>
            </w:r>
            <w:r w:rsidRPr="00400BAB">
              <w:rPr>
                <w:rFonts w:ascii="Times New Roman" w:hAnsi="Times New Roman"/>
                <w:b/>
                <w:bCs/>
                <w:color w:val="000000"/>
                <w:sz w:val="21"/>
                <w:szCs w:val="21"/>
                <w:lang w:val="uk-UA"/>
              </w:rPr>
              <w:t>г земель, придбаних юридичними особами, тис га</w:t>
            </w:r>
          </w:p>
          <w:p w:rsidR="00B37265" w:rsidRPr="00D912C4" w:rsidRDefault="00B37265" w:rsidP="00D912C4">
            <w:pPr>
              <w:spacing w:after="0" w:line="360" w:lineRule="auto"/>
              <w:ind w:hanging="9"/>
              <w:jc w:val="both"/>
              <w:rPr>
                <w:rFonts w:ascii="Times New Roman" w:hAnsi="Times New Roman"/>
                <w:color w:val="000000"/>
                <w:sz w:val="28"/>
                <w:szCs w:val="28"/>
              </w:rPr>
            </w:pPr>
            <w:r w:rsidRPr="00400BAB">
              <w:rPr>
                <w:rFonts w:ascii="Times New Roman" w:hAnsi="Times New Roman"/>
                <w:i/>
                <w:iCs/>
                <w:color w:val="000000"/>
                <w:sz w:val="21"/>
                <w:szCs w:val="21"/>
                <w:lang w:val="uk-UA"/>
              </w:rPr>
              <w:t xml:space="preserve">Джерело: обраховано автором за даними </w:t>
            </w:r>
            <w:r w:rsidR="00D912C4" w:rsidRPr="00872207">
              <w:rPr>
                <w:rFonts w:ascii="Times New Roman" w:hAnsi="Times New Roman"/>
                <w:i/>
                <w:iCs/>
                <w:color w:val="000000"/>
                <w:lang w:val="uk-UA"/>
              </w:rPr>
              <w:t>Держстат України</w:t>
            </w:r>
            <w:r w:rsidR="00D912C4" w:rsidRPr="00872207">
              <w:rPr>
                <w:rFonts w:ascii="Times New Roman" w:hAnsi="Times New Roman"/>
                <w:i/>
                <w:iCs/>
                <w:color w:val="000000"/>
              </w:rPr>
              <w:t xml:space="preserve"> </w:t>
            </w:r>
            <w:r w:rsidR="00D912C4" w:rsidRPr="00872207">
              <w:rPr>
                <w:rFonts w:ascii="Times New Roman" w:eastAsia="Times New Roman" w:hAnsi="Times New Roman"/>
                <w:i/>
                <w:iCs/>
                <w:color w:val="000000"/>
                <w:sz w:val="28"/>
                <w:szCs w:val="28"/>
              </w:rPr>
              <w:t>[110]</w:t>
            </w:r>
            <w:r w:rsidR="00D912C4" w:rsidRPr="00872207">
              <w:rPr>
                <w:rFonts w:ascii="Times New Roman" w:hAnsi="Times New Roman"/>
                <w:i/>
                <w:iCs/>
                <w:color w:val="000000"/>
              </w:rPr>
              <w:t>.</w:t>
            </w:r>
          </w:p>
        </w:tc>
      </w:tr>
      <w:tr w:rsidR="00B37265" w:rsidRPr="00400BAB" w:rsidTr="00D912C4">
        <w:trPr>
          <w:cantSplit/>
        </w:trPr>
        <w:tc>
          <w:tcPr>
            <w:tcW w:w="7278" w:type="dxa"/>
          </w:tcPr>
          <w:p w:rsidR="00B37265" w:rsidRPr="00D912C4" w:rsidRDefault="00B37265" w:rsidP="00D912C4">
            <w:pPr>
              <w:spacing w:after="0"/>
              <w:jc w:val="center"/>
              <w:rPr>
                <w:rFonts w:ascii="Times New Roman" w:hAnsi="Times New Roman"/>
                <w:color w:val="000000"/>
                <w:sz w:val="28"/>
                <w:szCs w:val="28"/>
              </w:rPr>
            </w:pPr>
            <w:r w:rsidRPr="00400BAB">
              <w:rPr>
                <w:rFonts w:ascii="Times New Roman" w:hAnsi="Times New Roman"/>
                <w:noProof/>
                <w:lang w:val="uk-UA" w:eastAsia="uk-UA"/>
                <w14:ligatures w14:val="standardContextual"/>
              </w:rPr>
              <w:drawing>
                <wp:inline distT="0" distB="0" distL="0" distR="0" wp14:anchorId="7572D7F3" wp14:editId="51D378BE">
                  <wp:extent cx="3494214" cy="1819484"/>
                  <wp:effectExtent l="0" t="0" r="9525" b="8255"/>
                  <wp:docPr id="1985510549"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AF3577A9-A04C-C6AC-597F-AEAF706B989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85510549" name="Диаграмма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AF3577A9-A04C-C6AC-597F-AEAF706B9899}"/>
                              </a:ext>
                            </a:extLst>
                          </pic:cNvPr>
                          <pic:cNvPicPr>
                            <a:picLocks noGrp="1" noRot="1" noChangeAspect="1" noMove="1" noResize="1" noEditPoints="1" noAdjustHandles="1" noChangeArrowheads="1" noChangeShapeType="1"/>
                          </pic:cNvPicPr>
                        </pic:nvPicPr>
                        <pic:blipFill>
                          <a:blip r:embed="rId55"/>
                          <a:stretch>
                            <a:fillRect/>
                          </a:stretch>
                        </pic:blipFill>
                        <pic:spPr>
                          <a:xfrm>
                            <a:off x="0" y="0"/>
                            <a:ext cx="4422775" cy="2303145"/>
                          </a:xfrm>
                          <a:prstGeom prst="rect">
                            <a:avLst/>
                          </a:prstGeom>
                        </pic:spPr>
                      </pic:pic>
                    </a:graphicData>
                  </a:graphic>
                </wp:inline>
              </w:drawing>
            </w:r>
            <w:r w:rsidRPr="00400BAB">
              <w:rPr>
                <w:rFonts w:ascii="Times New Roman" w:hAnsi="Times New Roman"/>
                <w:b/>
                <w:bCs/>
                <w:color w:val="000000"/>
                <w:sz w:val="21"/>
                <w:szCs w:val="21"/>
                <w:lang w:val="uk-UA"/>
              </w:rPr>
              <w:t>Рис. В.3 Площа ділянок, доступних за державної програми «Земельний банк», тис га</w:t>
            </w:r>
          </w:p>
        </w:tc>
        <w:tc>
          <w:tcPr>
            <w:tcW w:w="6680" w:type="dxa"/>
          </w:tcPr>
          <w:p w:rsidR="00D912C4" w:rsidRDefault="00B37265" w:rsidP="00D912C4">
            <w:pPr>
              <w:spacing w:after="0"/>
              <w:jc w:val="center"/>
              <w:rPr>
                <w:rFonts w:ascii="Times New Roman" w:hAnsi="Times New Roman"/>
                <w:b/>
                <w:bCs/>
                <w:color w:val="000000"/>
                <w:sz w:val="21"/>
                <w:szCs w:val="21"/>
              </w:rPr>
            </w:pPr>
            <w:r w:rsidRPr="00400BAB">
              <w:rPr>
                <w:rFonts w:ascii="Times New Roman" w:hAnsi="Times New Roman"/>
                <w:noProof/>
                <w:lang w:val="uk-UA" w:eastAsia="uk-UA"/>
                <w14:ligatures w14:val="standardContextual"/>
              </w:rPr>
              <w:drawing>
                <wp:inline distT="0" distB="0" distL="0" distR="0" wp14:anchorId="38CBE76B" wp14:editId="0179B7E9">
                  <wp:extent cx="3246120" cy="1864633"/>
                  <wp:effectExtent l="0" t="0" r="6350" b="1905"/>
                  <wp:docPr id="2076513703"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67B81776-0AEC-1B25-6E7A-71D8C65FA8BA}"/>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76513703" name="Диаграмма 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67B81776-0AEC-1B25-6E7A-71D8C65FA8BA}"/>
                              </a:ext>
                            </a:extLst>
                          </pic:cNvPr>
                          <pic:cNvPicPr>
                            <a:picLocks noGrp="1" noRot="1" noChangeAspect="1" noMove="1" noResize="1" noEditPoints="1" noAdjustHandles="1" noChangeArrowheads="1" noChangeShapeType="1"/>
                          </pic:cNvPicPr>
                        </pic:nvPicPr>
                        <pic:blipFill>
                          <a:blip r:embed="rId56"/>
                          <a:stretch>
                            <a:fillRect/>
                          </a:stretch>
                        </pic:blipFill>
                        <pic:spPr>
                          <a:xfrm>
                            <a:off x="0" y="0"/>
                            <a:ext cx="4108450" cy="2360295"/>
                          </a:xfrm>
                          <a:prstGeom prst="rect">
                            <a:avLst/>
                          </a:prstGeom>
                        </pic:spPr>
                      </pic:pic>
                    </a:graphicData>
                  </a:graphic>
                </wp:inline>
              </w:drawing>
            </w:r>
            <w:r w:rsidRPr="00400BAB">
              <w:rPr>
                <w:rFonts w:ascii="Times New Roman" w:hAnsi="Times New Roman"/>
                <w:b/>
                <w:bCs/>
                <w:color w:val="000000"/>
                <w:sz w:val="21"/>
                <w:szCs w:val="21"/>
                <w:lang w:val="uk-UA"/>
              </w:rPr>
              <w:t>Рис. В.4 Орієнтовна вартість всіх розмінувань, млрд</w:t>
            </w:r>
            <w:r w:rsidRPr="00400BAB">
              <w:rPr>
                <w:rFonts w:ascii="Times New Roman" w:hAnsi="Times New Roman"/>
                <w:b/>
                <w:bCs/>
                <w:color w:val="000000"/>
                <w:sz w:val="21"/>
                <w:szCs w:val="21"/>
              </w:rPr>
              <w:t>. $</w:t>
            </w:r>
          </w:p>
          <w:p w:rsidR="00B37265" w:rsidRPr="00D912C4" w:rsidRDefault="00B37265" w:rsidP="00D912C4">
            <w:pPr>
              <w:spacing w:after="0"/>
              <w:jc w:val="center"/>
              <w:rPr>
                <w:rFonts w:ascii="Times New Roman" w:hAnsi="Times New Roman"/>
                <w:color w:val="000000"/>
                <w:sz w:val="28"/>
                <w:szCs w:val="28"/>
              </w:rPr>
            </w:pPr>
            <w:r w:rsidRPr="00400BAB">
              <w:rPr>
                <w:rFonts w:ascii="Times New Roman" w:hAnsi="Times New Roman"/>
                <w:i/>
                <w:iCs/>
                <w:color w:val="000000"/>
                <w:sz w:val="21"/>
                <w:szCs w:val="21"/>
                <w:lang w:val="uk-UA"/>
              </w:rPr>
              <w:t xml:space="preserve">Джерело: обраховано автором за даними </w:t>
            </w:r>
            <w:r w:rsidR="00D912C4" w:rsidRPr="00872207">
              <w:rPr>
                <w:rFonts w:ascii="Times New Roman" w:hAnsi="Times New Roman"/>
                <w:i/>
                <w:iCs/>
                <w:color w:val="000000"/>
                <w:lang w:val="uk-UA"/>
              </w:rPr>
              <w:t>Держстат України</w:t>
            </w:r>
            <w:r w:rsidR="00D912C4" w:rsidRPr="00872207">
              <w:rPr>
                <w:rFonts w:ascii="Times New Roman" w:hAnsi="Times New Roman"/>
                <w:i/>
                <w:iCs/>
                <w:color w:val="000000"/>
              </w:rPr>
              <w:t xml:space="preserve"> </w:t>
            </w:r>
            <w:r w:rsidR="00D912C4" w:rsidRPr="00872207">
              <w:rPr>
                <w:rFonts w:ascii="Times New Roman" w:eastAsia="Times New Roman" w:hAnsi="Times New Roman"/>
                <w:i/>
                <w:iCs/>
                <w:color w:val="000000"/>
                <w:sz w:val="28"/>
                <w:szCs w:val="28"/>
              </w:rPr>
              <w:t>[110]</w:t>
            </w:r>
            <w:r w:rsidR="00D912C4" w:rsidRPr="00872207">
              <w:rPr>
                <w:rFonts w:ascii="Times New Roman" w:hAnsi="Times New Roman"/>
                <w:i/>
                <w:iCs/>
                <w:color w:val="000000"/>
              </w:rPr>
              <w:t>.</w:t>
            </w:r>
          </w:p>
        </w:tc>
      </w:tr>
    </w:tbl>
    <w:p w:rsidR="00435FDC" w:rsidRDefault="00EB5B4E">
      <w:pPr>
        <w:keepNext/>
        <w:pageBreakBefore/>
        <w:jc w:val="center"/>
      </w:pPr>
      <w:r>
        <w:rPr>
          <w:rFonts w:ascii="Times New Roman" w:eastAsia="Times New Roman" w:hAnsi="Times New Roman"/>
          <w:b/>
          <w:sz w:val="28"/>
        </w:rPr>
        <w:lastRenderedPageBreak/>
        <w:t>ДОДАТОК Г</w:t>
      </w:r>
    </w:p>
    <w:p w:rsidR="00435FDC" w:rsidRDefault="00EB5B4E">
      <w:pPr>
        <w:keepNext/>
        <w:jc w:val="center"/>
      </w:pPr>
      <w:r>
        <w:rPr>
          <w:rFonts w:ascii="Times New Roman" w:eastAsia="Times New Roman" w:hAnsi="Times New Roman"/>
          <w:sz w:val="28"/>
        </w:rPr>
        <w:t>Діагностична матриця розвитку економічного механізму інвестиційної привабливості</w:t>
      </w:r>
    </w:p>
    <w:p w:rsidR="00B37265" w:rsidRPr="00212E70" w:rsidRDefault="00B37265" w:rsidP="00671574">
      <w:pPr>
        <w:pStyle w:val="a5"/>
        <w:spacing w:before="0" w:beforeAutospacing="0" w:after="0" w:afterAutospacing="0"/>
        <w:ind w:firstLine="709"/>
        <w:jc w:val="right"/>
        <w:rPr>
          <w:color w:val="000000"/>
          <w:sz w:val="28"/>
          <w:szCs w:val="28"/>
          <w:lang w:val="uk-UA"/>
        </w:rPr>
      </w:pPr>
      <w:r w:rsidRPr="00212E70">
        <w:rPr>
          <w:color w:val="000000"/>
          <w:sz w:val="28"/>
          <w:szCs w:val="28"/>
          <w:lang w:val="uk-UA"/>
        </w:rPr>
        <w:t>Таблиця Г.1</w:t>
      </w:r>
    </w:p>
    <w:p w:rsidR="00B37265" w:rsidRPr="00400BAB" w:rsidRDefault="00B37265" w:rsidP="00671574">
      <w:pPr>
        <w:pStyle w:val="a5"/>
        <w:spacing w:before="0" w:beforeAutospacing="0" w:after="0" w:afterAutospacing="0"/>
        <w:jc w:val="center"/>
        <w:rPr>
          <w:b/>
          <w:bCs/>
          <w:color w:val="000000"/>
          <w:sz w:val="32"/>
          <w:szCs w:val="32"/>
          <w:lang w:val="uk-UA"/>
        </w:rPr>
      </w:pPr>
      <w:r w:rsidRPr="00212E70">
        <w:rPr>
          <w:b/>
          <w:bCs/>
          <w:color w:val="000000"/>
          <w:sz w:val="28"/>
          <w:szCs w:val="28"/>
          <w:lang w:val="uk-UA"/>
        </w:rPr>
        <w:t>Діагностична матриця дефіцитних компонентів та векторів удосконалення економічного механізму</w:t>
      </w:r>
      <w:r w:rsidRPr="00711E9F">
        <w:rPr>
          <w:b/>
          <w:bCs/>
          <w:color w:val="000000"/>
          <w:sz w:val="28"/>
          <w:szCs w:val="28"/>
          <w:lang w:val="uk-UA"/>
        </w:rPr>
        <w:t xml:space="preserve"> інвестиційної привабливості</w:t>
      </w:r>
    </w:p>
    <w:tbl>
      <w:tblPr>
        <w:tblW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985"/>
        <w:gridCol w:w="2992"/>
        <w:gridCol w:w="3469"/>
        <w:gridCol w:w="2982"/>
        <w:gridCol w:w="2908"/>
      </w:tblGrid>
      <w:tr w:rsidR="00B37265" w:rsidRPr="00400BAB" w:rsidTr="00B37265">
        <w:trPr>
          <w:cantSplit/>
          <w:trHeight w:val="315"/>
          <w:tblHeader/>
        </w:trPr>
        <w:tc>
          <w:tcPr>
            <w:tcW w:w="0" w:type="auto"/>
            <w:tcMar>
              <w:top w:w="30" w:type="dxa"/>
              <w:left w:w="45" w:type="dxa"/>
              <w:bottom w:w="30" w:type="dxa"/>
              <w:right w:w="45" w:type="dxa"/>
            </w:tcMar>
            <w:vAlign w:val="bottom"/>
            <w:hideMark/>
          </w:tcPr>
          <w:p w:rsidR="00B37265" w:rsidRPr="00400BAB" w:rsidRDefault="00B37265" w:rsidP="00671574">
            <w:pPr>
              <w:spacing w:after="0"/>
              <w:jc w:val="center"/>
              <w:rPr>
                <w:rFonts w:ascii="Times New Roman" w:hAnsi="Times New Roman"/>
              </w:rPr>
            </w:pPr>
            <w:r w:rsidRPr="00400BAB">
              <w:rPr>
                <w:rFonts w:ascii="Times New Roman" w:hAnsi="Times New Roman"/>
              </w:rPr>
              <w:t>Функціональна підсистема механізму</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lang w:val="uk-UA"/>
              </w:rPr>
            </w:pPr>
            <w:r w:rsidRPr="00400BAB">
              <w:rPr>
                <w:rFonts w:ascii="Times New Roman" w:hAnsi="Times New Roman"/>
              </w:rPr>
              <w:t>Наявні елементи та інструменти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Ідентифіковані дефіцитні компоненти (Об’єкти наукового удосконалення)</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 xml:space="preserve">Методологічний розрив </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Прогнозний вплив на інвестиційну привабливість</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Ресурсно-забезпечувальна</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Моніторинг загальної ліквідності та структури капіталу; аналіз вартості запозичень.</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Деагрегована система локальних індикаторів: оцінка питомої ваги «зелених» інвестицій та вартості альтернативного капіталу.</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Відсутність інструментів оцінки граничної ефективності одиниці залученого капіталу.</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Мінімізація середньозваженої вартості капіталу (WACC) через оптимізацію джерел.</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Аналітико-технологічна</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Ретроспективний аналіз рентабельності (ROS, ROE); порівняння з плановими показниками.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Функціональні залежності параметрів: математичний зв’язок між CAPEX, тривалістю операційного циклу та EBITDA.</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Лінійний підхід до планування без врахування нелінійної віддачі від масштабних інвестицій.</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Підвищення точності прогнозування чистого грошового потоку (FCF) на 15–20%.</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Ризик-адаптивна</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Сценарний підхід (оптимістичний / песимістичний); експертне оцінювання країнового ризику.</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Математична модель чутливості: кількісне визначення еластичності привабливості до цін на енергоносії та логістику.</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Відсутність динамічного алгоритму стрес-тестування інвестиційної стійкості до зовнішніх шоків.</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Зниження дисконту за невизначеність при оцінці вартості компанії інвесторами.</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Процесно-управлінська</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Бюджетний контроль; вертикальна ієрархія схвалення проєктів на основі окупності (Payback).</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Гнучкий алгоритм ідентифікації: автоматизована система раннього попередження про деградацію інвестиційного потенціалу.</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Ігнорування часової вартості прийняття рішення (Decision Lead Time) в умовах турбулентності.</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Скорочення часового лагу між виникненням інвестиційного вікна та реалізацією проєкту.</w:t>
            </w:r>
          </w:p>
        </w:tc>
      </w:tr>
      <w:tr w:rsidR="00B37265" w:rsidRPr="00400BAB" w:rsidTr="00B37265">
        <w:trPr>
          <w:cantSplit/>
          <w:trHeight w:val="315"/>
        </w:trPr>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Результативно-цільова</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Оцінка ринкової частки та капіталізації; аналіз виконання виробничої програми.</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Моделювання інтегрального ефекту: оцінка впливу інвестицій у цифровізацію та ESG на довгострокову репутаційну вартість.</w:t>
            </w:r>
          </w:p>
        </w:tc>
        <w:tc>
          <w:tcPr>
            <w:tcW w:w="0" w:type="auto"/>
            <w:tcMar>
              <w:top w:w="30" w:type="dxa"/>
              <w:left w:w="45" w:type="dxa"/>
              <w:bottom w:w="30" w:type="dxa"/>
              <w:right w:w="45"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Брак математичного апарату для оцінки синергетичного ефекту від диверсифікації активів.</w:t>
            </w:r>
          </w:p>
        </w:tc>
        <w:tc>
          <w:tcPr>
            <w:tcW w:w="0" w:type="auto"/>
            <w:tcMar>
              <w:top w:w="30" w:type="dxa"/>
              <w:left w:w="0" w:type="dxa"/>
              <w:bottom w:w="30" w:type="dxa"/>
              <w:right w:w="0" w:type="dxa"/>
            </w:tcMar>
            <w:vAlign w:val="center"/>
            <w:hideMark/>
          </w:tcPr>
          <w:p w:rsidR="00B37265" w:rsidRPr="00400BAB" w:rsidRDefault="00B37265" w:rsidP="00671574">
            <w:pPr>
              <w:spacing w:after="0"/>
              <w:jc w:val="center"/>
              <w:rPr>
                <w:rFonts w:ascii="Times New Roman" w:hAnsi="Times New Roman"/>
              </w:rPr>
            </w:pPr>
            <w:r w:rsidRPr="00400BAB">
              <w:rPr>
                <w:rFonts w:ascii="Times New Roman" w:hAnsi="Times New Roman"/>
              </w:rPr>
              <w:t>Забезпечення стійкого преміального статусу підприємства на міжнародних ринках капіталу.</w:t>
            </w:r>
          </w:p>
        </w:tc>
      </w:tr>
    </w:tbl>
    <w:p w:rsidR="00B37265" w:rsidRPr="00400BAB" w:rsidRDefault="00B37265" w:rsidP="00671574">
      <w:pPr>
        <w:pStyle w:val="a5"/>
        <w:spacing w:before="0" w:beforeAutospacing="0" w:after="0" w:afterAutospacing="0"/>
        <w:ind w:firstLine="709"/>
        <w:jc w:val="both"/>
        <w:rPr>
          <w:i/>
          <w:iCs/>
          <w:color w:val="000000"/>
          <w:lang w:val="uk-UA"/>
        </w:rPr>
      </w:pPr>
      <w:r w:rsidRPr="00400BAB">
        <w:rPr>
          <w:i/>
          <w:iCs/>
          <w:color w:val="000000"/>
          <w:lang w:val="uk-UA"/>
        </w:rPr>
        <w:t>Джерело: розроблено автором</w:t>
      </w:r>
    </w:p>
    <w:p w:rsidR="00435FDC" w:rsidRDefault="00EB5B4E">
      <w:pPr>
        <w:keepNext/>
        <w:pageBreakBefore/>
        <w:jc w:val="center"/>
      </w:pPr>
      <w:r>
        <w:rPr>
          <w:rFonts w:ascii="Times New Roman" w:eastAsia="Times New Roman" w:hAnsi="Times New Roman"/>
          <w:b/>
          <w:sz w:val="28"/>
        </w:rPr>
        <w:lastRenderedPageBreak/>
        <w:t>ДОДАТОК Д</w:t>
      </w:r>
    </w:p>
    <w:p w:rsidR="00435FDC" w:rsidRDefault="00EB5B4E">
      <w:pPr>
        <w:keepNext/>
        <w:jc w:val="center"/>
      </w:pPr>
      <w:r>
        <w:rPr>
          <w:rFonts w:ascii="Times New Roman" w:eastAsia="Times New Roman" w:hAnsi="Times New Roman"/>
          <w:sz w:val="28"/>
        </w:rPr>
        <w:t>Графіки залежності оборотності активів від технологічних інвестицій</w:t>
      </w:r>
    </w:p>
    <w:tbl>
      <w:tblPr>
        <w:tblW w:w="14312" w:type="dxa"/>
        <w:tblLook w:val="04A0" w:firstRow="1" w:lastRow="0" w:firstColumn="1" w:lastColumn="0" w:noHBand="0" w:noVBand="1"/>
      </w:tblPr>
      <w:tblGrid>
        <w:gridCol w:w="7136"/>
        <w:gridCol w:w="7176"/>
      </w:tblGrid>
      <w:tr w:rsidR="00B37265" w:rsidRPr="00400BAB" w:rsidTr="00B37265">
        <w:trPr>
          <w:cantSplit/>
          <w:tblHeader/>
        </w:trPr>
        <w:tc>
          <w:tcPr>
            <w:tcW w:w="7136" w:type="dxa"/>
          </w:tcPr>
          <w:p w:rsidR="00B37265" w:rsidRPr="00400BAB" w:rsidRDefault="00B37265" w:rsidP="00400BAB">
            <w:pPr>
              <w:pStyle w:val="a5"/>
              <w:spacing w:before="0" w:beforeAutospacing="0" w:after="0" w:afterAutospacing="0"/>
              <w:jc w:val="center"/>
              <w:rPr>
                <w:color w:val="000000" w:themeColor="text1"/>
                <w:sz w:val="32"/>
                <w:szCs w:val="32"/>
                <w:lang w:val="en-US"/>
              </w:rPr>
            </w:pPr>
            <w:r w:rsidRPr="00400BAB">
              <w:rPr>
                <w:noProof/>
                <w:color w:val="000000" w:themeColor="text1"/>
                <w:lang w:val="uk-UA" w:eastAsia="uk-UA"/>
                <w14:ligatures w14:val="standardContextual"/>
              </w:rPr>
              <w:drawing>
                <wp:inline distT="0" distB="0" distL="0" distR="0" wp14:anchorId="221DE587" wp14:editId="6FFB3505">
                  <wp:extent cx="3460381" cy="1874666"/>
                  <wp:effectExtent l="0" t="0" r="13970" b="14605"/>
                  <wp:docPr id="28934825"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D83B4681-0E76-D729-16E3-CB3D2C3BFC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B37265" w:rsidRPr="00400BAB" w:rsidRDefault="00B37265" w:rsidP="00400BAB">
            <w:pPr>
              <w:jc w:val="both"/>
              <w:rPr>
                <w:rFonts w:ascii="Times New Roman" w:hAnsi="Times New Roman"/>
                <w:b/>
                <w:bCs/>
                <w:color w:val="000000"/>
                <w:lang w:val="uk-UA"/>
              </w:rPr>
            </w:pPr>
            <w:r w:rsidRPr="00400BAB">
              <w:rPr>
                <w:rFonts w:ascii="Times New Roman" w:hAnsi="Times New Roman"/>
                <w:b/>
                <w:bCs/>
                <w:lang w:val="uk-UA"/>
              </w:rPr>
              <w:t xml:space="preserve">Рис. Д.1 </w:t>
            </w:r>
            <w:r w:rsidRPr="00400BAB">
              <w:rPr>
                <w:rFonts w:ascii="Times New Roman" w:hAnsi="Times New Roman"/>
                <w:b/>
                <w:bCs/>
                <w:color w:val="000000"/>
                <w:lang w:val="uk-UA"/>
              </w:rPr>
              <w:t>Взаємозвʼязок оборотності активів (ТАТ</w:t>
            </w:r>
            <w:r w:rsidRPr="00400BAB">
              <w:rPr>
                <w:rFonts w:ascii="Times New Roman" w:hAnsi="Times New Roman"/>
                <w:b/>
                <w:bCs/>
                <w:color w:val="000000"/>
                <w:vertAlign w:val="subscript"/>
                <w:lang w:val="en-US"/>
              </w:rPr>
              <w:t>adj</w:t>
            </w:r>
            <w:r w:rsidRPr="00400BAB">
              <w:rPr>
                <w:rFonts w:ascii="Times New Roman" w:hAnsi="Times New Roman"/>
                <w:b/>
                <w:bCs/>
                <w:color w:val="000000"/>
                <w:lang w:val="uk-UA"/>
              </w:rPr>
              <w:t xml:space="preserve">) від інвестицій в технологічний САРЕХ та ІТ й управління </w:t>
            </w:r>
            <w:r w:rsidRPr="00400BAB">
              <w:rPr>
                <w:rFonts w:ascii="Times New Roman" w:hAnsi="Times New Roman"/>
                <w:b/>
                <w:bCs/>
                <w:color w:val="000000"/>
                <w:lang w:val="en-US"/>
              </w:rPr>
              <w:t xml:space="preserve">Kernel </w:t>
            </w:r>
            <w:r w:rsidRPr="00400BAB">
              <w:rPr>
                <w:rFonts w:ascii="Times New Roman" w:hAnsi="Times New Roman"/>
                <w:b/>
                <w:bCs/>
                <w:color w:val="000000"/>
                <w:lang w:val="uk-UA"/>
              </w:rPr>
              <w:t xml:space="preserve">за </w:t>
            </w:r>
            <w:r w:rsidRPr="00400BAB">
              <w:rPr>
                <w:rFonts w:ascii="Times New Roman" w:hAnsi="Times New Roman"/>
                <w:b/>
                <w:bCs/>
                <w:color w:val="000000"/>
                <w:lang w:val="en-US"/>
              </w:rPr>
              <w:t xml:space="preserve">2021–2025 </w:t>
            </w:r>
            <w:r w:rsidRPr="00400BAB">
              <w:rPr>
                <w:rFonts w:ascii="Times New Roman" w:hAnsi="Times New Roman"/>
                <w:b/>
                <w:bCs/>
                <w:color w:val="000000"/>
              </w:rPr>
              <w:t>рр</w:t>
            </w:r>
            <w:r w:rsidRPr="00400BAB">
              <w:rPr>
                <w:rFonts w:ascii="Times New Roman" w:hAnsi="Times New Roman"/>
                <w:b/>
                <w:bCs/>
                <w:color w:val="000000"/>
                <w:lang w:val="en-US"/>
              </w:rPr>
              <w:t>.</w:t>
            </w:r>
            <w:r w:rsidRPr="00400BAB">
              <w:rPr>
                <w:rFonts w:ascii="Times New Roman" w:hAnsi="Times New Roman"/>
                <w:b/>
                <w:bCs/>
                <w:color w:val="000000"/>
                <w:lang w:val="uk-UA"/>
              </w:rPr>
              <w:t xml:space="preserve"> </w:t>
            </w:r>
            <w:r w:rsidRPr="00400BAB">
              <w:rPr>
                <w:rFonts w:ascii="Times New Roman" w:hAnsi="Times New Roman"/>
                <w:color w:val="000000"/>
                <w:lang w:val="uk-UA"/>
              </w:rPr>
              <w:t>Джерело: обраховано автором за даними підприємств</w:t>
            </w:r>
          </w:p>
        </w:tc>
        <w:tc>
          <w:tcPr>
            <w:tcW w:w="7176" w:type="dxa"/>
          </w:tcPr>
          <w:p w:rsidR="00B37265" w:rsidRPr="00400BAB" w:rsidRDefault="00B37265" w:rsidP="00400BAB">
            <w:pPr>
              <w:pStyle w:val="a5"/>
              <w:spacing w:before="0" w:beforeAutospacing="0" w:after="0" w:afterAutospacing="0"/>
              <w:jc w:val="center"/>
              <w:rPr>
                <w:sz w:val="32"/>
                <w:szCs w:val="32"/>
                <w:lang w:val="uk-UA"/>
              </w:rPr>
            </w:pPr>
            <w:r w:rsidRPr="00400BAB">
              <w:rPr>
                <w:noProof/>
                <w:lang w:val="uk-UA" w:eastAsia="uk-UA"/>
                <w14:ligatures w14:val="standardContextual"/>
              </w:rPr>
              <w:drawing>
                <wp:inline distT="0" distB="0" distL="0" distR="0" wp14:anchorId="132DFDE0" wp14:editId="667133FE">
                  <wp:extent cx="3546601" cy="1875103"/>
                  <wp:effectExtent l="0" t="0" r="6985" b="14605"/>
                  <wp:docPr id="1694650519"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A9107B3A-ADF6-FF3F-C990-4CE87EA134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B37265" w:rsidRPr="00400BAB" w:rsidRDefault="00B37265" w:rsidP="00400BAB">
            <w:pPr>
              <w:jc w:val="both"/>
              <w:rPr>
                <w:rFonts w:ascii="Times New Roman" w:hAnsi="Times New Roman"/>
                <w:b/>
                <w:bCs/>
                <w:color w:val="000000"/>
                <w:lang w:val="uk-UA"/>
              </w:rPr>
            </w:pPr>
            <w:r w:rsidRPr="00400BAB">
              <w:rPr>
                <w:rFonts w:ascii="Times New Roman" w:hAnsi="Times New Roman"/>
                <w:b/>
                <w:bCs/>
                <w:lang w:val="uk-UA"/>
              </w:rPr>
              <w:t xml:space="preserve">Рис. Д.2 </w:t>
            </w:r>
            <w:r w:rsidRPr="00400BAB">
              <w:rPr>
                <w:rFonts w:ascii="Times New Roman" w:hAnsi="Times New Roman"/>
                <w:b/>
                <w:bCs/>
                <w:color w:val="000000"/>
                <w:lang w:val="uk-UA"/>
              </w:rPr>
              <w:t>Взаємозвʼязок оборотності активів (ТАТ</w:t>
            </w:r>
            <w:r w:rsidRPr="00400BAB">
              <w:rPr>
                <w:rFonts w:ascii="Times New Roman" w:hAnsi="Times New Roman"/>
                <w:b/>
                <w:bCs/>
                <w:color w:val="000000"/>
                <w:vertAlign w:val="subscript"/>
                <w:lang w:val="en-US"/>
              </w:rPr>
              <w:t>adj</w:t>
            </w:r>
            <w:r w:rsidRPr="00400BAB">
              <w:rPr>
                <w:rFonts w:ascii="Times New Roman" w:hAnsi="Times New Roman"/>
                <w:b/>
                <w:bCs/>
                <w:color w:val="000000"/>
                <w:lang w:val="uk-UA"/>
              </w:rPr>
              <w:t>) від інвестицій в технологічний САРЕХ та ІТ й управління МХП</w:t>
            </w:r>
            <w:r w:rsidRPr="00400BAB">
              <w:rPr>
                <w:rFonts w:ascii="Times New Roman" w:hAnsi="Times New Roman"/>
                <w:b/>
                <w:bCs/>
                <w:color w:val="000000"/>
              </w:rPr>
              <w:t xml:space="preserve"> </w:t>
            </w:r>
            <w:r w:rsidRPr="00400BAB">
              <w:rPr>
                <w:rFonts w:ascii="Times New Roman" w:hAnsi="Times New Roman"/>
                <w:b/>
                <w:bCs/>
                <w:color w:val="000000"/>
                <w:lang w:val="uk-UA"/>
              </w:rPr>
              <w:t xml:space="preserve">за </w:t>
            </w:r>
            <w:r w:rsidRPr="00400BAB">
              <w:rPr>
                <w:rFonts w:ascii="Times New Roman" w:hAnsi="Times New Roman"/>
                <w:b/>
                <w:bCs/>
                <w:color w:val="000000"/>
              </w:rPr>
              <w:t>2021–2025 рр.</w:t>
            </w:r>
            <w:r w:rsidRPr="00400BAB">
              <w:rPr>
                <w:rFonts w:ascii="Times New Roman" w:hAnsi="Times New Roman"/>
                <w:color w:val="000000"/>
                <w:lang w:val="uk-UA"/>
              </w:rPr>
              <w:t>Джерело: обраховано автором за даними підприємств</w:t>
            </w:r>
          </w:p>
        </w:tc>
      </w:tr>
      <w:tr w:rsidR="00B37265" w:rsidRPr="00400BAB" w:rsidTr="00B37265">
        <w:trPr>
          <w:cantSplit/>
        </w:trPr>
        <w:tc>
          <w:tcPr>
            <w:tcW w:w="14312" w:type="dxa"/>
            <w:gridSpan w:val="2"/>
          </w:tcPr>
          <w:p w:rsidR="00B37265" w:rsidRPr="00400BAB" w:rsidRDefault="00B37265" w:rsidP="00400BAB">
            <w:pPr>
              <w:pStyle w:val="a5"/>
              <w:spacing w:before="0" w:beforeAutospacing="0" w:after="0" w:afterAutospacing="0"/>
              <w:jc w:val="center"/>
              <w:rPr>
                <w:sz w:val="32"/>
                <w:szCs w:val="32"/>
                <w:lang w:val="uk-UA"/>
              </w:rPr>
            </w:pPr>
            <w:r w:rsidRPr="00400BAB">
              <w:rPr>
                <w:noProof/>
                <w:lang w:val="uk-UA" w:eastAsia="uk-UA"/>
                <w14:ligatures w14:val="standardContextual"/>
              </w:rPr>
              <w:drawing>
                <wp:inline distT="0" distB="0" distL="0" distR="0" wp14:anchorId="1FE48B44" wp14:editId="1DBF6A13">
                  <wp:extent cx="3611880" cy="1775200"/>
                  <wp:effectExtent l="0" t="0" r="12700" b="13970"/>
                  <wp:docPr id="1879832435" name="Диаграмма 1">
                    <a:extLst xmlns:a="http://schemas.openxmlformats.org/drawingml/2006/main">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http://schemas.microsoft.com/office/drawing/2014/chartex" xmlns="" id="{A7FD270E-DC5F-DAB0-0627-32DF44573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37265" w:rsidRPr="00400BAB" w:rsidRDefault="00B37265" w:rsidP="00400BAB">
            <w:pPr>
              <w:jc w:val="both"/>
              <w:rPr>
                <w:rFonts w:ascii="Times New Roman" w:hAnsi="Times New Roman"/>
                <w:b/>
                <w:bCs/>
                <w:color w:val="000000"/>
                <w:lang w:val="uk-UA"/>
              </w:rPr>
            </w:pPr>
            <w:r w:rsidRPr="00400BAB">
              <w:rPr>
                <w:rFonts w:ascii="Times New Roman" w:hAnsi="Times New Roman"/>
                <w:b/>
                <w:bCs/>
                <w:lang w:val="uk-UA"/>
              </w:rPr>
              <w:t xml:space="preserve">Рис. Д.3 </w:t>
            </w:r>
            <w:r w:rsidRPr="00400BAB">
              <w:rPr>
                <w:rFonts w:ascii="Times New Roman" w:hAnsi="Times New Roman"/>
                <w:b/>
                <w:bCs/>
                <w:color w:val="000000"/>
                <w:lang w:val="uk-UA"/>
              </w:rPr>
              <w:t>Взаємозвʼязок оборотності активів (ТАТ</w:t>
            </w:r>
            <w:r w:rsidRPr="00400BAB">
              <w:rPr>
                <w:rFonts w:ascii="Times New Roman" w:hAnsi="Times New Roman"/>
                <w:b/>
                <w:bCs/>
                <w:color w:val="000000"/>
                <w:vertAlign w:val="subscript"/>
                <w:lang w:val="en-US"/>
              </w:rPr>
              <w:t>adj</w:t>
            </w:r>
            <w:r w:rsidRPr="00400BAB">
              <w:rPr>
                <w:rFonts w:ascii="Times New Roman" w:hAnsi="Times New Roman"/>
                <w:b/>
                <w:bCs/>
                <w:color w:val="000000"/>
                <w:lang w:val="uk-UA"/>
              </w:rPr>
              <w:t xml:space="preserve">) від інвестицій в технологічний САРЕХ та ІТ й управління </w:t>
            </w:r>
            <w:r w:rsidRPr="00400BAB">
              <w:rPr>
                <w:rFonts w:ascii="Times New Roman" w:hAnsi="Times New Roman"/>
                <w:b/>
                <w:bCs/>
                <w:color w:val="000000"/>
              </w:rPr>
              <w:t>Astsrta</w:t>
            </w:r>
            <w:r w:rsidRPr="00400BAB">
              <w:rPr>
                <w:rFonts w:ascii="Times New Roman" w:hAnsi="Times New Roman"/>
                <w:b/>
                <w:bCs/>
                <w:color w:val="000000"/>
                <w:lang w:val="uk-UA"/>
              </w:rPr>
              <w:t>-</w:t>
            </w:r>
            <w:r w:rsidRPr="00400BAB">
              <w:rPr>
                <w:rFonts w:ascii="Times New Roman" w:hAnsi="Times New Roman"/>
                <w:b/>
                <w:bCs/>
                <w:color w:val="000000"/>
              </w:rPr>
              <w:t>Kyiv</w:t>
            </w:r>
            <w:r w:rsidRPr="00400BAB">
              <w:rPr>
                <w:rFonts w:ascii="Times New Roman" w:hAnsi="Times New Roman"/>
                <w:b/>
                <w:bCs/>
                <w:color w:val="000000"/>
                <w:lang w:val="uk-UA"/>
              </w:rPr>
              <w:t xml:space="preserve"> за 2021–2025 рр. </w:t>
            </w:r>
            <w:r w:rsidRPr="00400BAB">
              <w:rPr>
                <w:rFonts w:ascii="Times New Roman" w:hAnsi="Times New Roman"/>
                <w:color w:val="000000"/>
                <w:lang w:val="uk-UA"/>
              </w:rPr>
              <w:t>Джерело: обраховано автором за даними підприємств</w:t>
            </w:r>
          </w:p>
        </w:tc>
      </w:tr>
    </w:tbl>
    <w:p w:rsidR="00435FDC" w:rsidRDefault="00EB5B4E">
      <w:pPr>
        <w:keepNext/>
        <w:pageBreakBefore/>
        <w:jc w:val="center"/>
      </w:pPr>
      <w:r>
        <w:rPr>
          <w:rFonts w:ascii="Times New Roman" w:eastAsia="Times New Roman" w:hAnsi="Times New Roman"/>
          <w:b/>
          <w:sz w:val="28"/>
        </w:rPr>
        <w:lastRenderedPageBreak/>
        <w:t>ДОДАТОК Е</w:t>
      </w:r>
    </w:p>
    <w:p w:rsidR="00435FDC" w:rsidRDefault="00EB5B4E">
      <w:pPr>
        <w:keepNext/>
        <w:jc w:val="center"/>
      </w:pPr>
      <w:r>
        <w:rPr>
          <w:rFonts w:ascii="Times New Roman" w:eastAsia="Times New Roman" w:hAnsi="Times New Roman"/>
          <w:sz w:val="28"/>
        </w:rPr>
        <w:t>Структурно-функціональна модель економічного механізму</w:t>
      </w:r>
    </w:p>
    <w:p w:rsidR="00BE5A3A" w:rsidRDefault="00B37265" w:rsidP="00B37265">
      <w:pPr>
        <w:spacing w:line="360" w:lineRule="auto"/>
        <w:jc w:val="center"/>
        <w:rPr>
          <w:rFonts w:ascii="Times New Roman" w:hAnsi="Times New Roman"/>
          <w:b/>
          <w:bCs/>
          <w:sz w:val="28"/>
          <w:szCs w:val="28"/>
          <w:lang w:val="uk-UA"/>
        </w:rPr>
      </w:pPr>
      <w:r w:rsidRPr="00244CD4">
        <w:rPr>
          <w:noProof/>
          <w:sz w:val="28"/>
          <w:szCs w:val="28"/>
          <w:lang w:val="uk-UA" w:eastAsia="uk-UA"/>
        </w:rPr>
        <w:drawing>
          <wp:inline distT="0" distB="0" distL="0" distR="0" wp14:anchorId="51578F4E" wp14:editId="272189C4">
            <wp:extent cx="6819931" cy="3996122"/>
            <wp:effectExtent l="0" t="0" r="3175" b="0"/>
            <wp:docPr id="1749411431" name="Рисунок 1" descr="Изображение выглядит как текст, диаграмма, зарисовка, черно-белый&#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1431" name="Рисунок 1" descr="Изображение выглядит как текст, диаграмма, зарисовка, черно-белый&#10;&#10;Содержимое, созданное искусственным интеллектом, может быть неверным."/>
                    <pic:cNvPicPr/>
                  </pic:nvPicPr>
                  <pic:blipFill>
                    <a:blip r:embed="rId60"/>
                    <a:stretch>
                      <a:fillRect/>
                    </a:stretch>
                  </pic:blipFill>
                  <pic:spPr>
                    <a:xfrm>
                      <a:off x="0" y="0"/>
                      <a:ext cx="8674812" cy="5082985"/>
                    </a:xfrm>
                    <a:prstGeom prst="rect">
                      <a:avLst/>
                    </a:prstGeom>
                  </pic:spPr>
                </pic:pic>
              </a:graphicData>
            </a:graphic>
          </wp:inline>
        </w:drawing>
      </w:r>
    </w:p>
    <w:p w:rsidR="00B37265" w:rsidRPr="009D5DD0" w:rsidRDefault="00B37265" w:rsidP="00B37265">
      <w:pPr>
        <w:spacing w:line="360" w:lineRule="auto"/>
        <w:jc w:val="center"/>
        <w:rPr>
          <w:rFonts w:ascii="Times New Roman" w:hAnsi="Times New Roman"/>
          <w:sz w:val="28"/>
          <w:szCs w:val="28"/>
          <w:lang w:val="uk-UA"/>
        </w:rPr>
      </w:pPr>
      <w:r w:rsidRPr="009D5DD0">
        <w:rPr>
          <w:rFonts w:ascii="Times New Roman" w:hAnsi="Times New Roman"/>
          <w:b/>
          <w:bCs/>
          <w:sz w:val="28"/>
          <w:szCs w:val="28"/>
          <w:lang w:val="uk-UA"/>
        </w:rPr>
        <w:t>Рис. Е.1 Структурно – функціональна модель економічного механізму розвитку інвестиційної привабливості сільськогосподарських підприємств</w:t>
      </w:r>
      <w:r w:rsidRPr="009D5DD0">
        <w:rPr>
          <w:rFonts w:ascii="Times New Roman" w:hAnsi="Times New Roman"/>
          <w:sz w:val="28"/>
          <w:szCs w:val="28"/>
          <w:lang w:val="uk-UA"/>
        </w:rPr>
        <w:t xml:space="preserve"> </w:t>
      </w:r>
      <w:r w:rsidRPr="009D5DD0">
        <w:rPr>
          <w:rFonts w:ascii="Times New Roman" w:hAnsi="Times New Roman"/>
          <w:i/>
          <w:iCs/>
          <w:lang w:val="uk-UA"/>
        </w:rPr>
        <w:t>Джерело: розробка автора</w:t>
      </w:r>
    </w:p>
    <w:p w:rsidR="00435FDC" w:rsidRDefault="00EB5B4E">
      <w:pPr>
        <w:keepNext/>
        <w:pageBreakBefore/>
        <w:jc w:val="center"/>
      </w:pPr>
      <w:r>
        <w:rPr>
          <w:rFonts w:ascii="Times New Roman" w:eastAsia="Times New Roman" w:hAnsi="Times New Roman"/>
          <w:b/>
          <w:sz w:val="28"/>
        </w:rPr>
        <w:lastRenderedPageBreak/>
        <w:t>ДОДАТОК Ж</w:t>
      </w:r>
    </w:p>
    <w:p w:rsidR="00435FDC" w:rsidRDefault="00EB5B4E">
      <w:pPr>
        <w:keepNext/>
        <w:jc w:val="center"/>
      </w:pPr>
      <w:r>
        <w:rPr>
          <w:rFonts w:ascii="Times New Roman" w:eastAsia="Times New Roman" w:hAnsi="Times New Roman"/>
          <w:sz w:val="28"/>
        </w:rPr>
        <w:t>Алгоритм упровадження економічного механізму</w:t>
      </w:r>
    </w:p>
    <w:p w:rsidR="00B37265" w:rsidRDefault="00B37265" w:rsidP="00B37265">
      <w:pPr>
        <w:pStyle w:val="a5"/>
        <w:spacing w:before="0" w:beforeAutospacing="0" w:after="0" w:afterAutospacing="0" w:line="360" w:lineRule="auto"/>
        <w:jc w:val="center"/>
        <w:rPr>
          <w:color w:val="000000"/>
          <w:sz w:val="28"/>
          <w:szCs w:val="28"/>
          <w:lang w:val="uk-UA"/>
        </w:rPr>
      </w:pPr>
      <w:r w:rsidRPr="003E0EA6">
        <w:rPr>
          <w:noProof/>
          <w:color w:val="000000"/>
          <w:sz w:val="28"/>
          <w:szCs w:val="28"/>
          <w:lang w:val="uk-UA" w:eastAsia="uk-UA"/>
        </w:rPr>
        <w:drawing>
          <wp:inline distT="0" distB="0" distL="0" distR="0" wp14:anchorId="431098B2" wp14:editId="6EBEC89E">
            <wp:extent cx="6982821" cy="4065464"/>
            <wp:effectExtent l="0" t="0" r="635" b="0"/>
            <wp:docPr id="424605251" name="Рисунок 1" descr="Изображение выглядит как текст, чек, диаграмма, Шрифт&#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05251" name="Рисунок 1" descr="Изображение выглядит как текст, чек, диаграмма, Шрифт&#10;&#10;Содержимое, созданное искусственным интеллектом, может быть неверным."/>
                    <pic:cNvPicPr/>
                  </pic:nvPicPr>
                  <pic:blipFill>
                    <a:blip r:embed="rId61"/>
                    <a:stretch>
                      <a:fillRect/>
                    </a:stretch>
                  </pic:blipFill>
                  <pic:spPr>
                    <a:xfrm>
                      <a:off x="0" y="0"/>
                      <a:ext cx="8862543" cy="5159857"/>
                    </a:xfrm>
                    <a:prstGeom prst="rect">
                      <a:avLst/>
                    </a:prstGeom>
                  </pic:spPr>
                </pic:pic>
              </a:graphicData>
            </a:graphic>
          </wp:inline>
        </w:drawing>
      </w:r>
    </w:p>
    <w:p w:rsidR="00B37265" w:rsidRPr="003E0EA6" w:rsidRDefault="00B37265" w:rsidP="00B37265">
      <w:pPr>
        <w:pStyle w:val="a5"/>
        <w:spacing w:before="0" w:beforeAutospacing="0" w:after="0" w:afterAutospacing="0"/>
        <w:ind w:firstLine="709"/>
        <w:jc w:val="both"/>
        <w:rPr>
          <w:i/>
          <w:iCs/>
          <w:color w:val="000000"/>
          <w:lang w:val="uk-UA"/>
        </w:rPr>
      </w:pPr>
      <w:r>
        <w:rPr>
          <w:b/>
          <w:bCs/>
          <w:color w:val="000000"/>
          <w:sz w:val="28"/>
          <w:szCs w:val="28"/>
          <w:lang w:val="uk-UA"/>
        </w:rPr>
        <w:t xml:space="preserve">Рис. Ж.1 Алгоритм впровадження економічного механізму інвестиційної привабливості сільськогосподарського підприємства. </w:t>
      </w:r>
      <w:r>
        <w:rPr>
          <w:i/>
          <w:iCs/>
          <w:color w:val="000000"/>
          <w:lang w:val="uk-UA"/>
        </w:rPr>
        <w:t>Джерело: розробка автора</w:t>
      </w:r>
    </w:p>
    <w:p w:rsidR="00435FDC" w:rsidRDefault="00EB5B4E">
      <w:pPr>
        <w:keepNext/>
        <w:pageBreakBefore/>
        <w:jc w:val="center"/>
      </w:pPr>
      <w:r>
        <w:rPr>
          <w:rFonts w:ascii="Times New Roman" w:eastAsia="Times New Roman" w:hAnsi="Times New Roman"/>
          <w:b/>
          <w:sz w:val="28"/>
        </w:rPr>
        <w:lastRenderedPageBreak/>
        <w:t>ДОДАТОК К</w:t>
      </w:r>
    </w:p>
    <w:p w:rsidR="00435FDC" w:rsidRDefault="00EB5B4E">
      <w:pPr>
        <w:keepNext/>
        <w:jc w:val="center"/>
      </w:pPr>
      <w:r>
        <w:rPr>
          <w:rFonts w:ascii="Times New Roman" w:eastAsia="Times New Roman" w:hAnsi="Times New Roman"/>
          <w:sz w:val="28"/>
        </w:rPr>
        <w:t>Стратегічна матриця позиціонування інвестиційної привабливості</w:t>
      </w:r>
    </w:p>
    <w:p w:rsidR="00B37265" w:rsidRDefault="00B37265" w:rsidP="00B37265">
      <w:pPr>
        <w:pStyle w:val="a5"/>
        <w:spacing w:before="0" w:beforeAutospacing="0" w:after="0" w:afterAutospacing="0" w:line="360" w:lineRule="auto"/>
        <w:jc w:val="center"/>
        <w:rPr>
          <w:color w:val="000000"/>
          <w:sz w:val="28"/>
          <w:szCs w:val="28"/>
          <w:lang w:val="uk-UA"/>
        </w:rPr>
      </w:pPr>
      <w:r w:rsidRPr="00871F07">
        <w:rPr>
          <w:noProof/>
          <w:color w:val="000000"/>
          <w:sz w:val="28"/>
          <w:szCs w:val="28"/>
          <w:lang w:val="uk-UA" w:eastAsia="uk-UA"/>
        </w:rPr>
        <w:drawing>
          <wp:inline distT="0" distB="0" distL="0" distR="0" wp14:anchorId="2938F6D9" wp14:editId="09629A95">
            <wp:extent cx="7002030" cy="4065464"/>
            <wp:effectExtent l="0" t="0" r="1270" b="0"/>
            <wp:docPr id="773373431" name="Рисунок 1" descr="Изображение выглядит как текст, чек, документ, Шрифт&#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73431" name="Рисунок 1" descr="Изображение выглядит как текст, чек, документ, Шрифт&#10;&#10;Содержимое, созданное искусственным интеллектом, может быть неверным."/>
                    <pic:cNvPicPr/>
                  </pic:nvPicPr>
                  <pic:blipFill>
                    <a:blip r:embed="rId62"/>
                    <a:stretch>
                      <a:fillRect/>
                    </a:stretch>
                  </pic:blipFill>
                  <pic:spPr>
                    <a:xfrm>
                      <a:off x="0" y="0"/>
                      <a:ext cx="8877693" cy="5154497"/>
                    </a:xfrm>
                    <a:prstGeom prst="rect">
                      <a:avLst/>
                    </a:prstGeom>
                  </pic:spPr>
                </pic:pic>
              </a:graphicData>
            </a:graphic>
          </wp:inline>
        </w:drawing>
      </w:r>
    </w:p>
    <w:p w:rsidR="00B37265" w:rsidRPr="009535B4" w:rsidRDefault="00B37265" w:rsidP="00B37265">
      <w:pPr>
        <w:pStyle w:val="a5"/>
        <w:spacing w:before="0" w:beforeAutospacing="0" w:after="0" w:afterAutospacing="0" w:line="360" w:lineRule="auto"/>
        <w:ind w:firstLine="709"/>
        <w:jc w:val="both"/>
        <w:rPr>
          <w:b/>
          <w:bCs/>
          <w:color w:val="000000"/>
          <w:sz w:val="28"/>
          <w:szCs w:val="28"/>
          <w:lang w:val="uk-UA"/>
        </w:rPr>
      </w:pPr>
      <w:r>
        <w:rPr>
          <w:b/>
          <w:bCs/>
          <w:color w:val="000000"/>
          <w:sz w:val="28"/>
          <w:szCs w:val="28"/>
          <w:lang w:val="uk-UA"/>
        </w:rPr>
        <w:t>Рис. К.1 Стратегічна матриця позиціонування інвестиційної привабливості підприємств</w:t>
      </w:r>
    </w:p>
    <w:p w:rsidR="00B37265" w:rsidRPr="00871F07" w:rsidRDefault="00B37265" w:rsidP="00B37265">
      <w:pPr>
        <w:pStyle w:val="a5"/>
        <w:spacing w:before="0" w:beforeAutospacing="0" w:after="0" w:afterAutospacing="0" w:line="360" w:lineRule="auto"/>
        <w:ind w:firstLine="709"/>
        <w:jc w:val="both"/>
        <w:rPr>
          <w:i/>
          <w:iCs/>
          <w:color w:val="000000"/>
          <w:lang w:val="uk-UA"/>
        </w:rPr>
      </w:pPr>
      <w:r>
        <w:rPr>
          <w:i/>
          <w:iCs/>
          <w:color w:val="000000"/>
          <w:lang w:val="uk-UA"/>
        </w:rPr>
        <w:t>Джерело: розробка автора</w:t>
      </w:r>
    </w:p>
    <w:p w:rsidR="00435FDC" w:rsidRDefault="00EB5B4E">
      <w:pPr>
        <w:keepNext/>
        <w:pageBreakBefore/>
        <w:jc w:val="center"/>
      </w:pPr>
      <w:r>
        <w:rPr>
          <w:rFonts w:ascii="Times New Roman" w:eastAsia="Times New Roman" w:hAnsi="Times New Roman"/>
          <w:b/>
          <w:sz w:val="28"/>
        </w:rPr>
        <w:lastRenderedPageBreak/>
        <w:t>ДОДАТОК Л</w:t>
      </w:r>
    </w:p>
    <w:p w:rsidR="00435FDC" w:rsidRDefault="00EB5B4E">
      <w:pPr>
        <w:keepNext/>
        <w:jc w:val="center"/>
      </w:pPr>
      <w:r>
        <w:rPr>
          <w:rFonts w:ascii="Times New Roman" w:eastAsia="Times New Roman" w:hAnsi="Times New Roman"/>
          <w:sz w:val="28"/>
        </w:rPr>
        <w:t>Алгоритм визначення позиції підприємства в стратегічній матриці</w:t>
      </w:r>
    </w:p>
    <w:p w:rsidR="00D638FA" w:rsidRDefault="00B37265" w:rsidP="00212E70">
      <w:pPr>
        <w:spacing w:after="0" w:line="360" w:lineRule="auto"/>
        <w:jc w:val="center"/>
        <w:rPr>
          <w:rFonts w:ascii="Times New Roman" w:eastAsiaTheme="minorEastAsia" w:hAnsi="Times New Roman"/>
          <w:b/>
          <w:bCs/>
          <w:sz w:val="28"/>
          <w:szCs w:val="28"/>
          <w:lang w:val="uk-UA"/>
        </w:rPr>
      </w:pPr>
      <w:r w:rsidRPr="00430DF2">
        <w:rPr>
          <w:rFonts w:eastAsiaTheme="minorEastAsia"/>
          <w:noProof/>
          <w:sz w:val="28"/>
          <w:szCs w:val="28"/>
          <w:lang w:val="uk-UA" w:eastAsia="uk-UA"/>
        </w:rPr>
        <w:drawing>
          <wp:inline distT="0" distB="0" distL="0" distR="0" wp14:anchorId="5E5A216B" wp14:editId="42C0E794">
            <wp:extent cx="6753375" cy="4037607"/>
            <wp:effectExtent l="0" t="0" r="0" b="0"/>
            <wp:docPr id="179493684" name="Рисунок 1" descr="Изображение выглядит как текст, чек, снимок экрана, Шрифт&#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3684" name="Рисунок 1" descr="Изображение выглядит как текст, чек, снимок экрана, Шрифт&#10;&#10;Содержимое, созданное искусственным интеллектом, может быть неверным."/>
                    <pic:cNvPicPr/>
                  </pic:nvPicPr>
                  <pic:blipFill>
                    <a:blip r:embed="rId63"/>
                    <a:stretch>
                      <a:fillRect/>
                    </a:stretch>
                  </pic:blipFill>
                  <pic:spPr>
                    <a:xfrm>
                      <a:off x="0" y="0"/>
                      <a:ext cx="8599946" cy="5141606"/>
                    </a:xfrm>
                    <a:prstGeom prst="rect">
                      <a:avLst/>
                    </a:prstGeom>
                  </pic:spPr>
                </pic:pic>
              </a:graphicData>
            </a:graphic>
          </wp:inline>
        </w:drawing>
      </w:r>
    </w:p>
    <w:p w:rsidR="00212E70" w:rsidRDefault="00B37265" w:rsidP="00212E70">
      <w:pPr>
        <w:spacing w:after="0" w:line="360" w:lineRule="auto"/>
        <w:jc w:val="center"/>
        <w:rPr>
          <w:rFonts w:ascii="Times New Roman" w:eastAsiaTheme="minorEastAsia" w:hAnsi="Times New Roman"/>
          <w:b/>
          <w:bCs/>
          <w:sz w:val="28"/>
          <w:szCs w:val="28"/>
          <w:lang w:val="uk-UA"/>
        </w:rPr>
      </w:pPr>
      <w:r w:rsidRPr="005C38DA">
        <w:rPr>
          <w:rFonts w:ascii="Times New Roman" w:eastAsiaTheme="minorEastAsia" w:hAnsi="Times New Roman"/>
          <w:b/>
          <w:bCs/>
          <w:sz w:val="28"/>
          <w:szCs w:val="28"/>
          <w:lang w:val="uk-UA"/>
        </w:rPr>
        <w:t>Рис. Л.1Алгоритм визначення позиції підприємства в стратегічній матриці інвестиційної привабливості.</w:t>
      </w:r>
    </w:p>
    <w:p w:rsidR="00B37265" w:rsidRPr="005C38DA" w:rsidRDefault="00B37265" w:rsidP="00212E70">
      <w:pPr>
        <w:spacing w:after="0" w:line="360" w:lineRule="auto"/>
        <w:jc w:val="center"/>
        <w:rPr>
          <w:rFonts w:ascii="Times New Roman" w:eastAsiaTheme="minorEastAsia" w:hAnsi="Times New Roman"/>
          <w:i/>
          <w:iCs/>
          <w:lang w:val="uk-UA"/>
        </w:rPr>
      </w:pPr>
      <w:r w:rsidRPr="005C38DA">
        <w:rPr>
          <w:rFonts w:ascii="Times New Roman" w:eastAsiaTheme="minorEastAsia" w:hAnsi="Times New Roman"/>
          <w:i/>
          <w:iCs/>
          <w:lang w:val="uk-UA"/>
        </w:rPr>
        <w:t>Джерело: розробка автора</w:t>
      </w:r>
    </w:p>
    <w:p w:rsidR="00435FDC" w:rsidRDefault="00EB5B4E">
      <w:pPr>
        <w:keepNext/>
        <w:pageBreakBefore/>
        <w:jc w:val="center"/>
      </w:pPr>
      <w:r>
        <w:rPr>
          <w:rFonts w:ascii="Times New Roman" w:eastAsia="Times New Roman" w:hAnsi="Times New Roman"/>
          <w:b/>
          <w:sz w:val="28"/>
        </w:rPr>
        <w:lastRenderedPageBreak/>
        <w:t>ДОДАТОК М</w:t>
      </w:r>
    </w:p>
    <w:p w:rsidR="00435FDC" w:rsidRDefault="00EB5B4E">
      <w:pPr>
        <w:keepNext/>
        <w:jc w:val="center"/>
      </w:pPr>
      <w:r>
        <w:rPr>
          <w:rFonts w:ascii="Times New Roman" w:eastAsia="Times New Roman" w:hAnsi="Times New Roman"/>
          <w:sz w:val="28"/>
        </w:rPr>
        <w:t>Стратегічні матриці позиціонування аграрних підприємств</w:t>
      </w:r>
    </w:p>
    <w:p w:rsidR="00B37265" w:rsidRDefault="00B37265" w:rsidP="00B37265">
      <w:pPr>
        <w:pStyle w:val="a6"/>
        <w:spacing w:after="0" w:line="360" w:lineRule="auto"/>
        <w:ind w:left="0"/>
        <w:jc w:val="center"/>
        <w:rPr>
          <w:rFonts w:ascii="Times New Roman" w:eastAsiaTheme="minorEastAsia" w:hAnsi="Times New Roman"/>
          <w:sz w:val="28"/>
          <w:szCs w:val="28"/>
          <w:lang w:val="uk-UA"/>
        </w:rPr>
      </w:pPr>
      <w:r w:rsidRPr="0045536A">
        <w:rPr>
          <w:rFonts w:ascii="Times New Roman" w:eastAsiaTheme="minorEastAsia" w:hAnsi="Times New Roman"/>
          <w:noProof/>
          <w:sz w:val="28"/>
          <w:szCs w:val="28"/>
          <w:lang w:val="uk-UA" w:eastAsia="uk-UA"/>
        </w:rPr>
        <w:drawing>
          <wp:inline distT="0" distB="0" distL="0" distR="0" wp14:anchorId="6DF9CC61" wp14:editId="2322908A">
            <wp:extent cx="7002030" cy="3998267"/>
            <wp:effectExtent l="0" t="0" r="1270" b="6350"/>
            <wp:docPr id="1550736770" name="Рисунок 1" descr="Изображение выглядит как текст, диаграмма, линия, число&#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36770" name="Рисунок 1" descr="Изображение выглядит как текст, диаграмма, линия, число&#10;&#10;Содержимое, созданное искусственным интеллектом, может быть неверным."/>
                    <pic:cNvPicPr/>
                  </pic:nvPicPr>
                  <pic:blipFill>
                    <a:blip r:embed="rId64"/>
                    <a:stretch>
                      <a:fillRect/>
                    </a:stretch>
                  </pic:blipFill>
                  <pic:spPr>
                    <a:xfrm>
                      <a:off x="0" y="0"/>
                      <a:ext cx="8876136" cy="5068410"/>
                    </a:xfrm>
                    <a:prstGeom prst="rect">
                      <a:avLst/>
                    </a:prstGeom>
                  </pic:spPr>
                </pic:pic>
              </a:graphicData>
            </a:graphic>
          </wp:inline>
        </w:drawing>
      </w:r>
    </w:p>
    <w:p w:rsidR="00B37265" w:rsidRPr="0045536A" w:rsidRDefault="00B37265" w:rsidP="00B37265">
      <w:pPr>
        <w:pStyle w:val="a6"/>
        <w:spacing w:after="0" w:line="360" w:lineRule="auto"/>
        <w:ind w:left="0" w:firstLine="709"/>
        <w:jc w:val="both"/>
        <w:rPr>
          <w:rFonts w:ascii="Times New Roman" w:hAnsi="Times New Roman"/>
          <w:b/>
          <w:bCs/>
          <w:color w:val="000000"/>
          <w:sz w:val="28"/>
          <w:szCs w:val="28"/>
          <w:lang w:val="uk-UA"/>
        </w:rPr>
      </w:pPr>
      <w:r>
        <w:rPr>
          <w:rFonts w:ascii="Times New Roman" w:eastAsiaTheme="minorEastAsia" w:hAnsi="Times New Roman"/>
          <w:b/>
          <w:bCs/>
          <w:sz w:val="28"/>
          <w:szCs w:val="28"/>
          <w:lang w:val="uk-UA"/>
        </w:rPr>
        <w:t xml:space="preserve">Рис. М.1 Стратегічна матриця позиціонування інвестиційної привабливості </w:t>
      </w:r>
      <w:r w:rsidRPr="00DB08D6">
        <w:rPr>
          <w:rFonts w:ascii="Times New Roman" w:hAnsi="Times New Roman"/>
          <w:b/>
          <w:bCs/>
          <w:color w:val="000000"/>
          <w:sz w:val="28"/>
          <w:szCs w:val="28"/>
        </w:rPr>
        <w:t>Kernel</w:t>
      </w:r>
      <w:r w:rsidRPr="00B37265">
        <w:rPr>
          <w:rFonts w:ascii="Times New Roman" w:hAnsi="Times New Roman"/>
          <w:b/>
          <w:bCs/>
          <w:color w:val="000000"/>
          <w:sz w:val="28"/>
          <w:szCs w:val="28"/>
          <w:lang w:val="uk-UA"/>
        </w:rPr>
        <w:t>,</w:t>
      </w:r>
      <w:r w:rsidRPr="00DB08D6">
        <w:rPr>
          <w:rFonts w:ascii="Times New Roman" w:hAnsi="Times New Roman"/>
          <w:b/>
          <w:bCs/>
          <w:color w:val="000000"/>
          <w:sz w:val="28"/>
          <w:szCs w:val="28"/>
          <w:lang w:val="uk-UA"/>
        </w:rPr>
        <w:t xml:space="preserve"> МХП</w:t>
      </w:r>
      <w:r w:rsidRPr="00B37265">
        <w:rPr>
          <w:rFonts w:ascii="Times New Roman" w:hAnsi="Times New Roman"/>
          <w:b/>
          <w:bCs/>
          <w:color w:val="000000"/>
          <w:sz w:val="28"/>
          <w:szCs w:val="28"/>
          <w:lang w:val="uk-UA"/>
        </w:rPr>
        <w:t xml:space="preserve"> </w:t>
      </w:r>
      <w:r w:rsidRPr="00DB08D6">
        <w:rPr>
          <w:rFonts w:ascii="Times New Roman" w:hAnsi="Times New Roman"/>
          <w:b/>
          <w:bCs/>
          <w:color w:val="000000"/>
          <w:sz w:val="28"/>
          <w:szCs w:val="28"/>
          <w:lang w:val="uk-UA"/>
        </w:rPr>
        <w:t xml:space="preserve">та </w:t>
      </w:r>
      <w:r w:rsidRPr="00DB08D6">
        <w:rPr>
          <w:rFonts w:ascii="Times New Roman" w:hAnsi="Times New Roman"/>
          <w:b/>
          <w:bCs/>
          <w:color w:val="000000"/>
          <w:sz w:val="28"/>
          <w:szCs w:val="28"/>
        </w:rPr>
        <w:t>Astarta</w:t>
      </w:r>
      <w:r w:rsidRPr="005670E0">
        <w:rPr>
          <w:rFonts w:ascii="Times New Roman" w:hAnsi="Times New Roman"/>
          <w:b/>
          <w:bCs/>
          <w:color w:val="000000"/>
          <w:sz w:val="28"/>
          <w:szCs w:val="28"/>
          <w:lang w:val="uk-UA"/>
        </w:rPr>
        <w:t>-</w:t>
      </w:r>
      <w:r w:rsidRPr="00DB08D6">
        <w:rPr>
          <w:rFonts w:ascii="Times New Roman" w:hAnsi="Times New Roman"/>
          <w:b/>
          <w:bCs/>
          <w:color w:val="000000"/>
          <w:sz w:val="28"/>
          <w:szCs w:val="28"/>
        </w:rPr>
        <w:t>Kyiv</w:t>
      </w:r>
      <w:r>
        <w:rPr>
          <w:rFonts w:ascii="Times New Roman" w:hAnsi="Times New Roman"/>
          <w:b/>
          <w:bCs/>
          <w:color w:val="000000"/>
          <w:sz w:val="28"/>
          <w:szCs w:val="28"/>
          <w:lang w:val="uk-UA"/>
        </w:rPr>
        <w:t xml:space="preserve"> за 2021 – 2025 рр. </w:t>
      </w:r>
      <w:r>
        <w:rPr>
          <w:rFonts w:ascii="Times New Roman" w:hAnsi="Times New Roman"/>
          <w:i/>
          <w:iCs/>
          <w:color w:val="000000"/>
          <w:lang w:val="uk-UA"/>
        </w:rPr>
        <w:t>Джерело: обраховано автором</w:t>
      </w:r>
    </w:p>
    <w:p w:rsidR="00435FDC" w:rsidRDefault="00EB5B4E">
      <w:pPr>
        <w:keepNext/>
        <w:pageBreakBefore/>
        <w:jc w:val="center"/>
      </w:pPr>
      <w:r>
        <w:rPr>
          <w:rFonts w:ascii="Times New Roman" w:eastAsia="Times New Roman" w:hAnsi="Times New Roman"/>
          <w:b/>
          <w:sz w:val="28"/>
        </w:rPr>
        <w:lastRenderedPageBreak/>
        <w:t>ДОДАТОК Н</w:t>
      </w:r>
    </w:p>
    <w:p w:rsidR="00435FDC" w:rsidRDefault="00EB5B4E">
      <w:pPr>
        <w:keepNext/>
        <w:jc w:val="center"/>
      </w:pPr>
      <w:r>
        <w:rPr>
          <w:rFonts w:ascii="Times New Roman" w:eastAsia="Times New Roman" w:hAnsi="Times New Roman"/>
          <w:sz w:val="28"/>
        </w:rPr>
        <w:t>Сценарне моделювання інвестиційної привабливості</w:t>
      </w:r>
    </w:p>
    <w:p w:rsidR="00B37265" w:rsidRPr="004C1519" w:rsidRDefault="00B37265" w:rsidP="00B37265">
      <w:pPr>
        <w:pStyle w:val="a5"/>
        <w:spacing w:before="0" w:beforeAutospacing="0" w:after="0" w:afterAutospacing="0" w:line="360" w:lineRule="auto"/>
        <w:ind w:firstLine="709"/>
        <w:jc w:val="right"/>
        <w:rPr>
          <w:color w:val="000000"/>
          <w:sz w:val="28"/>
          <w:szCs w:val="28"/>
          <w:lang w:val="uk-UA"/>
        </w:rPr>
      </w:pPr>
      <w:r w:rsidRPr="004C1519">
        <w:rPr>
          <w:color w:val="000000"/>
          <w:sz w:val="28"/>
          <w:szCs w:val="28"/>
          <w:lang w:val="uk-UA"/>
        </w:rPr>
        <w:t>Таблиця Н.1</w:t>
      </w:r>
    </w:p>
    <w:p w:rsidR="00B37265" w:rsidRDefault="00B37265" w:rsidP="00B37265">
      <w:pPr>
        <w:pStyle w:val="a5"/>
        <w:spacing w:before="0" w:beforeAutospacing="0" w:after="0" w:afterAutospacing="0" w:line="360" w:lineRule="auto"/>
        <w:jc w:val="center"/>
        <w:rPr>
          <w:b/>
          <w:bCs/>
          <w:color w:val="000000"/>
          <w:sz w:val="28"/>
          <w:szCs w:val="28"/>
          <w:lang w:val="uk-UA"/>
        </w:rPr>
      </w:pPr>
      <w:r>
        <w:rPr>
          <w:b/>
          <w:bCs/>
          <w:color w:val="000000"/>
          <w:sz w:val="28"/>
          <w:szCs w:val="28"/>
          <w:lang w:val="uk-UA"/>
        </w:rPr>
        <w:t>Сценарне моделювання інвестиційної привабливості (ІІ</w:t>
      </w:r>
      <w:r>
        <w:rPr>
          <w:b/>
          <w:bCs/>
          <w:color w:val="000000"/>
          <w:sz w:val="28"/>
          <w:szCs w:val="28"/>
          <w:vertAlign w:val="superscript"/>
          <w:lang w:val="en-US"/>
        </w:rPr>
        <w:t>adj</w:t>
      </w:r>
      <w:r>
        <w:rPr>
          <w:b/>
          <w:bCs/>
          <w:color w:val="000000"/>
          <w:sz w:val="28"/>
          <w:szCs w:val="28"/>
          <w:lang w:val="uk-UA"/>
        </w:rPr>
        <w:t xml:space="preserve">) </w:t>
      </w:r>
      <w:r w:rsidRPr="00DB08D6">
        <w:rPr>
          <w:b/>
          <w:bCs/>
          <w:color w:val="000000"/>
          <w:sz w:val="28"/>
          <w:szCs w:val="28"/>
        </w:rPr>
        <w:t>Kernel</w:t>
      </w:r>
      <w:r w:rsidRPr="00B37265">
        <w:rPr>
          <w:b/>
          <w:bCs/>
          <w:color w:val="000000"/>
          <w:sz w:val="28"/>
          <w:szCs w:val="28"/>
          <w:lang w:val="uk-UA"/>
        </w:rPr>
        <w:t>,</w:t>
      </w:r>
      <w:r w:rsidRPr="00DB08D6">
        <w:rPr>
          <w:b/>
          <w:bCs/>
          <w:color w:val="000000"/>
          <w:sz w:val="28"/>
          <w:szCs w:val="28"/>
          <w:lang w:val="uk-UA"/>
        </w:rPr>
        <w:t xml:space="preserve"> МХП</w:t>
      </w:r>
      <w:r w:rsidRPr="00B37265">
        <w:rPr>
          <w:b/>
          <w:bCs/>
          <w:color w:val="000000"/>
          <w:sz w:val="28"/>
          <w:szCs w:val="28"/>
          <w:lang w:val="uk-UA"/>
        </w:rPr>
        <w:t xml:space="preserve"> </w:t>
      </w:r>
      <w:r w:rsidRPr="00DB08D6">
        <w:rPr>
          <w:b/>
          <w:bCs/>
          <w:color w:val="000000"/>
          <w:sz w:val="28"/>
          <w:szCs w:val="28"/>
          <w:lang w:val="uk-UA"/>
        </w:rPr>
        <w:t xml:space="preserve">та </w:t>
      </w:r>
      <w:r w:rsidRPr="00DB08D6">
        <w:rPr>
          <w:b/>
          <w:bCs/>
          <w:color w:val="000000"/>
          <w:sz w:val="28"/>
          <w:szCs w:val="28"/>
        </w:rPr>
        <w:t>Astarta</w:t>
      </w:r>
      <w:r w:rsidRPr="005670E0">
        <w:rPr>
          <w:b/>
          <w:bCs/>
          <w:color w:val="000000"/>
          <w:sz w:val="28"/>
          <w:szCs w:val="28"/>
          <w:lang w:val="uk-UA"/>
        </w:rPr>
        <w:t>-</w:t>
      </w:r>
      <w:r w:rsidRPr="00DB08D6">
        <w:rPr>
          <w:b/>
          <w:bCs/>
          <w:color w:val="000000"/>
          <w:sz w:val="28"/>
          <w:szCs w:val="28"/>
        </w:rPr>
        <w:t>Kyiv</w:t>
      </w:r>
      <w:r>
        <w:rPr>
          <w:b/>
          <w:bCs/>
          <w:color w:val="000000"/>
          <w:sz w:val="28"/>
          <w:szCs w:val="28"/>
          <w:lang w:val="uk-UA"/>
        </w:rPr>
        <w:t xml:space="preserve"> на 2026 – 2030 рр.</w:t>
      </w:r>
    </w:p>
    <w:tbl>
      <w:tblPr>
        <w:tblStyle w:val="a4"/>
        <w:tblW w:w="0" w:type="auto"/>
        <w:tblLook w:val="04A0" w:firstRow="1" w:lastRow="0" w:firstColumn="1" w:lastColumn="0" w:noHBand="0" w:noVBand="1"/>
      </w:tblPr>
      <w:tblGrid>
        <w:gridCol w:w="2324"/>
        <w:gridCol w:w="2324"/>
        <w:gridCol w:w="2325"/>
        <w:gridCol w:w="2325"/>
        <w:gridCol w:w="2325"/>
        <w:gridCol w:w="2325"/>
      </w:tblGrid>
      <w:tr w:rsidR="00B37265" w:rsidRPr="00722F7E" w:rsidTr="004C1519">
        <w:trPr>
          <w:cantSplit/>
          <w:tblHeader/>
        </w:trPr>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Сценарій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2030</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en-US"/>
              </w:rPr>
            </w:pPr>
            <w:r w:rsidRPr="00722F7E">
              <w:rPr>
                <w:i/>
                <w:iCs/>
                <w:color w:val="000000"/>
                <w:sz w:val="28"/>
                <w:szCs w:val="28"/>
                <w:lang w:val="en-US"/>
              </w:rPr>
              <w:t>Kernel</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0,70</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0,89</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0,91</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0,93</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uk-UA"/>
              </w:rPr>
            </w:pPr>
            <w:r w:rsidRPr="00722F7E">
              <w:rPr>
                <w:i/>
                <w:iCs/>
                <w:color w:val="000000"/>
                <w:sz w:val="28"/>
                <w:szCs w:val="28"/>
                <w:lang w:val="uk-UA"/>
              </w:rPr>
              <w:t>МХП</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0,71</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0,73</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0,91</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0,91</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0,95</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uk-UA"/>
              </w:rPr>
            </w:pPr>
            <w:r w:rsidRPr="00722F7E">
              <w:rPr>
                <w:i/>
                <w:iCs/>
                <w:color w:val="000000"/>
                <w:sz w:val="28"/>
                <w:szCs w:val="28"/>
                <w:lang w:val="en-US"/>
              </w:rPr>
              <w:t>Astarta - Kiyv</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0,68</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0,79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0,89</w:t>
            </w:r>
          </w:p>
        </w:tc>
      </w:tr>
    </w:tbl>
    <w:p w:rsidR="00B37265" w:rsidRPr="00722F7E" w:rsidRDefault="00B37265" w:rsidP="00B37265">
      <w:pPr>
        <w:pStyle w:val="a5"/>
        <w:spacing w:before="0" w:beforeAutospacing="0" w:after="0" w:afterAutospacing="0"/>
        <w:ind w:firstLine="709"/>
        <w:jc w:val="both"/>
        <w:rPr>
          <w:i/>
          <w:iCs/>
          <w:color w:val="000000"/>
          <w:lang w:val="uk-UA"/>
        </w:rPr>
      </w:pPr>
      <w:r>
        <w:rPr>
          <w:i/>
          <w:iCs/>
          <w:color w:val="000000"/>
          <w:lang w:val="uk-UA"/>
        </w:rPr>
        <w:t>Джерело: обраховано автором</w:t>
      </w:r>
    </w:p>
    <w:p w:rsidR="00435FDC" w:rsidRDefault="00EB5B4E">
      <w:pPr>
        <w:keepNext/>
        <w:pageBreakBefore/>
        <w:jc w:val="center"/>
      </w:pPr>
      <w:r>
        <w:rPr>
          <w:rFonts w:ascii="Times New Roman" w:eastAsia="Times New Roman" w:hAnsi="Times New Roman"/>
          <w:b/>
          <w:sz w:val="28"/>
        </w:rPr>
        <w:lastRenderedPageBreak/>
        <w:t>ДОДАТОК П</w:t>
      </w:r>
    </w:p>
    <w:p w:rsidR="00435FDC" w:rsidRDefault="00EB5B4E">
      <w:pPr>
        <w:keepNext/>
        <w:jc w:val="center"/>
      </w:pPr>
      <w:r>
        <w:rPr>
          <w:rFonts w:ascii="Times New Roman" w:eastAsia="Times New Roman" w:hAnsi="Times New Roman"/>
          <w:sz w:val="28"/>
        </w:rPr>
        <w:t>Сценарне моделювання стратегічного потенціалу</w:t>
      </w:r>
    </w:p>
    <w:p w:rsidR="00B37265" w:rsidRPr="004C1519" w:rsidRDefault="00B37265" w:rsidP="00B37265">
      <w:pPr>
        <w:pStyle w:val="a5"/>
        <w:spacing w:before="0" w:beforeAutospacing="0" w:after="0" w:afterAutospacing="0" w:line="360" w:lineRule="auto"/>
        <w:ind w:firstLine="709"/>
        <w:jc w:val="right"/>
        <w:rPr>
          <w:color w:val="000000"/>
          <w:sz w:val="28"/>
          <w:szCs w:val="28"/>
          <w:lang w:val="uk-UA"/>
        </w:rPr>
      </w:pPr>
      <w:r w:rsidRPr="004C1519">
        <w:rPr>
          <w:color w:val="000000"/>
          <w:sz w:val="28"/>
          <w:szCs w:val="28"/>
          <w:lang w:val="uk-UA"/>
        </w:rPr>
        <w:t>Таблиця П.1</w:t>
      </w:r>
    </w:p>
    <w:p w:rsidR="00B37265" w:rsidRDefault="00B37265" w:rsidP="00B37265">
      <w:pPr>
        <w:pStyle w:val="a5"/>
        <w:spacing w:before="0" w:beforeAutospacing="0" w:after="0" w:afterAutospacing="0" w:line="360" w:lineRule="auto"/>
        <w:jc w:val="center"/>
        <w:rPr>
          <w:b/>
          <w:bCs/>
          <w:color w:val="000000"/>
          <w:sz w:val="28"/>
          <w:szCs w:val="28"/>
          <w:lang w:val="uk-UA"/>
        </w:rPr>
      </w:pPr>
      <w:r w:rsidRPr="00B37265">
        <w:rPr>
          <w:b/>
          <w:bCs/>
          <w:color w:val="000000"/>
          <w:sz w:val="28"/>
          <w:szCs w:val="28"/>
          <w:lang w:val="uk-UA"/>
        </w:rPr>
        <w:t>Сценарне моделювання стратегічного потенціалу (</w:t>
      </w:r>
      <w:r w:rsidRPr="001635ED">
        <w:rPr>
          <w:b/>
          <w:bCs/>
          <w:color w:val="000000"/>
          <w:sz w:val="28"/>
          <w:szCs w:val="28"/>
        </w:rPr>
        <w:t>SP</w:t>
      </w:r>
      <w:r w:rsidRPr="00B37265">
        <w:rPr>
          <w:b/>
          <w:bCs/>
          <w:color w:val="000000"/>
          <w:sz w:val="28"/>
          <w:szCs w:val="28"/>
          <w:lang w:val="uk-UA"/>
        </w:rPr>
        <w:t>)</w:t>
      </w:r>
      <w:r>
        <w:rPr>
          <w:rFonts w:ascii="-webkit-standard" w:hAnsi="-webkit-standard"/>
          <w:color w:val="000000"/>
          <w:sz w:val="27"/>
          <w:szCs w:val="27"/>
          <w:lang w:val="uk-UA"/>
        </w:rPr>
        <w:t xml:space="preserve"> </w:t>
      </w:r>
      <w:r w:rsidRPr="00DB08D6">
        <w:rPr>
          <w:b/>
          <w:bCs/>
          <w:color w:val="000000"/>
          <w:sz w:val="28"/>
          <w:szCs w:val="28"/>
        </w:rPr>
        <w:t>Kernel</w:t>
      </w:r>
      <w:r w:rsidRPr="00B37265">
        <w:rPr>
          <w:b/>
          <w:bCs/>
          <w:color w:val="000000"/>
          <w:sz w:val="28"/>
          <w:szCs w:val="28"/>
          <w:lang w:val="uk-UA"/>
        </w:rPr>
        <w:t>,</w:t>
      </w:r>
      <w:r w:rsidRPr="00DB08D6">
        <w:rPr>
          <w:b/>
          <w:bCs/>
          <w:color w:val="000000"/>
          <w:sz w:val="28"/>
          <w:szCs w:val="28"/>
          <w:lang w:val="uk-UA"/>
        </w:rPr>
        <w:t xml:space="preserve"> МХП</w:t>
      </w:r>
      <w:r w:rsidRPr="00B37265">
        <w:rPr>
          <w:b/>
          <w:bCs/>
          <w:color w:val="000000"/>
          <w:sz w:val="28"/>
          <w:szCs w:val="28"/>
          <w:lang w:val="uk-UA"/>
        </w:rPr>
        <w:t xml:space="preserve"> </w:t>
      </w:r>
      <w:r w:rsidRPr="00DB08D6">
        <w:rPr>
          <w:b/>
          <w:bCs/>
          <w:color w:val="000000"/>
          <w:sz w:val="28"/>
          <w:szCs w:val="28"/>
          <w:lang w:val="uk-UA"/>
        </w:rPr>
        <w:t xml:space="preserve">та </w:t>
      </w:r>
      <w:r w:rsidRPr="00DB08D6">
        <w:rPr>
          <w:b/>
          <w:bCs/>
          <w:color w:val="000000"/>
          <w:sz w:val="28"/>
          <w:szCs w:val="28"/>
        </w:rPr>
        <w:t>Astarta</w:t>
      </w:r>
      <w:r w:rsidRPr="005670E0">
        <w:rPr>
          <w:b/>
          <w:bCs/>
          <w:color w:val="000000"/>
          <w:sz w:val="28"/>
          <w:szCs w:val="28"/>
          <w:lang w:val="uk-UA"/>
        </w:rPr>
        <w:t>-</w:t>
      </w:r>
      <w:r w:rsidRPr="00DB08D6">
        <w:rPr>
          <w:b/>
          <w:bCs/>
          <w:color w:val="000000"/>
          <w:sz w:val="28"/>
          <w:szCs w:val="28"/>
        </w:rPr>
        <w:t>Kyiv</w:t>
      </w:r>
      <w:r>
        <w:rPr>
          <w:b/>
          <w:bCs/>
          <w:color w:val="000000"/>
          <w:sz w:val="28"/>
          <w:szCs w:val="28"/>
          <w:lang w:val="uk-UA"/>
        </w:rPr>
        <w:t xml:space="preserve"> на 2026 – 2030 рр.</w:t>
      </w:r>
    </w:p>
    <w:tbl>
      <w:tblPr>
        <w:tblStyle w:val="a4"/>
        <w:tblW w:w="0" w:type="auto"/>
        <w:tblLook w:val="04A0" w:firstRow="1" w:lastRow="0" w:firstColumn="1" w:lastColumn="0" w:noHBand="0" w:noVBand="1"/>
      </w:tblPr>
      <w:tblGrid>
        <w:gridCol w:w="2324"/>
        <w:gridCol w:w="2324"/>
        <w:gridCol w:w="2325"/>
        <w:gridCol w:w="2325"/>
        <w:gridCol w:w="2325"/>
        <w:gridCol w:w="2325"/>
      </w:tblGrid>
      <w:tr w:rsidR="00B37265" w:rsidRPr="00722F7E" w:rsidTr="004C1519">
        <w:trPr>
          <w:cantSplit/>
          <w:tblHeader/>
        </w:trPr>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Сценарій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2029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sidRPr="00722F7E">
              <w:rPr>
                <w:color w:val="000000"/>
                <w:sz w:val="28"/>
                <w:szCs w:val="28"/>
                <w:lang w:val="uk-UA"/>
              </w:rPr>
              <w:t>2030</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en-US"/>
              </w:rPr>
            </w:pPr>
            <w:r w:rsidRPr="00722F7E">
              <w:rPr>
                <w:i/>
                <w:iCs/>
                <w:color w:val="000000"/>
                <w:sz w:val="28"/>
                <w:szCs w:val="28"/>
                <w:lang w:val="en-US"/>
              </w:rPr>
              <w:t>Kernel</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0,82</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0,91</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0,91</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0,93</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uk-UA"/>
              </w:rPr>
            </w:pPr>
            <w:r w:rsidRPr="00722F7E">
              <w:rPr>
                <w:i/>
                <w:iCs/>
                <w:color w:val="000000"/>
                <w:sz w:val="28"/>
                <w:szCs w:val="28"/>
                <w:lang w:val="uk-UA"/>
              </w:rPr>
              <w:t>МХП</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0,84</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0,90</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0,92</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0,91</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0,93</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0,95</w:t>
            </w:r>
          </w:p>
        </w:tc>
      </w:tr>
      <w:tr w:rsidR="00B37265" w:rsidRPr="00722F7E" w:rsidTr="004C1519">
        <w:trPr>
          <w:cantSplit/>
        </w:trPr>
        <w:tc>
          <w:tcPr>
            <w:tcW w:w="13948" w:type="dxa"/>
            <w:gridSpan w:val="6"/>
          </w:tcPr>
          <w:p w:rsidR="00B37265" w:rsidRPr="00722F7E" w:rsidRDefault="00B37265" w:rsidP="00B37265">
            <w:pPr>
              <w:pStyle w:val="a5"/>
              <w:spacing w:before="0" w:beforeAutospacing="0" w:after="0" w:afterAutospacing="0"/>
              <w:jc w:val="center"/>
              <w:rPr>
                <w:i/>
                <w:iCs/>
                <w:color w:val="000000"/>
                <w:sz w:val="28"/>
                <w:szCs w:val="28"/>
                <w:lang w:val="uk-UA"/>
              </w:rPr>
            </w:pPr>
            <w:r w:rsidRPr="00722F7E">
              <w:rPr>
                <w:i/>
                <w:iCs/>
                <w:color w:val="000000"/>
                <w:sz w:val="28"/>
                <w:szCs w:val="28"/>
                <w:lang w:val="en-US"/>
              </w:rPr>
              <w:t>Astarta - Kiyv</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Песимістичний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0,74</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0,78</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0,80</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Базовий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0,76</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0,87</w:t>
            </w:r>
          </w:p>
        </w:tc>
      </w:tr>
      <w:tr w:rsidR="00B37265" w:rsidRPr="00722F7E" w:rsidTr="004C1519">
        <w:trPr>
          <w:cantSplit/>
        </w:trPr>
        <w:tc>
          <w:tcPr>
            <w:tcW w:w="2324" w:type="dxa"/>
          </w:tcPr>
          <w:p w:rsidR="00B37265" w:rsidRPr="00722F7E" w:rsidRDefault="00B37265" w:rsidP="00B37265">
            <w:pPr>
              <w:pStyle w:val="a5"/>
              <w:spacing w:before="0" w:beforeAutospacing="0" w:after="0" w:afterAutospacing="0"/>
              <w:jc w:val="both"/>
              <w:rPr>
                <w:color w:val="000000"/>
                <w:sz w:val="28"/>
                <w:szCs w:val="28"/>
                <w:lang w:val="uk-UA"/>
              </w:rPr>
            </w:pPr>
            <w:r w:rsidRPr="00722F7E">
              <w:rPr>
                <w:color w:val="000000"/>
                <w:sz w:val="28"/>
                <w:szCs w:val="28"/>
                <w:lang w:val="uk-UA"/>
              </w:rPr>
              <w:t>Оптимістичний</w:t>
            </w:r>
          </w:p>
        </w:tc>
        <w:tc>
          <w:tcPr>
            <w:tcW w:w="2324"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0,79</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0,82</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0,85</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0,87</w:t>
            </w:r>
          </w:p>
        </w:tc>
        <w:tc>
          <w:tcPr>
            <w:tcW w:w="2325" w:type="dxa"/>
          </w:tcPr>
          <w:p w:rsidR="00B37265" w:rsidRPr="00722F7E" w:rsidRDefault="00B37265" w:rsidP="00B37265">
            <w:pPr>
              <w:pStyle w:val="a5"/>
              <w:spacing w:before="0" w:beforeAutospacing="0" w:after="0" w:afterAutospacing="0"/>
              <w:jc w:val="center"/>
              <w:rPr>
                <w:color w:val="000000"/>
                <w:sz w:val="28"/>
                <w:szCs w:val="28"/>
                <w:lang w:val="uk-UA"/>
              </w:rPr>
            </w:pPr>
            <w:r>
              <w:rPr>
                <w:color w:val="000000"/>
                <w:sz w:val="28"/>
                <w:szCs w:val="28"/>
                <w:lang w:val="uk-UA"/>
              </w:rPr>
              <w:t>0,89</w:t>
            </w:r>
          </w:p>
        </w:tc>
      </w:tr>
    </w:tbl>
    <w:p w:rsidR="00B37265" w:rsidRPr="001635ED" w:rsidRDefault="00B37265" w:rsidP="00B37265">
      <w:pPr>
        <w:pStyle w:val="a5"/>
        <w:spacing w:before="0" w:beforeAutospacing="0" w:after="0" w:afterAutospacing="0" w:line="360" w:lineRule="auto"/>
        <w:ind w:firstLine="709"/>
        <w:jc w:val="both"/>
        <w:rPr>
          <w:i/>
          <w:iCs/>
          <w:color w:val="000000"/>
          <w:lang w:val="uk-UA"/>
        </w:rPr>
      </w:pPr>
      <w:r>
        <w:rPr>
          <w:i/>
          <w:iCs/>
          <w:color w:val="000000"/>
          <w:lang w:val="uk-UA"/>
        </w:rPr>
        <w:t>Джерело: обраховано автором</w:t>
      </w:r>
    </w:p>
    <w:p w:rsidR="00435FDC" w:rsidRDefault="00EB5B4E">
      <w:pPr>
        <w:keepNext/>
        <w:pageBreakBefore/>
        <w:jc w:val="center"/>
      </w:pPr>
      <w:r>
        <w:rPr>
          <w:rFonts w:ascii="Times New Roman" w:eastAsia="Times New Roman" w:hAnsi="Times New Roman"/>
          <w:b/>
          <w:sz w:val="28"/>
        </w:rPr>
        <w:lastRenderedPageBreak/>
        <w:t>ДОДАТОК Р</w:t>
      </w:r>
    </w:p>
    <w:p w:rsidR="00435FDC" w:rsidRDefault="00EB5B4E">
      <w:pPr>
        <w:keepNext/>
        <w:jc w:val="center"/>
      </w:pPr>
      <w:r>
        <w:rPr>
          <w:rFonts w:ascii="Times New Roman" w:eastAsia="Times New Roman" w:hAnsi="Times New Roman"/>
          <w:sz w:val="28"/>
        </w:rPr>
        <w:t>Прогнозні траєкторії позиціонування аграрних підприємств</w:t>
      </w:r>
    </w:p>
    <w:p w:rsidR="00B37265" w:rsidRDefault="00B37265" w:rsidP="00B37265">
      <w:pPr>
        <w:pStyle w:val="a5"/>
        <w:tabs>
          <w:tab w:val="left" w:pos="0"/>
        </w:tabs>
        <w:spacing w:before="0" w:beforeAutospacing="0" w:after="0" w:afterAutospacing="0" w:line="360" w:lineRule="auto"/>
        <w:jc w:val="center"/>
        <w:rPr>
          <w:rFonts w:eastAsiaTheme="minorEastAsia"/>
          <w:b/>
          <w:bCs/>
          <w:sz w:val="28"/>
          <w:szCs w:val="28"/>
          <w:lang w:val="uk-UA"/>
        </w:rPr>
      </w:pPr>
      <w:r w:rsidRPr="00B17F12">
        <w:rPr>
          <w:rFonts w:eastAsiaTheme="minorEastAsia"/>
          <w:noProof/>
          <w:sz w:val="28"/>
          <w:szCs w:val="28"/>
          <w:lang w:val="uk-UA" w:eastAsia="uk-UA"/>
        </w:rPr>
        <w:drawing>
          <wp:inline distT="0" distB="0" distL="0" distR="0" wp14:anchorId="641BCC06" wp14:editId="196EE277">
            <wp:extent cx="5835094" cy="3485884"/>
            <wp:effectExtent l="0" t="0" r="5715" b="0"/>
            <wp:docPr id="2081776720" name="Рисунок 1" descr="Изображение выглядит как текст, диаграмма, снимок экрана, линия&#10;&#10;Содержимое, созданное искусственным интеллектом, может быть неверн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776720" name="Рисунок 1" descr="Изображение выглядит как текст, диаграмма, снимок экрана, линия&#10;&#10;Содержимое, созданное искусственным интеллектом, может быть неверным."/>
                    <pic:cNvPicPr/>
                  </pic:nvPicPr>
                  <pic:blipFill>
                    <a:blip r:embed="rId65"/>
                    <a:stretch>
                      <a:fillRect/>
                    </a:stretch>
                  </pic:blipFill>
                  <pic:spPr>
                    <a:xfrm>
                      <a:off x="0" y="0"/>
                      <a:ext cx="7421437" cy="4433566"/>
                    </a:xfrm>
                    <a:prstGeom prst="rect">
                      <a:avLst/>
                    </a:prstGeom>
                  </pic:spPr>
                </pic:pic>
              </a:graphicData>
            </a:graphic>
          </wp:inline>
        </w:drawing>
      </w:r>
    </w:p>
    <w:p w:rsidR="00BE5A3A" w:rsidRDefault="00B37265" w:rsidP="00B37265">
      <w:pPr>
        <w:pStyle w:val="a5"/>
        <w:tabs>
          <w:tab w:val="left" w:pos="0"/>
        </w:tabs>
        <w:spacing w:before="0" w:beforeAutospacing="0" w:after="0" w:afterAutospacing="0" w:line="360" w:lineRule="auto"/>
        <w:ind w:firstLine="709"/>
        <w:jc w:val="both"/>
        <w:rPr>
          <w:b/>
          <w:bCs/>
          <w:color w:val="000000"/>
          <w:sz w:val="28"/>
          <w:szCs w:val="28"/>
          <w:lang w:val="uk-UA"/>
        </w:rPr>
      </w:pPr>
      <w:r>
        <w:rPr>
          <w:rFonts w:eastAsiaTheme="minorEastAsia"/>
          <w:b/>
          <w:bCs/>
          <w:sz w:val="28"/>
          <w:szCs w:val="28"/>
          <w:lang w:val="uk-UA"/>
        </w:rPr>
        <w:t xml:space="preserve">Рис. Р.1 Моделювання змін стратегічної матриці позиціонування інвестиційної привабливості </w:t>
      </w:r>
      <w:r w:rsidRPr="00DB08D6">
        <w:rPr>
          <w:b/>
          <w:bCs/>
          <w:color w:val="000000"/>
          <w:sz w:val="28"/>
          <w:szCs w:val="28"/>
        </w:rPr>
        <w:t>Kernel</w:t>
      </w:r>
      <w:r w:rsidRPr="00B37265">
        <w:rPr>
          <w:b/>
          <w:bCs/>
          <w:color w:val="000000"/>
          <w:sz w:val="28"/>
          <w:szCs w:val="28"/>
          <w:lang w:val="uk-UA"/>
        </w:rPr>
        <w:t>,</w:t>
      </w:r>
      <w:r w:rsidRPr="00DB08D6">
        <w:rPr>
          <w:b/>
          <w:bCs/>
          <w:color w:val="000000"/>
          <w:sz w:val="28"/>
          <w:szCs w:val="28"/>
          <w:lang w:val="uk-UA"/>
        </w:rPr>
        <w:t xml:space="preserve"> МХП</w:t>
      </w:r>
      <w:r w:rsidRPr="00B37265">
        <w:rPr>
          <w:b/>
          <w:bCs/>
          <w:color w:val="000000"/>
          <w:sz w:val="28"/>
          <w:szCs w:val="28"/>
          <w:lang w:val="uk-UA"/>
        </w:rPr>
        <w:t xml:space="preserve"> </w:t>
      </w:r>
      <w:r w:rsidRPr="00DB08D6">
        <w:rPr>
          <w:b/>
          <w:bCs/>
          <w:color w:val="000000"/>
          <w:sz w:val="28"/>
          <w:szCs w:val="28"/>
          <w:lang w:val="uk-UA"/>
        </w:rPr>
        <w:t xml:space="preserve">та </w:t>
      </w:r>
      <w:r w:rsidRPr="00DB08D6">
        <w:rPr>
          <w:b/>
          <w:bCs/>
          <w:color w:val="000000"/>
          <w:sz w:val="28"/>
          <w:szCs w:val="28"/>
        </w:rPr>
        <w:t>Astarta</w:t>
      </w:r>
      <w:r w:rsidRPr="005670E0">
        <w:rPr>
          <w:b/>
          <w:bCs/>
          <w:color w:val="000000"/>
          <w:sz w:val="28"/>
          <w:szCs w:val="28"/>
          <w:lang w:val="uk-UA"/>
        </w:rPr>
        <w:t>-</w:t>
      </w:r>
      <w:r w:rsidRPr="00DB08D6">
        <w:rPr>
          <w:b/>
          <w:bCs/>
          <w:color w:val="000000"/>
          <w:sz w:val="28"/>
          <w:szCs w:val="28"/>
        </w:rPr>
        <w:t>Kyiv</w:t>
      </w:r>
      <w:r>
        <w:rPr>
          <w:b/>
          <w:bCs/>
          <w:color w:val="000000"/>
          <w:sz w:val="28"/>
          <w:szCs w:val="28"/>
          <w:lang w:val="uk-UA"/>
        </w:rPr>
        <w:t xml:space="preserve"> за 2026 – 2030 рр. </w:t>
      </w:r>
    </w:p>
    <w:p w:rsidR="00B37265" w:rsidRDefault="00B37265" w:rsidP="00B37265">
      <w:pPr>
        <w:pStyle w:val="a5"/>
        <w:tabs>
          <w:tab w:val="left" w:pos="0"/>
        </w:tabs>
        <w:spacing w:before="0" w:beforeAutospacing="0" w:after="0" w:afterAutospacing="0" w:line="360" w:lineRule="auto"/>
        <w:ind w:firstLine="709"/>
        <w:jc w:val="both"/>
        <w:rPr>
          <w:i/>
          <w:iCs/>
          <w:color w:val="000000"/>
          <w:lang w:val="uk-UA"/>
        </w:rPr>
      </w:pPr>
      <w:r>
        <w:rPr>
          <w:i/>
          <w:iCs/>
          <w:color w:val="000000"/>
          <w:lang w:val="uk-UA"/>
        </w:rPr>
        <w:t>Джерело: обраховано автором</w:t>
      </w:r>
    </w:p>
    <w:p w:rsidR="00435FDC" w:rsidRDefault="00435FDC">
      <w:pPr>
        <w:sectPr w:rsidR="00435FDC" w:rsidSect="00C40589">
          <w:pgSz w:w="16838" w:h="11906" w:orient="landscape"/>
          <w:pgMar w:top="1134" w:right="851" w:bottom="1134" w:left="1701" w:header="709" w:footer="709" w:gutter="0"/>
          <w:cols w:space="708"/>
          <w:docGrid w:linePitch="360"/>
        </w:sectPr>
      </w:pPr>
    </w:p>
    <w:p w:rsidR="00435FDC" w:rsidRDefault="00EB5B4E">
      <w:pPr>
        <w:keepNext/>
        <w:jc w:val="center"/>
      </w:pPr>
      <w:r>
        <w:rPr>
          <w:rFonts w:ascii="Times New Roman" w:eastAsia="Times New Roman" w:hAnsi="Times New Roman"/>
          <w:b/>
          <w:sz w:val="28"/>
        </w:rPr>
        <w:lastRenderedPageBreak/>
        <w:t>ДОДАТОК С</w:t>
      </w:r>
    </w:p>
    <w:p w:rsidR="00435FDC" w:rsidRDefault="00EB5B4E">
      <w:pPr>
        <w:keepNext/>
        <w:jc w:val="center"/>
      </w:pPr>
      <w:r>
        <w:rPr>
          <w:rFonts w:ascii="Times New Roman" w:eastAsia="Times New Roman" w:hAnsi="Times New Roman"/>
          <w:sz w:val="28"/>
        </w:rPr>
        <w:t>Стадії та етапи життєвого циклу інвестиційної привабливості</w:t>
      </w:r>
    </w:p>
    <w:p w:rsidR="002B4307" w:rsidRPr="00DB6BE4" w:rsidRDefault="002B4307" w:rsidP="00FC4ABE">
      <w:pPr>
        <w:spacing w:after="0" w:line="360" w:lineRule="auto"/>
        <w:ind w:firstLine="709"/>
        <w:jc w:val="right"/>
        <w:rPr>
          <w:rFonts w:ascii="Times New Roman" w:hAnsi="Times New Roman"/>
          <w:sz w:val="28"/>
          <w:szCs w:val="28"/>
          <w:lang w:val="uk-UA"/>
        </w:rPr>
      </w:pPr>
      <w:r w:rsidRPr="00DB6BE4">
        <w:rPr>
          <w:rFonts w:ascii="Times New Roman" w:hAnsi="Times New Roman"/>
          <w:sz w:val="28"/>
          <w:szCs w:val="28"/>
          <w:lang w:val="uk-UA"/>
        </w:rPr>
        <w:t>Таблиця С.1</w:t>
      </w:r>
    </w:p>
    <w:p w:rsidR="002B4307" w:rsidRDefault="002B4307" w:rsidP="00D1329F">
      <w:pPr>
        <w:spacing w:after="0" w:line="360" w:lineRule="auto"/>
        <w:ind w:firstLine="709"/>
        <w:jc w:val="both"/>
        <w:rPr>
          <w:rFonts w:ascii="Times New Roman" w:hAnsi="Times New Roman"/>
          <w:sz w:val="28"/>
          <w:szCs w:val="28"/>
          <w:lang w:val="uk-UA"/>
        </w:rPr>
      </w:pPr>
      <w:r w:rsidRPr="00DB6BE4">
        <w:rPr>
          <w:rFonts w:ascii="Times New Roman" w:hAnsi="Times New Roman"/>
          <w:sz w:val="28"/>
          <w:szCs w:val="28"/>
          <w:lang w:val="uk-UA"/>
        </w:rPr>
        <w:t xml:space="preserve">Стадії та етапи життєвого циклу </w:t>
      </w:r>
      <w:r w:rsidR="00D1329F" w:rsidRPr="00AD0D2A">
        <w:rPr>
          <w:rFonts w:ascii="Times New Roman" w:hAnsi="Times New Roman"/>
          <w:sz w:val="28"/>
          <w:szCs w:val="28"/>
          <w:lang w:val="uk-UA"/>
        </w:rPr>
        <w:t>інвестиційної привабливості</w:t>
      </w:r>
    </w:p>
    <w:tbl>
      <w:tblPr>
        <w:tblStyle w:val="a4"/>
        <w:tblW w:w="9496" w:type="dxa"/>
        <w:tblLook w:val="04A0" w:firstRow="1" w:lastRow="0" w:firstColumn="1" w:lastColumn="0" w:noHBand="0" w:noVBand="1"/>
      </w:tblPr>
      <w:tblGrid>
        <w:gridCol w:w="2100"/>
        <w:gridCol w:w="2780"/>
        <w:gridCol w:w="4585"/>
        <w:gridCol w:w="31"/>
      </w:tblGrid>
      <w:tr w:rsidR="004009DE" w:rsidRPr="006E2EE7" w:rsidTr="004009DE">
        <w:trPr>
          <w:gridAfter w:val="1"/>
          <w:wAfter w:w="31" w:type="dxa"/>
          <w:trHeight w:val="406"/>
        </w:trPr>
        <w:tc>
          <w:tcPr>
            <w:tcW w:w="2100" w:type="dxa"/>
          </w:tcPr>
          <w:p w:rsidR="004009DE" w:rsidRPr="006E2EE7" w:rsidRDefault="004009DE" w:rsidP="004009DE">
            <w:pPr>
              <w:spacing w:after="0" w:line="240" w:lineRule="auto"/>
              <w:jc w:val="center"/>
              <w:rPr>
                <w:rFonts w:ascii="Times New Roman" w:hAnsi="Times New Roman"/>
                <w:sz w:val="24"/>
                <w:szCs w:val="24"/>
                <w:lang w:val="uk-UA"/>
              </w:rPr>
            </w:pPr>
            <w:r w:rsidRPr="006E2EE7">
              <w:rPr>
                <w:rFonts w:ascii="Times New Roman" w:hAnsi="Times New Roman"/>
                <w:sz w:val="24"/>
                <w:szCs w:val="24"/>
                <w:lang w:val="uk-UA"/>
              </w:rPr>
              <w:t>Стадія</w:t>
            </w:r>
          </w:p>
        </w:tc>
        <w:tc>
          <w:tcPr>
            <w:tcW w:w="2780" w:type="dxa"/>
          </w:tcPr>
          <w:p w:rsidR="004009DE" w:rsidRPr="006E2EE7" w:rsidRDefault="004009DE" w:rsidP="004009DE">
            <w:pPr>
              <w:spacing w:after="0" w:line="240" w:lineRule="auto"/>
              <w:jc w:val="center"/>
              <w:rPr>
                <w:rFonts w:ascii="Times New Roman" w:hAnsi="Times New Roman"/>
                <w:sz w:val="24"/>
                <w:szCs w:val="24"/>
                <w:lang w:val="uk-UA"/>
              </w:rPr>
            </w:pPr>
            <w:r w:rsidRPr="006E2EE7">
              <w:rPr>
                <w:rFonts w:ascii="Times New Roman" w:hAnsi="Times New Roman"/>
                <w:sz w:val="24"/>
                <w:szCs w:val="24"/>
                <w:lang w:val="uk-UA"/>
              </w:rPr>
              <w:t>Етап</w:t>
            </w:r>
          </w:p>
        </w:tc>
        <w:tc>
          <w:tcPr>
            <w:tcW w:w="4585" w:type="dxa"/>
          </w:tcPr>
          <w:p w:rsidR="004009DE" w:rsidRPr="006E2EE7" w:rsidRDefault="004009DE" w:rsidP="004009DE">
            <w:pPr>
              <w:spacing w:after="0" w:line="240" w:lineRule="auto"/>
              <w:jc w:val="center"/>
              <w:rPr>
                <w:rFonts w:ascii="Times New Roman" w:hAnsi="Times New Roman"/>
                <w:sz w:val="24"/>
                <w:szCs w:val="24"/>
                <w:lang w:val="uk-UA"/>
              </w:rPr>
            </w:pPr>
            <w:r w:rsidRPr="006E2EE7">
              <w:rPr>
                <w:rFonts w:ascii="Times New Roman" w:hAnsi="Times New Roman"/>
                <w:sz w:val="24"/>
                <w:szCs w:val="24"/>
                <w:lang w:val="uk-UA"/>
              </w:rPr>
              <w:t>Цілі та зміст стадії</w:t>
            </w:r>
          </w:p>
        </w:tc>
      </w:tr>
      <w:tr w:rsidR="00DB6BE4" w:rsidRPr="006E2EE7" w:rsidTr="004009DE">
        <w:trPr>
          <w:gridAfter w:val="1"/>
          <w:wAfter w:w="31" w:type="dxa"/>
          <w:trHeight w:val="406"/>
        </w:trPr>
        <w:tc>
          <w:tcPr>
            <w:tcW w:w="2100" w:type="dxa"/>
          </w:tcPr>
          <w:p w:rsidR="00DB6BE4" w:rsidRPr="006E2EE7" w:rsidRDefault="004009DE" w:rsidP="004009DE">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780" w:type="dxa"/>
          </w:tcPr>
          <w:p w:rsidR="00DB6BE4" w:rsidRPr="006E2EE7" w:rsidRDefault="004009DE" w:rsidP="004009DE">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4585" w:type="dxa"/>
          </w:tcPr>
          <w:p w:rsidR="00DB6BE4" w:rsidRPr="006E2EE7" w:rsidRDefault="004009DE" w:rsidP="004009DE">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r>
      <w:tr w:rsidR="00DB6BE4" w:rsidRPr="006E2EE7" w:rsidTr="004009DE">
        <w:tc>
          <w:tcPr>
            <w:tcW w:w="9496" w:type="dxa"/>
            <w:gridSpan w:val="4"/>
          </w:tcPr>
          <w:p w:rsidR="00DB6BE4" w:rsidRPr="00AF7F70" w:rsidRDefault="00DB6BE4" w:rsidP="00AF7F70">
            <w:pPr>
              <w:pStyle w:val="a6"/>
              <w:numPr>
                <w:ilvl w:val="0"/>
                <w:numId w:val="2"/>
              </w:numPr>
              <w:spacing w:after="0" w:line="240" w:lineRule="auto"/>
              <w:jc w:val="both"/>
              <w:rPr>
                <w:rFonts w:ascii="Times New Roman" w:hAnsi="Times New Roman"/>
                <w:sz w:val="24"/>
                <w:szCs w:val="24"/>
                <w:lang w:val="uk-UA"/>
              </w:rPr>
            </w:pPr>
            <w:r w:rsidRPr="00AF7F70">
              <w:rPr>
                <w:rFonts w:ascii="Times New Roman" w:hAnsi="Times New Roman"/>
                <w:sz w:val="24"/>
                <w:szCs w:val="24"/>
                <w:lang w:val="uk-UA"/>
              </w:rPr>
              <w:t>П</w:t>
            </w:r>
            <w:r w:rsidR="006633CD" w:rsidRPr="00AF7F70">
              <w:rPr>
                <w:rFonts w:ascii="Times New Roman" w:hAnsi="Times New Roman"/>
                <w:sz w:val="24"/>
                <w:szCs w:val="24"/>
                <w:lang w:val="uk-UA"/>
              </w:rPr>
              <w:t>е</w:t>
            </w:r>
            <w:r w:rsidRPr="00AF7F70">
              <w:rPr>
                <w:rFonts w:ascii="Times New Roman" w:hAnsi="Times New Roman"/>
                <w:sz w:val="24"/>
                <w:szCs w:val="24"/>
                <w:lang w:val="uk-UA"/>
              </w:rPr>
              <w:t>редінвестиційна фаза</w:t>
            </w:r>
          </w:p>
        </w:tc>
      </w:tr>
      <w:tr w:rsidR="00DB6BE4" w:rsidRPr="006E2EE7" w:rsidTr="004009DE">
        <w:trPr>
          <w:gridAfter w:val="1"/>
          <w:wAfter w:w="31" w:type="dxa"/>
        </w:trPr>
        <w:tc>
          <w:tcPr>
            <w:tcW w:w="2100" w:type="dxa"/>
          </w:tcPr>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1.1. Дослідження можливостей</w:t>
            </w:r>
          </w:p>
        </w:tc>
        <w:tc>
          <w:tcPr>
            <w:tcW w:w="2780" w:type="dxa"/>
          </w:tcPr>
          <w:p w:rsidR="00DB6BE4" w:rsidRPr="006E2EE7" w:rsidRDefault="00DB6BE4"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1.1. Аналіз та уточнення ідеї </w:t>
            </w:r>
            <w:r w:rsidR="00D1329F" w:rsidRPr="00D1329F">
              <w:rPr>
                <w:rFonts w:ascii="Times New Roman" w:hAnsi="Times New Roman"/>
                <w:sz w:val="24"/>
                <w:szCs w:val="24"/>
                <w:lang w:val="uk-UA"/>
              </w:rPr>
              <w:t>інвестиційної привабливості</w:t>
            </w:r>
            <w:r w:rsidRPr="006E2EE7">
              <w:rPr>
                <w:rFonts w:ascii="Times New Roman" w:hAnsi="Times New Roman"/>
                <w:sz w:val="24"/>
                <w:szCs w:val="24"/>
                <w:lang w:val="uk-UA"/>
              </w:rPr>
              <w:t xml:space="preserve"> 1.2.</w:t>
            </w:r>
            <w:r w:rsidR="006633CD">
              <w:rPr>
                <w:rFonts w:ascii="Times New Roman" w:hAnsi="Times New Roman"/>
                <w:sz w:val="24"/>
                <w:szCs w:val="24"/>
                <w:lang w:val="uk-UA"/>
              </w:rPr>
              <w:t> Ф</w:t>
            </w:r>
            <w:r w:rsidRPr="006E2EE7">
              <w:rPr>
                <w:rFonts w:ascii="Times New Roman" w:hAnsi="Times New Roman"/>
                <w:sz w:val="24"/>
                <w:szCs w:val="24"/>
                <w:lang w:val="uk-UA"/>
              </w:rPr>
              <w:t>ормування інвестиційної пропозиції</w:t>
            </w:r>
          </w:p>
          <w:p w:rsidR="00DB6BE4" w:rsidRPr="006E2EE7" w:rsidRDefault="00DB6BE4"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1.3.</w:t>
            </w:r>
            <w:r w:rsidR="006633CD">
              <w:rPr>
                <w:rFonts w:ascii="Times New Roman" w:hAnsi="Times New Roman"/>
                <w:sz w:val="24"/>
                <w:szCs w:val="24"/>
                <w:lang w:val="uk-UA"/>
              </w:rPr>
              <w:t> </w:t>
            </w:r>
            <w:r w:rsidRPr="006E2EE7">
              <w:rPr>
                <w:rFonts w:ascii="Times New Roman" w:hAnsi="Times New Roman"/>
                <w:sz w:val="24"/>
                <w:szCs w:val="24"/>
                <w:lang w:val="uk-UA"/>
              </w:rPr>
              <w:t>Визначення інвестиційних можливостей та складу можливих інвесторів</w:t>
            </w:r>
          </w:p>
        </w:tc>
        <w:tc>
          <w:tcPr>
            <w:tcW w:w="4585" w:type="dxa"/>
          </w:tcPr>
          <w:p w:rsidR="00DB6BE4" w:rsidRPr="006E2EE7" w:rsidRDefault="00DB6BE4"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Обговорення ідеї </w:t>
            </w:r>
            <w:r w:rsidR="00D1329F" w:rsidRPr="00D1329F">
              <w:rPr>
                <w:rFonts w:ascii="Times New Roman" w:hAnsi="Times New Roman"/>
                <w:sz w:val="24"/>
                <w:szCs w:val="24"/>
                <w:lang w:val="uk-UA"/>
              </w:rPr>
              <w:t>інвестиційної привабливості</w:t>
            </w:r>
            <w:r w:rsidRPr="006E2EE7">
              <w:rPr>
                <w:rFonts w:ascii="Times New Roman" w:hAnsi="Times New Roman"/>
                <w:sz w:val="24"/>
                <w:szCs w:val="24"/>
                <w:lang w:val="uk-UA"/>
              </w:rPr>
              <w:t>, можлив</w:t>
            </w:r>
            <w:r w:rsidR="006633CD">
              <w:rPr>
                <w:rFonts w:ascii="Times New Roman" w:hAnsi="Times New Roman"/>
                <w:sz w:val="24"/>
                <w:szCs w:val="24"/>
                <w:lang w:val="uk-UA"/>
              </w:rPr>
              <w:t>их</w:t>
            </w:r>
            <w:r w:rsidRPr="006E2EE7">
              <w:rPr>
                <w:rFonts w:ascii="Times New Roman" w:hAnsi="Times New Roman"/>
                <w:sz w:val="24"/>
                <w:szCs w:val="24"/>
                <w:lang w:val="uk-UA"/>
              </w:rPr>
              <w:t xml:space="preserve"> результат</w:t>
            </w:r>
            <w:r w:rsidR="006633CD">
              <w:rPr>
                <w:rFonts w:ascii="Times New Roman" w:hAnsi="Times New Roman"/>
                <w:sz w:val="24"/>
                <w:szCs w:val="24"/>
                <w:lang w:val="uk-UA"/>
              </w:rPr>
              <w:t>ів</w:t>
            </w:r>
            <w:r w:rsidRPr="006E2EE7">
              <w:rPr>
                <w:rFonts w:ascii="Times New Roman" w:hAnsi="Times New Roman"/>
                <w:sz w:val="24"/>
                <w:szCs w:val="24"/>
                <w:lang w:val="uk-UA"/>
              </w:rPr>
              <w:t xml:space="preserve"> </w:t>
            </w:r>
            <w:r w:rsidR="006633CD">
              <w:rPr>
                <w:rFonts w:ascii="Times New Roman" w:hAnsi="Times New Roman"/>
                <w:sz w:val="24"/>
                <w:szCs w:val="24"/>
                <w:lang w:val="uk-UA"/>
              </w:rPr>
              <w:t>її</w:t>
            </w:r>
            <w:r w:rsidRPr="006E2EE7">
              <w:rPr>
                <w:rFonts w:ascii="Times New Roman" w:hAnsi="Times New Roman"/>
                <w:sz w:val="24"/>
                <w:szCs w:val="24"/>
                <w:lang w:val="uk-UA"/>
              </w:rPr>
              <w:t xml:space="preserve"> реалізації. Аналіз інвестиційної ситуації у країні, регіоні, галузі.</w:t>
            </w:r>
          </w:p>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Ф</w:t>
            </w:r>
            <w:r w:rsidR="00DB6BE4" w:rsidRPr="006E2EE7">
              <w:rPr>
                <w:rFonts w:ascii="Times New Roman" w:hAnsi="Times New Roman"/>
                <w:sz w:val="24"/>
                <w:szCs w:val="24"/>
                <w:lang w:val="uk-UA"/>
              </w:rPr>
              <w:t xml:space="preserve">ормування ідеї </w:t>
            </w:r>
            <w:r w:rsidR="00D1329F" w:rsidRPr="00D1329F">
              <w:rPr>
                <w:rFonts w:ascii="Times New Roman" w:hAnsi="Times New Roman"/>
                <w:sz w:val="24"/>
                <w:szCs w:val="24"/>
                <w:lang w:val="uk-UA"/>
              </w:rPr>
              <w:t xml:space="preserve">інвестиційної привабливості </w:t>
            </w:r>
            <w:r w:rsidR="00DB6BE4" w:rsidRPr="006E2EE7">
              <w:rPr>
                <w:rFonts w:ascii="Times New Roman" w:hAnsi="Times New Roman"/>
                <w:sz w:val="24"/>
                <w:szCs w:val="24"/>
                <w:lang w:val="uk-UA"/>
              </w:rPr>
              <w:t>як інвестиційно</w:t>
            </w:r>
            <w:r w:rsidR="006633CD">
              <w:rPr>
                <w:rFonts w:ascii="Times New Roman" w:hAnsi="Times New Roman"/>
                <w:sz w:val="24"/>
                <w:szCs w:val="24"/>
                <w:lang w:val="uk-UA"/>
              </w:rPr>
              <w:t>ї</w:t>
            </w:r>
            <w:r w:rsidR="00DB6BE4" w:rsidRPr="006E2EE7">
              <w:rPr>
                <w:rFonts w:ascii="Times New Roman" w:hAnsi="Times New Roman"/>
                <w:sz w:val="24"/>
                <w:szCs w:val="24"/>
                <w:lang w:val="uk-UA"/>
              </w:rPr>
              <w:t xml:space="preserve"> пропозиції.</w:t>
            </w:r>
          </w:p>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П</w:t>
            </w:r>
            <w:r w:rsidR="00DB6BE4" w:rsidRPr="006E2EE7">
              <w:rPr>
                <w:rFonts w:ascii="Times New Roman" w:hAnsi="Times New Roman"/>
                <w:sz w:val="24"/>
                <w:szCs w:val="24"/>
                <w:lang w:val="uk-UA"/>
              </w:rPr>
              <w:t>ривернення уваги потенційних інвесторів до інвестиційної пропозиції</w:t>
            </w:r>
          </w:p>
        </w:tc>
      </w:tr>
      <w:tr w:rsidR="00DB6BE4" w:rsidRPr="006E2EE7" w:rsidTr="004009DE">
        <w:trPr>
          <w:gridAfter w:val="1"/>
          <w:wAfter w:w="31" w:type="dxa"/>
        </w:trPr>
        <w:tc>
          <w:tcPr>
            <w:tcW w:w="2100" w:type="dxa"/>
          </w:tcPr>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1.2.</w:t>
            </w:r>
            <w:r w:rsidR="006633CD">
              <w:rPr>
                <w:rFonts w:ascii="Times New Roman" w:hAnsi="Times New Roman"/>
                <w:sz w:val="24"/>
                <w:szCs w:val="24"/>
                <w:lang w:val="uk-UA"/>
              </w:rPr>
              <w:t> </w:t>
            </w:r>
            <w:r w:rsidRPr="006E2EE7">
              <w:rPr>
                <w:rFonts w:ascii="Times New Roman" w:hAnsi="Times New Roman"/>
                <w:sz w:val="24"/>
                <w:szCs w:val="24"/>
                <w:lang w:val="uk-UA"/>
              </w:rPr>
              <w:t xml:space="preserve">Підготовка ТЕО </w:t>
            </w:r>
          </w:p>
        </w:tc>
        <w:tc>
          <w:tcPr>
            <w:tcW w:w="2780"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2.1. Попереднє техніко-економічне обґрунтування (ПТЕО)</w:t>
            </w:r>
            <w:r w:rsidR="006633CD">
              <w:rPr>
                <w:rFonts w:ascii="Times New Roman" w:hAnsi="Times New Roman"/>
                <w:sz w:val="24"/>
                <w:szCs w:val="24"/>
                <w:lang w:val="uk-UA"/>
              </w:rPr>
              <w:t>.</w:t>
            </w:r>
          </w:p>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2.2</w:t>
            </w:r>
            <w:r w:rsidR="006633CD">
              <w:rPr>
                <w:rFonts w:ascii="Times New Roman" w:hAnsi="Times New Roman"/>
                <w:sz w:val="24"/>
                <w:szCs w:val="24"/>
                <w:lang w:val="uk-UA"/>
              </w:rPr>
              <w:t> </w:t>
            </w:r>
            <w:r w:rsidRPr="006E2EE7">
              <w:rPr>
                <w:rFonts w:ascii="Times New Roman" w:hAnsi="Times New Roman"/>
                <w:sz w:val="24"/>
                <w:szCs w:val="24"/>
                <w:lang w:val="uk-UA"/>
              </w:rPr>
              <w:t xml:space="preserve">Детальне опрацювання інвестиційної пропозиції. Підготовка та аналіз ТЕО </w:t>
            </w:r>
            <w:r w:rsidR="00D1329F" w:rsidRPr="00D1329F">
              <w:rPr>
                <w:rFonts w:ascii="Times New Roman" w:hAnsi="Times New Roman"/>
                <w:sz w:val="24"/>
                <w:szCs w:val="24"/>
                <w:lang w:val="uk-UA"/>
              </w:rPr>
              <w:t>інвестиційної привабливості</w:t>
            </w:r>
          </w:p>
        </w:tc>
        <w:tc>
          <w:tcPr>
            <w:tcW w:w="4585" w:type="dxa"/>
          </w:tcPr>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Попередній етап розробки основного документа – бізнес-плану. Мета – оцінка доцільності витрат на розробку ТЕО та бізнес-плану. Зміст: оцінки ризиків. Необхідні ресурси та очікувані результати. Якщо ПТЕО позитивно оцінює інвестиційну пропозицію, проводиться його детальн</w:t>
            </w:r>
            <w:r w:rsidR="003B1D99">
              <w:rPr>
                <w:rFonts w:ascii="Times New Roman" w:hAnsi="Times New Roman"/>
                <w:sz w:val="24"/>
                <w:szCs w:val="24"/>
                <w:lang w:val="uk-UA"/>
              </w:rPr>
              <w:t>е</w:t>
            </w:r>
            <w:r w:rsidRPr="006E2EE7">
              <w:rPr>
                <w:rFonts w:ascii="Times New Roman" w:hAnsi="Times New Roman"/>
                <w:sz w:val="24"/>
                <w:szCs w:val="24"/>
                <w:lang w:val="uk-UA"/>
              </w:rPr>
              <w:t xml:space="preserve"> опрацювання і розробляється ТЕО</w:t>
            </w:r>
            <w:r w:rsidR="003B1D99">
              <w:rPr>
                <w:rFonts w:ascii="Times New Roman" w:hAnsi="Times New Roman"/>
                <w:sz w:val="24"/>
                <w:szCs w:val="24"/>
                <w:lang w:val="uk-UA"/>
              </w:rPr>
              <w:t>.</w:t>
            </w:r>
            <w:r w:rsidRPr="006E2EE7">
              <w:rPr>
                <w:rFonts w:ascii="Times New Roman" w:hAnsi="Times New Roman"/>
                <w:sz w:val="24"/>
                <w:szCs w:val="24"/>
                <w:lang w:val="uk-UA"/>
              </w:rPr>
              <w:t xml:space="preserve"> На основі аналізу робиться висновок про. Якщо висновок позитивний, то за потреби розробляється бізнес-план</w:t>
            </w:r>
          </w:p>
        </w:tc>
      </w:tr>
    </w:tbl>
    <w:p w:rsidR="004009DE" w:rsidRPr="00FC4ABE" w:rsidRDefault="004009DE" w:rsidP="00FC4ABE">
      <w:pPr>
        <w:jc w:val="right"/>
        <w:rPr>
          <w:lang w:val="uk-UA"/>
        </w:rPr>
      </w:pPr>
      <w:r>
        <w:br w:type="page"/>
      </w:r>
      <w:r>
        <w:rPr>
          <w:rFonts w:ascii="Times New Roman" w:hAnsi="Times New Roman"/>
          <w:sz w:val="28"/>
          <w:szCs w:val="28"/>
          <w:lang w:val="uk-UA"/>
        </w:rPr>
        <w:lastRenderedPageBreak/>
        <w:t>Продовження таблиці С.1</w:t>
      </w:r>
    </w:p>
    <w:tbl>
      <w:tblPr>
        <w:tblStyle w:val="a4"/>
        <w:tblW w:w="9496" w:type="dxa"/>
        <w:tblLook w:val="04A0" w:firstRow="1" w:lastRow="0" w:firstColumn="1" w:lastColumn="0" w:noHBand="0" w:noVBand="1"/>
      </w:tblPr>
      <w:tblGrid>
        <w:gridCol w:w="2100"/>
        <w:gridCol w:w="2780"/>
        <w:gridCol w:w="4585"/>
        <w:gridCol w:w="31"/>
      </w:tblGrid>
      <w:tr w:rsidR="004009DE" w:rsidRPr="006E2EE7" w:rsidTr="00BE5A3A">
        <w:trPr>
          <w:gridAfter w:val="1"/>
          <w:wAfter w:w="31" w:type="dxa"/>
          <w:trHeight w:val="406"/>
        </w:trPr>
        <w:tc>
          <w:tcPr>
            <w:tcW w:w="2100" w:type="dxa"/>
          </w:tcPr>
          <w:p w:rsidR="004009DE" w:rsidRPr="006E2EE7" w:rsidRDefault="004009DE"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780" w:type="dxa"/>
          </w:tcPr>
          <w:p w:rsidR="004009DE" w:rsidRPr="006E2EE7" w:rsidRDefault="004009DE"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4585" w:type="dxa"/>
          </w:tcPr>
          <w:p w:rsidR="004009DE" w:rsidRPr="006E2EE7" w:rsidRDefault="004009DE"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r>
      <w:tr w:rsidR="00DB6BE4" w:rsidRPr="003E104E" w:rsidTr="004009DE">
        <w:trPr>
          <w:gridAfter w:val="1"/>
          <w:wAfter w:w="31" w:type="dxa"/>
        </w:trPr>
        <w:tc>
          <w:tcPr>
            <w:tcW w:w="2100" w:type="dxa"/>
          </w:tcPr>
          <w:p w:rsidR="00DB6BE4" w:rsidRPr="006E2EE7" w:rsidRDefault="00404829">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1.3.</w:t>
            </w:r>
            <w:r w:rsidR="003B1D99">
              <w:rPr>
                <w:rFonts w:ascii="Times New Roman" w:hAnsi="Times New Roman"/>
                <w:sz w:val="24"/>
                <w:szCs w:val="24"/>
                <w:lang w:val="uk-UA"/>
              </w:rPr>
              <w:t> </w:t>
            </w:r>
            <w:r w:rsidRPr="006E2EE7">
              <w:rPr>
                <w:rFonts w:ascii="Times New Roman" w:hAnsi="Times New Roman"/>
                <w:sz w:val="24"/>
                <w:szCs w:val="24"/>
                <w:lang w:val="uk-UA"/>
              </w:rPr>
              <w:t>Розробка, аналіз та оцінка бізнес-плану</w:t>
            </w:r>
          </w:p>
        </w:tc>
        <w:tc>
          <w:tcPr>
            <w:tcW w:w="2780" w:type="dxa"/>
          </w:tcPr>
          <w:p w:rsidR="003B1D99"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3.1. Розробка бізнес-плану</w:t>
            </w:r>
            <w:r w:rsidR="003B1D99">
              <w:rPr>
                <w:rFonts w:ascii="Times New Roman" w:hAnsi="Times New Roman"/>
                <w:sz w:val="24"/>
                <w:szCs w:val="24"/>
                <w:lang w:val="uk-UA"/>
              </w:rPr>
              <w:t>.</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3.2. Обговорення бізнес-плану з інвесторами</w:t>
            </w:r>
            <w:r w:rsidR="003B1D99">
              <w:rPr>
                <w:rFonts w:ascii="Times New Roman" w:hAnsi="Times New Roman"/>
                <w:sz w:val="24"/>
                <w:szCs w:val="24"/>
                <w:lang w:val="uk-UA"/>
              </w:rPr>
              <w:t>.</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3.3.</w:t>
            </w:r>
            <w:r w:rsidR="003B1D99">
              <w:rPr>
                <w:rFonts w:ascii="Times New Roman" w:hAnsi="Times New Roman"/>
                <w:sz w:val="24"/>
                <w:szCs w:val="24"/>
                <w:lang w:val="uk-UA"/>
              </w:rPr>
              <w:t> </w:t>
            </w:r>
            <w:r w:rsidRPr="006E2EE7">
              <w:rPr>
                <w:rFonts w:ascii="Times New Roman" w:hAnsi="Times New Roman"/>
                <w:sz w:val="24"/>
                <w:szCs w:val="24"/>
                <w:lang w:val="uk-UA"/>
              </w:rPr>
              <w:t>Уточнення (доопрацювання) бізнес-плану</w:t>
            </w:r>
          </w:p>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3.4. Ухвалення рішення про інвестування</w:t>
            </w:r>
          </w:p>
        </w:tc>
        <w:tc>
          <w:tcPr>
            <w:tcW w:w="4585" w:type="dxa"/>
          </w:tcPr>
          <w:p w:rsidR="00DB6BE4" w:rsidRPr="006E2EE7" w:rsidRDefault="003B1D99" w:rsidP="006E2EE7">
            <w:pPr>
              <w:spacing w:after="0" w:line="240" w:lineRule="auto"/>
              <w:jc w:val="both"/>
              <w:rPr>
                <w:rFonts w:ascii="Times New Roman" w:hAnsi="Times New Roman"/>
                <w:sz w:val="24"/>
                <w:szCs w:val="24"/>
                <w:lang w:val="uk-UA"/>
              </w:rPr>
            </w:pPr>
            <w:r>
              <w:rPr>
                <w:rFonts w:ascii="Times New Roman" w:hAnsi="Times New Roman"/>
                <w:sz w:val="24"/>
                <w:szCs w:val="24"/>
                <w:lang w:val="uk-UA"/>
              </w:rPr>
              <w:t>О</w:t>
            </w:r>
            <w:r w:rsidR="00404829" w:rsidRPr="006E2EE7">
              <w:rPr>
                <w:rFonts w:ascii="Times New Roman" w:hAnsi="Times New Roman"/>
                <w:sz w:val="24"/>
                <w:szCs w:val="24"/>
                <w:lang w:val="uk-UA"/>
              </w:rPr>
              <w:t>бговорення бізнес-плану фахівцями з маркетингу, фінансів, технології та ін</w:t>
            </w:r>
            <w:r>
              <w:rPr>
                <w:rFonts w:ascii="Times New Roman" w:hAnsi="Times New Roman"/>
                <w:sz w:val="24"/>
                <w:szCs w:val="24"/>
                <w:lang w:val="uk-UA"/>
              </w:rPr>
              <w:t>.</w:t>
            </w:r>
            <w:r w:rsidR="00404829" w:rsidRPr="006E2EE7">
              <w:rPr>
                <w:rFonts w:ascii="Times New Roman" w:hAnsi="Times New Roman"/>
                <w:sz w:val="24"/>
                <w:szCs w:val="24"/>
                <w:lang w:val="uk-UA"/>
              </w:rPr>
              <w:t xml:space="preserve"> проводиться з метою оцінки його об'єктивності, поглиблення опрацювання окремих розділів, тобто з метою зниження невизначеності результатів інвестування. Передінвестиційна фаза завершується ухваленням рішення про фінансування </w:t>
            </w:r>
            <w:r w:rsidR="00D1329F" w:rsidRPr="00D1329F">
              <w:rPr>
                <w:rFonts w:ascii="Times New Roman" w:hAnsi="Times New Roman"/>
                <w:sz w:val="24"/>
                <w:szCs w:val="24"/>
                <w:lang w:val="uk-UA"/>
              </w:rPr>
              <w:t>інвестиційної привабливості</w:t>
            </w:r>
            <w:r w:rsidR="00404829" w:rsidRPr="006E2EE7">
              <w:rPr>
                <w:rFonts w:ascii="Times New Roman" w:hAnsi="Times New Roman"/>
                <w:sz w:val="24"/>
                <w:szCs w:val="24"/>
                <w:lang w:val="uk-UA"/>
              </w:rPr>
              <w:t xml:space="preserve"> (або відмовою) конкретним інвестором</w:t>
            </w:r>
          </w:p>
        </w:tc>
      </w:tr>
      <w:tr w:rsidR="00404829" w:rsidRPr="006E2EE7" w:rsidTr="004009DE">
        <w:tc>
          <w:tcPr>
            <w:tcW w:w="9496" w:type="dxa"/>
            <w:gridSpan w:val="4"/>
          </w:tcPr>
          <w:p w:rsidR="00404829" w:rsidRPr="00AF7F70" w:rsidRDefault="00404829" w:rsidP="00AF7F70">
            <w:pPr>
              <w:pStyle w:val="a6"/>
              <w:numPr>
                <w:ilvl w:val="0"/>
                <w:numId w:val="2"/>
              </w:numPr>
              <w:spacing w:after="0" w:line="240" w:lineRule="auto"/>
              <w:jc w:val="both"/>
              <w:rPr>
                <w:rFonts w:ascii="Times New Roman" w:hAnsi="Times New Roman"/>
                <w:sz w:val="24"/>
                <w:szCs w:val="24"/>
                <w:lang w:val="uk-UA"/>
              </w:rPr>
            </w:pPr>
            <w:r w:rsidRPr="00AF7F70">
              <w:rPr>
                <w:rFonts w:ascii="Times New Roman" w:hAnsi="Times New Roman"/>
                <w:sz w:val="24"/>
                <w:szCs w:val="24"/>
                <w:lang w:val="uk-UA"/>
              </w:rPr>
              <w:t>Інвестиційна фаза</w:t>
            </w:r>
          </w:p>
        </w:tc>
      </w:tr>
      <w:tr w:rsidR="00DB6BE4" w:rsidRPr="006E2EE7" w:rsidTr="004009DE">
        <w:trPr>
          <w:gridAfter w:val="1"/>
          <w:wAfter w:w="31" w:type="dxa"/>
        </w:trPr>
        <w:tc>
          <w:tcPr>
            <w:tcW w:w="2100" w:type="dxa"/>
          </w:tcPr>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2.1</w:t>
            </w:r>
            <w:r w:rsidR="003B1D99">
              <w:rPr>
                <w:rFonts w:ascii="Times New Roman" w:hAnsi="Times New Roman"/>
                <w:sz w:val="24"/>
                <w:szCs w:val="24"/>
                <w:lang w:val="uk-UA"/>
              </w:rPr>
              <w:t>. </w:t>
            </w:r>
            <w:r w:rsidRPr="006E2EE7">
              <w:rPr>
                <w:rFonts w:ascii="Times New Roman" w:hAnsi="Times New Roman"/>
                <w:sz w:val="24"/>
                <w:szCs w:val="24"/>
                <w:lang w:val="uk-UA"/>
              </w:rPr>
              <w:t xml:space="preserve">Правова підготовка реалізації </w:t>
            </w:r>
          </w:p>
        </w:tc>
        <w:tc>
          <w:tcPr>
            <w:tcW w:w="2780"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1.1.</w:t>
            </w:r>
            <w:r w:rsidR="003B1D99">
              <w:rPr>
                <w:rFonts w:ascii="Times New Roman" w:hAnsi="Times New Roman"/>
                <w:sz w:val="24"/>
                <w:szCs w:val="24"/>
                <w:lang w:val="uk-UA"/>
              </w:rPr>
              <w:t> </w:t>
            </w:r>
            <w:r w:rsidRPr="006E2EE7">
              <w:rPr>
                <w:rFonts w:ascii="Times New Roman" w:hAnsi="Times New Roman"/>
                <w:sz w:val="24"/>
                <w:szCs w:val="24"/>
                <w:lang w:val="uk-UA"/>
              </w:rPr>
              <w:t>Проведення переговорів та укладання контрактів та договорів</w:t>
            </w:r>
            <w:r w:rsidR="003B1D99">
              <w:rPr>
                <w:rFonts w:ascii="Times New Roman" w:hAnsi="Times New Roman"/>
                <w:sz w:val="24"/>
                <w:szCs w:val="24"/>
                <w:lang w:val="uk-UA"/>
              </w:rPr>
              <w:t>.</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1.2.</w:t>
            </w:r>
            <w:r w:rsidR="003B1D99">
              <w:rPr>
                <w:rFonts w:ascii="Times New Roman" w:hAnsi="Times New Roman"/>
                <w:sz w:val="24"/>
                <w:szCs w:val="24"/>
                <w:lang w:val="uk-UA"/>
              </w:rPr>
              <w:t> </w:t>
            </w:r>
            <w:r w:rsidRPr="006E2EE7">
              <w:rPr>
                <w:rFonts w:ascii="Times New Roman" w:hAnsi="Times New Roman"/>
                <w:sz w:val="24"/>
                <w:szCs w:val="24"/>
                <w:lang w:val="uk-UA"/>
              </w:rPr>
              <w:t xml:space="preserve">Створення (за потреби) юридичної особи </w:t>
            </w:r>
          </w:p>
          <w:p w:rsidR="00DB6BE4" w:rsidRPr="006E2EE7" w:rsidRDefault="00DB6BE4" w:rsidP="006E2EE7">
            <w:pPr>
              <w:spacing w:after="0" w:line="240" w:lineRule="auto"/>
              <w:jc w:val="both"/>
              <w:rPr>
                <w:rFonts w:ascii="Times New Roman" w:hAnsi="Times New Roman"/>
                <w:sz w:val="24"/>
                <w:szCs w:val="24"/>
                <w:lang w:val="uk-UA"/>
              </w:rPr>
            </w:pPr>
          </w:p>
        </w:tc>
        <w:tc>
          <w:tcPr>
            <w:tcW w:w="4585"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Підготування та укладання договорів з усіма учасниками розробки та реалізації </w:t>
            </w:r>
            <w:r w:rsidR="00D1329F" w:rsidRPr="00D1329F">
              <w:rPr>
                <w:rFonts w:ascii="Times New Roman" w:hAnsi="Times New Roman"/>
                <w:sz w:val="24"/>
                <w:szCs w:val="24"/>
                <w:lang w:val="uk-UA"/>
              </w:rPr>
              <w:t>інвестиційної привабливості</w:t>
            </w:r>
            <w:r w:rsidRPr="006E2EE7">
              <w:rPr>
                <w:rFonts w:ascii="Times New Roman" w:hAnsi="Times New Roman"/>
                <w:sz w:val="24"/>
                <w:szCs w:val="24"/>
                <w:lang w:val="uk-UA"/>
              </w:rPr>
              <w:t>. У тому числі:</w:t>
            </w:r>
          </w:p>
          <w:p w:rsidR="00404829" w:rsidRPr="006E2EE7" w:rsidRDefault="00266DB7" w:rsidP="006E2EE7">
            <w:pPr>
              <w:spacing w:after="0" w:line="240" w:lineRule="auto"/>
              <w:jc w:val="both"/>
              <w:rPr>
                <w:rFonts w:ascii="Times New Roman" w:hAnsi="Times New Roman"/>
                <w:sz w:val="24"/>
                <w:szCs w:val="24"/>
                <w:lang w:val="uk-UA"/>
              </w:rPr>
            </w:pPr>
            <w:r>
              <w:rPr>
                <w:rFonts w:ascii="Times New Roman" w:hAnsi="Times New Roman"/>
                <w:sz w:val="24"/>
                <w:szCs w:val="24"/>
                <w:lang w:val="uk-UA"/>
              </w:rPr>
              <w:t>укладання</w:t>
            </w:r>
            <w:r w:rsidR="00404829" w:rsidRPr="006E2EE7">
              <w:rPr>
                <w:rFonts w:ascii="Times New Roman" w:hAnsi="Times New Roman"/>
                <w:sz w:val="24"/>
                <w:szCs w:val="24"/>
                <w:lang w:val="uk-UA"/>
              </w:rPr>
              <w:t xml:space="preserve"> кредитних договорів;</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укладання договорів виконання контрагентських робіт;</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розміщення замовлень на обладнання та ін.</w:t>
            </w:r>
            <w:r w:rsidR="003B1D99">
              <w:rPr>
                <w:rFonts w:ascii="Times New Roman" w:hAnsi="Times New Roman"/>
                <w:sz w:val="24"/>
                <w:szCs w:val="24"/>
                <w:lang w:val="uk-UA"/>
              </w:rPr>
              <w:t>;</w:t>
            </w:r>
          </w:p>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визначення керівника, визначення його</w:t>
            </w:r>
            <w:r w:rsidR="003B1D99">
              <w:rPr>
                <w:rFonts w:ascii="Times New Roman" w:hAnsi="Times New Roman"/>
                <w:sz w:val="24"/>
                <w:szCs w:val="24"/>
                <w:lang w:val="uk-UA"/>
              </w:rPr>
              <w:t xml:space="preserve"> </w:t>
            </w:r>
            <w:r w:rsidRPr="006E2EE7">
              <w:rPr>
                <w:rFonts w:ascii="Times New Roman" w:hAnsi="Times New Roman"/>
                <w:sz w:val="24"/>
                <w:szCs w:val="24"/>
                <w:lang w:val="uk-UA"/>
              </w:rPr>
              <w:t>статусу і т.</w:t>
            </w:r>
            <w:r w:rsidR="00266DB7">
              <w:rPr>
                <w:rFonts w:ascii="Times New Roman" w:hAnsi="Times New Roman"/>
                <w:sz w:val="24"/>
                <w:szCs w:val="24"/>
                <w:lang w:val="uk-UA"/>
              </w:rPr>
              <w:t> </w:t>
            </w:r>
            <w:r w:rsidRPr="006E2EE7">
              <w:rPr>
                <w:rFonts w:ascii="Times New Roman" w:hAnsi="Times New Roman"/>
                <w:sz w:val="24"/>
                <w:szCs w:val="24"/>
                <w:lang w:val="uk-UA"/>
              </w:rPr>
              <w:t>д.</w:t>
            </w:r>
          </w:p>
        </w:tc>
      </w:tr>
      <w:tr w:rsidR="00DB6BE4" w:rsidRPr="006E2EE7" w:rsidTr="004009DE">
        <w:trPr>
          <w:gridAfter w:val="1"/>
          <w:wAfter w:w="31" w:type="dxa"/>
        </w:trPr>
        <w:tc>
          <w:tcPr>
            <w:tcW w:w="2100" w:type="dxa"/>
          </w:tcPr>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2.2.</w:t>
            </w:r>
            <w:r w:rsidR="003B1D99">
              <w:rPr>
                <w:rFonts w:ascii="Times New Roman" w:hAnsi="Times New Roman"/>
                <w:sz w:val="24"/>
                <w:szCs w:val="24"/>
                <w:lang w:val="uk-UA"/>
              </w:rPr>
              <w:t> </w:t>
            </w:r>
            <w:r w:rsidRPr="006E2EE7">
              <w:rPr>
                <w:rFonts w:ascii="Times New Roman" w:hAnsi="Times New Roman"/>
                <w:sz w:val="24"/>
                <w:szCs w:val="24"/>
                <w:lang w:val="uk-UA"/>
              </w:rPr>
              <w:t xml:space="preserve">Науково-технічна підготовка </w:t>
            </w:r>
          </w:p>
        </w:tc>
        <w:tc>
          <w:tcPr>
            <w:tcW w:w="2780"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2.1. Технічна підготовка виробництва</w:t>
            </w:r>
            <w:r w:rsidR="003B1D99">
              <w:rPr>
                <w:rFonts w:ascii="Times New Roman" w:hAnsi="Times New Roman"/>
                <w:sz w:val="24"/>
                <w:szCs w:val="24"/>
                <w:lang w:val="uk-UA"/>
              </w:rPr>
              <w:t>.</w:t>
            </w:r>
          </w:p>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2.2.</w:t>
            </w:r>
            <w:r w:rsidR="003B1D99">
              <w:rPr>
                <w:rFonts w:ascii="Times New Roman" w:hAnsi="Times New Roman"/>
                <w:sz w:val="24"/>
                <w:szCs w:val="24"/>
                <w:lang w:val="uk-UA"/>
              </w:rPr>
              <w:t> </w:t>
            </w:r>
            <w:r w:rsidRPr="006E2EE7">
              <w:rPr>
                <w:rFonts w:ascii="Times New Roman" w:hAnsi="Times New Roman"/>
                <w:sz w:val="24"/>
                <w:szCs w:val="24"/>
                <w:lang w:val="uk-UA"/>
              </w:rPr>
              <w:t xml:space="preserve">Організаційна підготовка виробництва </w:t>
            </w:r>
          </w:p>
        </w:tc>
        <w:tc>
          <w:tcPr>
            <w:tcW w:w="4585" w:type="dxa"/>
          </w:tcPr>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Підготовка технічної документації нового (інвестиційн</w:t>
            </w:r>
            <w:r w:rsidR="00266DB7">
              <w:rPr>
                <w:rFonts w:ascii="Times New Roman" w:hAnsi="Times New Roman"/>
                <w:sz w:val="24"/>
                <w:szCs w:val="24"/>
                <w:lang w:val="uk-UA"/>
              </w:rPr>
              <w:t>ого</w:t>
            </w:r>
            <w:r w:rsidRPr="006E2EE7">
              <w:rPr>
                <w:rFonts w:ascii="Times New Roman" w:hAnsi="Times New Roman"/>
                <w:sz w:val="24"/>
                <w:szCs w:val="24"/>
                <w:lang w:val="uk-UA"/>
              </w:rPr>
              <w:t>) продукт</w:t>
            </w:r>
            <w:r w:rsidR="00266DB7">
              <w:rPr>
                <w:rFonts w:ascii="Times New Roman" w:hAnsi="Times New Roman"/>
                <w:sz w:val="24"/>
                <w:szCs w:val="24"/>
                <w:lang w:val="uk-UA"/>
              </w:rPr>
              <w:t>у</w:t>
            </w:r>
            <w:r w:rsidRPr="006E2EE7">
              <w:rPr>
                <w:rFonts w:ascii="Times New Roman" w:hAnsi="Times New Roman"/>
                <w:sz w:val="24"/>
                <w:szCs w:val="24"/>
                <w:lang w:val="uk-UA"/>
              </w:rPr>
              <w:t>. Розробка планів виробництва. Укладання договорів на постачання комплектуючих. Встановлення нового обладнання. Перепланування. Зміна виробничої структури та структури управління</w:t>
            </w:r>
          </w:p>
        </w:tc>
      </w:tr>
      <w:tr w:rsidR="00DB6BE4" w:rsidRPr="006E2EE7" w:rsidTr="004009DE">
        <w:trPr>
          <w:gridAfter w:val="1"/>
          <w:wAfter w:w="31" w:type="dxa"/>
          <w:trHeight w:val="1412"/>
        </w:trPr>
        <w:tc>
          <w:tcPr>
            <w:tcW w:w="2100" w:type="dxa"/>
          </w:tcPr>
          <w:p w:rsidR="00DB6BE4" w:rsidRPr="006E2EE7" w:rsidRDefault="00404829" w:rsidP="00D1329F">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2.3</w:t>
            </w:r>
            <w:r w:rsidR="003B1D99">
              <w:rPr>
                <w:rFonts w:ascii="Times New Roman" w:hAnsi="Times New Roman"/>
                <w:sz w:val="24"/>
                <w:szCs w:val="24"/>
                <w:lang w:val="uk-UA"/>
              </w:rPr>
              <w:t>. </w:t>
            </w:r>
            <w:r w:rsidRPr="006E2EE7">
              <w:rPr>
                <w:rFonts w:ascii="Times New Roman" w:hAnsi="Times New Roman"/>
                <w:sz w:val="24"/>
                <w:szCs w:val="24"/>
                <w:lang w:val="uk-UA"/>
              </w:rPr>
              <w:t xml:space="preserve">Маркетингова підготовка </w:t>
            </w:r>
          </w:p>
        </w:tc>
        <w:tc>
          <w:tcPr>
            <w:tcW w:w="2780"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3.1.</w:t>
            </w:r>
            <w:r w:rsidR="003B1D99">
              <w:rPr>
                <w:rFonts w:ascii="Times New Roman" w:hAnsi="Times New Roman"/>
                <w:sz w:val="24"/>
                <w:szCs w:val="24"/>
                <w:lang w:val="uk-UA"/>
              </w:rPr>
              <w:t> </w:t>
            </w:r>
            <w:r w:rsidRPr="006E2EE7">
              <w:rPr>
                <w:rFonts w:ascii="Times New Roman" w:hAnsi="Times New Roman"/>
                <w:sz w:val="24"/>
                <w:szCs w:val="24"/>
                <w:lang w:val="uk-UA"/>
              </w:rPr>
              <w:t>Формування товаропровідної мережі</w:t>
            </w:r>
            <w:r w:rsidR="003B1D99">
              <w:rPr>
                <w:rFonts w:ascii="Times New Roman" w:hAnsi="Times New Roman"/>
                <w:sz w:val="24"/>
                <w:szCs w:val="24"/>
                <w:lang w:val="uk-UA"/>
              </w:rPr>
              <w:t>.</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3.2. Реклама</w:t>
            </w:r>
            <w:r w:rsidR="003B1D99">
              <w:rPr>
                <w:rFonts w:ascii="Times New Roman" w:hAnsi="Times New Roman"/>
                <w:sz w:val="24"/>
                <w:szCs w:val="24"/>
                <w:lang w:val="uk-UA"/>
              </w:rPr>
              <w:t>.</w:t>
            </w:r>
          </w:p>
          <w:p w:rsidR="00DB6BE4" w:rsidRPr="006E2EE7" w:rsidRDefault="00404829">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3.3.</w:t>
            </w:r>
            <w:r w:rsidR="003B1D99">
              <w:rPr>
                <w:rFonts w:ascii="Times New Roman" w:hAnsi="Times New Roman"/>
                <w:sz w:val="24"/>
                <w:szCs w:val="24"/>
                <w:lang w:val="uk-UA"/>
              </w:rPr>
              <w:t> </w:t>
            </w:r>
            <w:r w:rsidRPr="006E2EE7">
              <w:rPr>
                <w:rFonts w:ascii="Times New Roman" w:hAnsi="Times New Roman"/>
                <w:sz w:val="24"/>
                <w:szCs w:val="24"/>
                <w:lang w:val="uk-UA"/>
              </w:rPr>
              <w:t>Формування стратегії збуту</w:t>
            </w:r>
          </w:p>
        </w:tc>
        <w:tc>
          <w:tcPr>
            <w:tcW w:w="4585" w:type="dxa"/>
          </w:tcPr>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Укладення договорів на постачання продукції. Вироблення політики цін щодо інвестиційного товару</w:t>
            </w:r>
          </w:p>
        </w:tc>
      </w:tr>
      <w:tr w:rsidR="00DB6BE4" w:rsidRPr="006E2EE7" w:rsidTr="004009DE">
        <w:trPr>
          <w:gridAfter w:val="1"/>
          <w:wAfter w:w="31" w:type="dxa"/>
          <w:trHeight w:val="1970"/>
        </w:trPr>
        <w:tc>
          <w:tcPr>
            <w:tcW w:w="2100" w:type="dxa"/>
          </w:tcPr>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2.4. Реалізація</w:t>
            </w:r>
          </w:p>
        </w:tc>
        <w:tc>
          <w:tcPr>
            <w:tcW w:w="2780" w:type="dxa"/>
          </w:tcPr>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4.1.</w:t>
            </w:r>
            <w:r w:rsidR="003B1D99">
              <w:rPr>
                <w:rFonts w:ascii="Times New Roman" w:hAnsi="Times New Roman"/>
                <w:sz w:val="24"/>
                <w:szCs w:val="24"/>
                <w:lang w:val="uk-UA"/>
              </w:rPr>
              <w:t> </w:t>
            </w:r>
            <w:r w:rsidRPr="006E2EE7">
              <w:rPr>
                <w:rFonts w:ascii="Times New Roman" w:hAnsi="Times New Roman"/>
                <w:sz w:val="24"/>
                <w:szCs w:val="24"/>
                <w:lang w:val="uk-UA"/>
              </w:rPr>
              <w:t>Підготовка будівельної документації</w:t>
            </w:r>
            <w:r w:rsidR="003B1D99">
              <w:rPr>
                <w:rFonts w:ascii="Times New Roman" w:hAnsi="Times New Roman"/>
                <w:sz w:val="24"/>
                <w:szCs w:val="24"/>
                <w:lang w:val="uk-UA"/>
              </w:rPr>
              <w:t>.</w:t>
            </w:r>
          </w:p>
          <w:p w:rsidR="00404829"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4.2.</w:t>
            </w:r>
            <w:r w:rsidR="003B1D99">
              <w:rPr>
                <w:rFonts w:ascii="Times New Roman" w:hAnsi="Times New Roman"/>
                <w:sz w:val="24"/>
                <w:szCs w:val="24"/>
                <w:lang w:val="uk-UA"/>
              </w:rPr>
              <w:t> </w:t>
            </w:r>
            <w:r w:rsidRPr="006E2EE7">
              <w:rPr>
                <w:rFonts w:ascii="Times New Roman" w:hAnsi="Times New Roman"/>
                <w:sz w:val="24"/>
                <w:szCs w:val="24"/>
                <w:lang w:val="uk-UA"/>
              </w:rPr>
              <w:t>Будівельно-монтажні роботи</w:t>
            </w:r>
            <w:r w:rsidR="003B1D99">
              <w:rPr>
                <w:rFonts w:ascii="Times New Roman" w:hAnsi="Times New Roman"/>
                <w:sz w:val="24"/>
                <w:szCs w:val="24"/>
                <w:lang w:val="uk-UA"/>
              </w:rPr>
              <w:t>.</w:t>
            </w:r>
          </w:p>
          <w:p w:rsidR="00DB6BE4" w:rsidRPr="006E2EE7" w:rsidRDefault="00404829">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4.3.</w:t>
            </w:r>
            <w:r w:rsidR="003B1D99">
              <w:rPr>
                <w:rFonts w:ascii="Times New Roman" w:hAnsi="Times New Roman"/>
                <w:sz w:val="24"/>
                <w:szCs w:val="24"/>
                <w:lang w:val="uk-UA"/>
              </w:rPr>
              <w:t> </w:t>
            </w:r>
            <w:r w:rsidRPr="006E2EE7">
              <w:rPr>
                <w:rFonts w:ascii="Times New Roman" w:hAnsi="Times New Roman"/>
                <w:sz w:val="24"/>
                <w:szCs w:val="24"/>
                <w:lang w:val="uk-UA"/>
              </w:rPr>
              <w:t>Прийомо-здатні випробування</w:t>
            </w:r>
          </w:p>
        </w:tc>
        <w:tc>
          <w:tcPr>
            <w:tcW w:w="4585" w:type="dxa"/>
          </w:tcPr>
          <w:p w:rsidR="00DB6BE4" w:rsidRPr="006E2EE7" w:rsidRDefault="00404829" w:rsidP="006E2EE7">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Відповідають назві етапів</w:t>
            </w:r>
          </w:p>
        </w:tc>
      </w:tr>
    </w:tbl>
    <w:p w:rsidR="002A16E4" w:rsidRPr="00864B2F" w:rsidRDefault="002A16E4" w:rsidP="002A16E4">
      <w:pPr>
        <w:pStyle w:val="a5"/>
        <w:spacing w:before="0" w:beforeAutospacing="0" w:after="0" w:afterAutospacing="0" w:line="360" w:lineRule="auto"/>
        <w:ind w:left="709"/>
        <w:jc w:val="both"/>
        <w:rPr>
          <w:i/>
          <w:iCs/>
          <w:color w:val="000000"/>
          <w:lang w:val="uk-UA"/>
        </w:rPr>
      </w:pPr>
      <w:r>
        <w:rPr>
          <w:i/>
          <w:iCs/>
          <w:color w:val="000000"/>
          <w:lang w:val="uk-UA"/>
        </w:rPr>
        <w:t>Джерело: розроблено автором</w:t>
      </w:r>
    </w:p>
    <w:p w:rsidR="00435FDC" w:rsidRDefault="00EB5B4E">
      <w:pPr>
        <w:keepNext/>
        <w:pageBreakBefore/>
        <w:jc w:val="center"/>
      </w:pPr>
      <w:r>
        <w:rPr>
          <w:rFonts w:ascii="Times New Roman" w:eastAsia="Times New Roman" w:hAnsi="Times New Roman"/>
          <w:b/>
          <w:sz w:val="28"/>
        </w:rPr>
        <w:lastRenderedPageBreak/>
        <w:t>ДОДАТОК Т</w:t>
      </w:r>
    </w:p>
    <w:p w:rsidR="00435FDC" w:rsidRDefault="00EB5B4E">
      <w:pPr>
        <w:keepNext/>
        <w:jc w:val="center"/>
      </w:pPr>
      <w:r>
        <w:rPr>
          <w:rFonts w:ascii="Times New Roman" w:eastAsia="Times New Roman" w:hAnsi="Times New Roman"/>
          <w:sz w:val="28"/>
        </w:rPr>
        <w:t>Зміст фаз життєвого циклу інвестиційної привабливості</w:t>
      </w:r>
    </w:p>
    <w:p w:rsidR="004009DE" w:rsidRPr="00DE02ED" w:rsidRDefault="004009DE" w:rsidP="00FC4ABE">
      <w:pPr>
        <w:spacing w:after="0" w:line="360" w:lineRule="auto"/>
        <w:ind w:firstLine="709"/>
        <w:jc w:val="right"/>
        <w:rPr>
          <w:rFonts w:ascii="Times New Roman" w:hAnsi="Times New Roman"/>
          <w:sz w:val="28"/>
          <w:szCs w:val="28"/>
          <w:lang w:val="uk-UA"/>
        </w:rPr>
      </w:pPr>
      <w:r w:rsidRPr="00DE02ED">
        <w:rPr>
          <w:rFonts w:ascii="Times New Roman" w:hAnsi="Times New Roman"/>
          <w:sz w:val="28"/>
          <w:szCs w:val="28"/>
          <w:lang w:val="uk-UA"/>
        </w:rPr>
        <w:t>Таблиця Т.1</w:t>
      </w:r>
    </w:p>
    <w:p w:rsidR="004009DE" w:rsidRDefault="004009DE" w:rsidP="009C19A3">
      <w:pPr>
        <w:spacing w:after="0" w:line="360" w:lineRule="auto"/>
        <w:ind w:firstLine="709"/>
        <w:jc w:val="center"/>
        <w:rPr>
          <w:rFonts w:ascii="Times New Roman" w:hAnsi="Times New Roman"/>
          <w:sz w:val="28"/>
          <w:szCs w:val="28"/>
          <w:lang w:val="uk-UA"/>
        </w:rPr>
      </w:pPr>
      <w:r w:rsidRPr="00DE02ED">
        <w:rPr>
          <w:rFonts w:ascii="Times New Roman" w:hAnsi="Times New Roman"/>
          <w:sz w:val="28"/>
          <w:szCs w:val="28"/>
          <w:lang w:val="uk-UA"/>
        </w:rPr>
        <w:t xml:space="preserve">Зміст фаз життєвого циклу </w:t>
      </w:r>
      <w:r w:rsidRPr="00AD0D2A">
        <w:rPr>
          <w:rFonts w:ascii="Times New Roman" w:hAnsi="Times New Roman"/>
          <w:sz w:val="28"/>
          <w:szCs w:val="28"/>
          <w:lang w:val="uk-UA"/>
        </w:rPr>
        <w:t>інвестиційної привабливості</w:t>
      </w:r>
    </w:p>
    <w:tbl>
      <w:tblPr>
        <w:tblStyle w:val="a4"/>
        <w:tblW w:w="0" w:type="auto"/>
        <w:tblLook w:val="04A0" w:firstRow="1" w:lastRow="0" w:firstColumn="1" w:lastColumn="0" w:noHBand="0" w:noVBand="1"/>
      </w:tblPr>
      <w:tblGrid>
        <w:gridCol w:w="2107"/>
        <w:gridCol w:w="2364"/>
        <w:gridCol w:w="1709"/>
        <w:gridCol w:w="1695"/>
        <w:gridCol w:w="1695"/>
      </w:tblGrid>
      <w:tr w:rsidR="004009DE" w:rsidRPr="006E2EE7" w:rsidTr="009C19A3">
        <w:tc>
          <w:tcPr>
            <w:tcW w:w="4471" w:type="dxa"/>
            <w:gridSpan w:val="2"/>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Передінвестиційна фаза </w:t>
            </w:r>
          </w:p>
        </w:tc>
        <w:tc>
          <w:tcPr>
            <w:tcW w:w="5099" w:type="dxa"/>
            <w:gridSpan w:val="3"/>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Інвестиційна фаза </w:t>
            </w: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Етап формування концепції та розробки </w:t>
            </w:r>
            <w:r w:rsidRPr="00EE026D">
              <w:rPr>
                <w:rFonts w:ascii="Times New Roman" w:hAnsi="Times New Roman"/>
                <w:sz w:val="24"/>
                <w:szCs w:val="24"/>
                <w:lang w:val="uk-UA"/>
              </w:rPr>
              <w:t>інвестиційної привабливості</w:t>
            </w:r>
          </w:p>
          <w:p w:rsidR="004009DE" w:rsidRPr="006E2EE7" w:rsidRDefault="004009DE" w:rsidP="00BE5A3A">
            <w:pPr>
              <w:spacing w:after="0" w:line="240" w:lineRule="auto"/>
              <w:jc w:val="both"/>
              <w:rPr>
                <w:rFonts w:ascii="Times New Roman" w:hAnsi="Times New Roman"/>
                <w:sz w:val="24"/>
                <w:szCs w:val="24"/>
                <w:lang w:val="uk-UA"/>
              </w:rPr>
            </w:pP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Етап розробки </w:t>
            </w:r>
            <w:r>
              <w:rPr>
                <w:rFonts w:ascii="Times New Roman" w:hAnsi="Times New Roman"/>
                <w:sz w:val="24"/>
                <w:szCs w:val="24"/>
                <w:lang w:val="uk-UA"/>
              </w:rPr>
              <w:t>проєк</w:t>
            </w:r>
            <w:r w:rsidRPr="006E2EE7">
              <w:rPr>
                <w:rFonts w:ascii="Times New Roman" w:hAnsi="Times New Roman"/>
                <w:sz w:val="24"/>
                <w:szCs w:val="24"/>
                <w:lang w:val="uk-UA"/>
              </w:rPr>
              <w:t>тно-кошторисної документації та підготовка до будівництва</w:t>
            </w:r>
          </w:p>
          <w:p w:rsidR="004009DE" w:rsidRPr="006E2EE7" w:rsidRDefault="004009DE" w:rsidP="00BE5A3A">
            <w:pPr>
              <w:spacing w:after="0" w:line="240" w:lineRule="auto"/>
              <w:jc w:val="both"/>
              <w:rPr>
                <w:rFonts w:ascii="Times New Roman" w:hAnsi="Times New Roman"/>
                <w:sz w:val="24"/>
                <w:szCs w:val="24"/>
                <w:lang w:val="uk-UA"/>
              </w:rPr>
            </w:pP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Етап прове</w:t>
            </w:r>
            <w:r>
              <w:rPr>
                <w:rFonts w:ascii="Times New Roman" w:hAnsi="Times New Roman"/>
                <w:sz w:val="24"/>
                <w:szCs w:val="24"/>
                <w:lang w:val="uk-UA"/>
              </w:rPr>
              <w:t>-</w:t>
            </w:r>
            <w:r w:rsidRPr="006E2EE7">
              <w:rPr>
                <w:rFonts w:ascii="Times New Roman" w:hAnsi="Times New Roman"/>
                <w:sz w:val="24"/>
                <w:szCs w:val="24"/>
                <w:lang w:val="uk-UA"/>
              </w:rPr>
              <w:t>дення тенде</w:t>
            </w:r>
            <w:r>
              <w:rPr>
                <w:rFonts w:ascii="Times New Roman" w:hAnsi="Times New Roman"/>
                <w:sz w:val="24"/>
                <w:szCs w:val="24"/>
                <w:lang w:val="uk-UA"/>
              </w:rPr>
              <w:t>-</w:t>
            </w:r>
            <w:r w:rsidRPr="006E2EE7">
              <w:rPr>
                <w:rFonts w:ascii="Times New Roman" w:hAnsi="Times New Roman"/>
                <w:sz w:val="24"/>
                <w:szCs w:val="24"/>
                <w:lang w:val="uk-UA"/>
              </w:rPr>
              <w:t>рів, укладання контрактів, організації закупівель та поставок</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Етап будівельно-монтажних робіт</w:t>
            </w:r>
          </w:p>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Етап завершення </w:t>
            </w:r>
            <w:r>
              <w:rPr>
                <w:rFonts w:ascii="Times New Roman" w:hAnsi="Times New Roman"/>
                <w:sz w:val="24"/>
                <w:szCs w:val="24"/>
                <w:lang w:val="uk-UA"/>
              </w:rPr>
              <w:t>проєк</w:t>
            </w:r>
            <w:r w:rsidRPr="006E2EE7">
              <w:rPr>
                <w:rFonts w:ascii="Times New Roman" w:hAnsi="Times New Roman"/>
                <w:sz w:val="24"/>
                <w:szCs w:val="24"/>
                <w:lang w:val="uk-UA"/>
              </w:rPr>
              <w:t>ту</w:t>
            </w:r>
          </w:p>
        </w:tc>
      </w:tr>
      <w:tr w:rsidR="009C19A3" w:rsidRPr="006E2EE7" w:rsidTr="00BE5A3A">
        <w:tc>
          <w:tcPr>
            <w:tcW w:w="2107"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364"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1709"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1695"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1695"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w:t>
            </w:r>
            <w:r>
              <w:rPr>
                <w:rFonts w:ascii="Times New Roman" w:hAnsi="Times New Roman"/>
                <w:sz w:val="24"/>
                <w:szCs w:val="24"/>
                <w:lang w:val="uk-UA"/>
              </w:rPr>
              <w:t> </w:t>
            </w:r>
            <w:r w:rsidRPr="006E2EE7">
              <w:rPr>
                <w:rFonts w:ascii="Times New Roman" w:hAnsi="Times New Roman"/>
                <w:sz w:val="24"/>
                <w:szCs w:val="24"/>
                <w:lang w:val="uk-UA"/>
              </w:rPr>
              <w:t>Вивчення напрямів розвитку (регіону, міста</w:t>
            </w:r>
            <w:r>
              <w:rPr>
                <w:rFonts w:ascii="Times New Roman" w:hAnsi="Times New Roman"/>
                <w:sz w:val="24"/>
                <w:szCs w:val="24"/>
                <w:lang w:val="uk-UA"/>
              </w:rPr>
              <w:t>, селища</w:t>
            </w:r>
            <w:r w:rsidRPr="006E2EE7">
              <w:rPr>
                <w:rFonts w:ascii="Times New Roman" w:hAnsi="Times New Roman"/>
                <w:sz w:val="24"/>
                <w:szCs w:val="24"/>
                <w:lang w:val="uk-UA"/>
              </w:rPr>
              <w:t>), побудова прогнозів</w:t>
            </w:r>
          </w:p>
          <w:p w:rsidR="004009DE" w:rsidRPr="006E2EE7" w:rsidRDefault="004009DE" w:rsidP="00BE5A3A">
            <w:pPr>
              <w:spacing w:after="0" w:line="240" w:lineRule="auto"/>
              <w:jc w:val="both"/>
              <w:rPr>
                <w:rFonts w:ascii="Times New Roman" w:hAnsi="Times New Roman"/>
                <w:sz w:val="24"/>
                <w:szCs w:val="24"/>
                <w:lang w:val="uk-UA"/>
              </w:rPr>
            </w:pP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1. Розробка плану </w:t>
            </w:r>
            <w:r w:rsidRPr="002F2AA1">
              <w:rPr>
                <w:rFonts w:ascii="Times New Roman" w:hAnsi="Times New Roman"/>
                <w:sz w:val="24"/>
                <w:szCs w:val="24"/>
                <w:lang w:val="uk-UA"/>
              </w:rPr>
              <w:t xml:space="preserve">інвестиційної привабливості </w:t>
            </w:r>
            <w:r w:rsidRPr="006E2EE7">
              <w:rPr>
                <w:rFonts w:ascii="Times New Roman" w:hAnsi="Times New Roman"/>
                <w:sz w:val="24"/>
                <w:szCs w:val="24"/>
                <w:lang w:val="uk-UA"/>
              </w:rPr>
              <w:t>-вишукувальних робіт</w:t>
            </w:r>
          </w:p>
          <w:p w:rsidR="004009DE" w:rsidRPr="006E2EE7" w:rsidRDefault="004009DE" w:rsidP="00BE5A3A">
            <w:pPr>
              <w:spacing w:after="0" w:line="240" w:lineRule="auto"/>
              <w:jc w:val="both"/>
              <w:rPr>
                <w:rFonts w:ascii="Times New Roman" w:hAnsi="Times New Roman"/>
                <w:sz w:val="24"/>
                <w:szCs w:val="24"/>
                <w:lang w:val="uk-UA"/>
              </w:rPr>
            </w:pP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1. Тендери на </w:t>
            </w:r>
            <w:r>
              <w:rPr>
                <w:rFonts w:ascii="Times New Roman" w:hAnsi="Times New Roman"/>
                <w:sz w:val="24"/>
                <w:szCs w:val="24"/>
                <w:lang w:val="uk-UA"/>
              </w:rPr>
              <w:t>проєк</w:t>
            </w:r>
            <w:r w:rsidRPr="006E2EE7">
              <w:rPr>
                <w:rFonts w:ascii="Times New Roman" w:hAnsi="Times New Roman"/>
                <w:sz w:val="24"/>
                <w:szCs w:val="24"/>
                <w:lang w:val="uk-UA"/>
              </w:rPr>
              <w:t>тно-вишукувальні роботи та висновок контрактів</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 Розробка оперативного плану будівництва</w:t>
            </w:r>
          </w:p>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w:t>
            </w:r>
            <w:r>
              <w:rPr>
                <w:rFonts w:ascii="Times New Roman" w:hAnsi="Times New Roman"/>
                <w:sz w:val="24"/>
                <w:szCs w:val="24"/>
                <w:lang w:val="uk-UA"/>
              </w:rPr>
              <w:t> </w:t>
            </w:r>
            <w:r w:rsidRPr="006E2EE7">
              <w:rPr>
                <w:rFonts w:ascii="Times New Roman" w:hAnsi="Times New Roman"/>
                <w:sz w:val="24"/>
                <w:szCs w:val="24"/>
                <w:lang w:val="uk-UA"/>
              </w:rPr>
              <w:t>Пуско-налагоджу</w:t>
            </w:r>
            <w:r>
              <w:rPr>
                <w:rFonts w:ascii="Times New Roman" w:hAnsi="Times New Roman"/>
                <w:sz w:val="24"/>
                <w:szCs w:val="24"/>
                <w:lang w:val="uk-UA"/>
              </w:rPr>
              <w:t>-</w:t>
            </w:r>
            <w:r w:rsidRPr="006E2EE7">
              <w:rPr>
                <w:rFonts w:ascii="Times New Roman" w:hAnsi="Times New Roman"/>
                <w:sz w:val="24"/>
                <w:szCs w:val="24"/>
                <w:lang w:val="uk-UA"/>
              </w:rPr>
              <w:t>вальні роботи</w:t>
            </w: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w:t>
            </w:r>
            <w:r>
              <w:rPr>
                <w:rFonts w:ascii="Times New Roman" w:hAnsi="Times New Roman"/>
                <w:sz w:val="24"/>
                <w:szCs w:val="24"/>
                <w:lang w:val="uk-UA"/>
              </w:rPr>
              <w:t> </w:t>
            </w:r>
            <w:r w:rsidRPr="006E2EE7">
              <w:rPr>
                <w:rFonts w:ascii="Times New Roman" w:hAnsi="Times New Roman"/>
                <w:sz w:val="24"/>
                <w:szCs w:val="24"/>
                <w:lang w:val="uk-UA"/>
              </w:rPr>
              <w:t>Аналіз умов реалізації задуму,</w:t>
            </w:r>
          </w:p>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розробка концепції </w:t>
            </w:r>
            <w:r w:rsidRPr="002F2AA1">
              <w:rPr>
                <w:rFonts w:ascii="Times New Roman" w:hAnsi="Times New Roman"/>
                <w:sz w:val="24"/>
                <w:szCs w:val="24"/>
                <w:lang w:val="uk-UA"/>
              </w:rPr>
              <w:t>інвестиційної привабливості</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w:t>
            </w:r>
            <w:r>
              <w:rPr>
                <w:rFonts w:ascii="Times New Roman" w:hAnsi="Times New Roman"/>
                <w:sz w:val="24"/>
                <w:szCs w:val="24"/>
                <w:lang w:val="uk-UA"/>
              </w:rPr>
              <w:t> </w:t>
            </w:r>
            <w:r w:rsidRPr="006E2EE7">
              <w:rPr>
                <w:rFonts w:ascii="Times New Roman" w:hAnsi="Times New Roman"/>
                <w:sz w:val="24"/>
                <w:szCs w:val="24"/>
                <w:lang w:val="uk-UA"/>
              </w:rPr>
              <w:t>Завдання на розробку ТЕО та розробка ТЕО</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 Тендери на постачання обладнання та укладання контрактів</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 Виконання будівельно-монтажних  робіт</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2.</w:t>
            </w:r>
            <w:r>
              <w:rPr>
                <w:rFonts w:ascii="Times New Roman" w:hAnsi="Times New Roman"/>
                <w:sz w:val="24"/>
                <w:szCs w:val="24"/>
                <w:lang w:val="uk-UA"/>
              </w:rPr>
              <w:t> </w:t>
            </w:r>
            <w:r w:rsidRPr="006E2EE7">
              <w:rPr>
                <w:rFonts w:ascii="Times New Roman" w:hAnsi="Times New Roman"/>
                <w:sz w:val="24"/>
                <w:szCs w:val="24"/>
                <w:lang w:val="uk-UA"/>
              </w:rPr>
              <w:t>Здача об'єкту</w:t>
            </w:r>
          </w:p>
          <w:p w:rsidR="004009DE" w:rsidRPr="006E2EE7" w:rsidRDefault="004009DE" w:rsidP="00BE5A3A">
            <w:pPr>
              <w:spacing w:after="0" w:line="240" w:lineRule="auto"/>
              <w:jc w:val="both"/>
              <w:rPr>
                <w:rFonts w:ascii="Times New Roman" w:hAnsi="Times New Roman"/>
                <w:sz w:val="24"/>
                <w:szCs w:val="24"/>
                <w:lang w:val="uk-UA"/>
              </w:rPr>
            </w:pPr>
          </w:p>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w:t>
            </w:r>
            <w:r>
              <w:rPr>
                <w:rFonts w:ascii="Times New Roman" w:hAnsi="Times New Roman"/>
                <w:sz w:val="24"/>
                <w:szCs w:val="24"/>
                <w:lang w:val="uk-UA"/>
              </w:rPr>
              <w:t> </w:t>
            </w:r>
            <w:r w:rsidRPr="006E2EE7">
              <w:rPr>
                <w:rFonts w:ascii="Times New Roman" w:hAnsi="Times New Roman"/>
                <w:sz w:val="24"/>
                <w:szCs w:val="24"/>
                <w:lang w:val="uk-UA"/>
              </w:rPr>
              <w:t>Перед</w:t>
            </w:r>
            <w:r>
              <w:rPr>
                <w:rFonts w:ascii="Times New Roman" w:hAnsi="Times New Roman"/>
                <w:sz w:val="24"/>
                <w:szCs w:val="24"/>
                <w:lang w:val="uk-UA"/>
              </w:rPr>
              <w:t>проєк</w:t>
            </w:r>
            <w:r w:rsidRPr="006E2EE7">
              <w:rPr>
                <w:rFonts w:ascii="Times New Roman" w:hAnsi="Times New Roman"/>
                <w:sz w:val="24"/>
                <w:szCs w:val="24"/>
                <w:lang w:val="uk-UA"/>
              </w:rPr>
              <w:t xml:space="preserve">тне обґрунтування інвестицій; оцінка життєздатності </w:t>
            </w:r>
            <w:r w:rsidRPr="002F2AA1">
              <w:rPr>
                <w:rFonts w:ascii="Times New Roman" w:hAnsi="Times New Roman"/>
                <w:sz w:val="24"/>
                <w:szCs w:val="24"/>
                <w:lang w:val="uk-UA"/>
              </w:rPr>
              <w:t>інвестиційної привабливості</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w:t>
            </w:r>
            <w:r>
              <w:rPr>
                <w:rFonts w:ascii="Times New Roman" w:hAnsi="Times New Roman"/>
                <w:sz w:val="24"/>
                <w:szCs w:val="24"/>
                <w:lang w:val="uk-UA"/>
              </w:rPr>
              <w:t> </w:t>
            </w:r>
            <w:r w:rsidRPr="006E2EE7">
              <w:rPr>
                <w:rFonts w:ascii="Times New Roman" w:hAnsi="Times New Roman"/>
                <w:sz w:val="24"/>
                <w:szCs w:val="24"/>
                <w:lang w:val="uk-UA"/>
              </w:rPr>
              <w:t>Узгодження, експертиза та затвердження ТЕО</w:t>
            </w:r>
          </w:p>
          <w:p w:rsidR="004009DE" w:rsidRPr="006E2EE7" w:rsidRDefault="004009DE" w:rsidP="00BE5A3A">
            <w:pPr>
              <w:spacing w:after="0" w:line="240" w:lineRule="auto"/>
              <w:jc w:val="both"/>
              <w:rPr>
                <w:rFonts w:ascii="Times New Roman" w:hAnsi="Times New Roman"/>
                <w:sz w:val="24"/>
                <w:szCs w:val="24"/>
                <w:lang w:val="uk-UA"/>
              </w:rPr>
            </w:pP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 Тендери на підрядні роботи та висновок</w:t>
            </w:r>
          </w:p>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контрактів</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w:t>
            </w:r>
            <w:r>
              <w:rPr>
                <w:rFonts w:ascii="Times New Roman" w:hAnsi="Times New Roman"/>
                <w:sz w:val="24"/>
                <w:szCs w:val="24"/>
                <w:lang w:val="uk-UA"/>
              </w:rPr>
              <w:t> </w:t>
            </w:r>
            <w:r w:rsidRPr="006E2EE7">
              <w:rPr>
                <w:rFonts w:ascii="Times New Roman" w:hAnsi="Times New Roman"/>
                <w:sz w:val="24"/>
                <w:szCs w:val="24"/>
                <w:lang w:val="uk-UA"/>
              </w:rPr>
              <w:t>Моніто</w:t>
            </w:r>
            <w:r>
              <w:rPr>
                <w:rFonts w:ascii="Times New Roman" w:hAnsi="Times New Roman"/>
                <w:sz w:val="24"/>
                <w:szCs w:val="24"/>
                <w:lang w:val="uk-UA"/>
              </w:rPr>
              <w:t>-</w:t>
            </w:r>
            <w:r w:rsidRPr="006E2EE7">
              <w:rPr>
                <w:rFonts w:ascii="Times New Roman" w:hAnsi="Times New Roman"/>
                <w:sz w:val="24"/>
                <w:szCs w:val="24"/>
                <w:lang w:val="uk-UA"/>
              </w:rPr>
              <w:t>ринг та контроль</w:t>
            </w:r>
          </w:p>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3.</w:t>
            </w:r>
            <w:r>
              <w:rPr>
                <w:rFonts w:ascii="Times New Roman" w:hAnsi="Times New Roman"/>
                <w:sz w:val="24"/>
                <w:szCs w:val="24"/>
                <w:lang w:val="uk-UA"/>
              </w:rPr>
              <w:t> </w:t>
            </w:r>
            <w:r w:rsidRPr="006E2EE7">
              <w:rPr>
                <w:rFonts w:ascii="Times New Roman" w:hAnsi="Times New Roman"/>
                <w:sz w:val="24"/>
                <w:szCs w:val="24"/>
                <w:lang w:val="uk-UA"/>
              </w:rPr>
              <w:t>Аналіз результатів</w:t>
            </w:r>
          </w:p>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w:t>
            </w:r>
            <w:r>
              <w:rPr>
                <w:rFonts w:ascii="Times New Roman" w:hAnsi="Times New Roman"/>
                <w:sz w:val="24"/>
                <w:szCs w:val="24"/>
                <w:lang w:val="uk-UA"/>
              </w:rPr>
              <w:t> </w:t>
            </w:r>
            <w:r w:rsidRPr="006E2EE7">
              <w:rPr>
                <w:rFonts w:ascii="Times New Roman" w:hAnsi="Times New Roman"/>
                <w:sz w:val="24"/>
                <w:szCs w:val="24"/>
                <w:lang w:val="uk-UA"/>
              </w:rPr>
              <w:t>Вибір та погодження місця розміщення об'єкта</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w:t>
            </w:r>
            <w:r>
              <w:rPr>
                <w:rFonts w:ascii="Times New Roman" w:hAnsi="Times New Roman"/>
                <w:sz w:val="24"/>
                <w:szCs w:val="24"/>
                <w:lang w:val="uk-UA"/>
              </w:rPr>
              <w:t> </w:t>
            </w:r>
            <w:r w:rsidRPr="006E2EE7">
              <w:rPr>
                <w:rFonts w:ascii="Times New Roman" w:hAnsi="Times New Roman"/>
                <w:sz w:val="24"/>
                <w:szCs w:val="24"/>
                <w:lang w:val="uk-UA"/>
              </w:rPr>
              <w:t>Видача завдання</w:t>
            </w:r>
            <w:r>
              <w:rPr>
                <w:rFonts w:ascii="Times New Roman" w:hAnsi="Times New Roman"/>
                <w:sz w:val="24"/>
                <w:szCs w:val="24"/>
                <w:lang w:val="uk-UA"/>
              </w:rPr>
              <w:t xml:space="preserve"> з</w:t>
            </w:r>
            <w:r w:rsidRPr="006E2EE7">
              <w:rPr>
                <w:rFonts w:ascii="Times New Roman" w:hAnsi="Times New Roman"/>
                <w:sz w:val="24"/>
                <w:szCs w:val="24"/>
                <w:lang w:val="uk-UA"/>
              </w:rPr>
              <w:t xml:space="preserve"> </w:t>
            </w:r>
            <w:r w:rsidRPr="002F2AA1">
              <w:rPr>
                <w:rFonts w:ascii="Times New Roman" w:hAnsi="Times New Roman"/>
                <w:sz w:val="24"/>
                <w:szCs w:val="24"/>
                <w:lang w:val="uk-UA"/>
              </w:rPr>
              <w:t xml:space="preserve">інвестиційної привабливості </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w:t>
            </w:r>
            <w:r>
              <w:rPr>
                <w:rFonts w:ascii="Times New Roman" w:hAnsi="Times New Roman"/>
                <w:sz w:val="24"/>
                <w:szCs w:val="24"/>
                <w:lang w:val="uk-UA"/>
              </w:rPr>
              <w:t> </w:t>
            </w:r>
            <w:r w:rsidRPr="006E2EE7">
              <w:rPr>
                <w:rFonts w:ascii="Times New Roman" w:hAnsi="Times New Roman"/>
                <w:sz w:val="24"/>
                <w:szCs w:val="24"/>
                <w:lang w:val="uk-UA"/>
              </w:rPr>
              <w:t>Розробка план-графіків постачання ресурсів</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w:t>
            </w:r>
            <w:r>
              <w:rPr>
                <w:rFonts w:ascii="Times New Roman" w:hAnsi="Times New Roman"/>
                <w:sz w:val="24"/>
                <w:szCs w:val="24"/>
                <w:lang w:val="uk-UA"/>
              </w:rPr>
              <w:t> </w:t>
            </w:r>
            <w:r w:rsidRPr="006E2EE7">
              <w:rPr>
                <w:rFonts w:ascii="Times New Roman" w:hAnsi="Times New Roman"/>
                <w:sz w:val="24"/>
                <w:szCs w:val="24"/>
                <w:lang w:val="uk-UA"/>
              </w:rPr>
              <w:t>Коригу</w:t>
            </w:r>
            <w:r>
              <w:rPr>
                <w:rFonts w:ascii="Times New Roman" w:hAnsi="Times New Roman"/>
                <w:sz w:val="24"/>
                <w:szCs w:val="24"/>
                <w:lang w:val="uk-UA"/>
              </w:rPr>
              <w:t>-</w:t>
            </w:r>
            <w:r w:rsidRPr="006E2EE7">
              <w:rPr>
                <w:rFonts w:ascii="Times New Roman" w:hAnsi="Times New Roman"/>
                <w:sz w:val="24"/>
                <w:szCs w:val="24"/>
                <w:lang w:val="uk-UA"/>
              </w:rPr>
              <w:t xml:space="preserve">вання плану </w:t>
            </w:r>
            <w:r w:rsidRPr="002F2AA1">
              <w:rPr>
                <w:rFonts w:ascii="Times New Roman" w:hAnsi="Times New Roman"/>
                <w:sz w:val="24"/>
                <w:szCs w:val="24"/>
                <w:lang w:val="uk-UA"/>
              </w:rPr>
              <w:t>інвестиційної привабливості</w:t>
            </w:r>
            <w:r w:rsidRPr="006E2EE7">
              <w:rPr>
                <w:rFonts w:ascii="Times New Roman" w:hAnsi="Times New Roman"/>
                <w:sz w:val="24"/>
                <w:szCs w:val="24"/>
                <w:lang w:val="uk-UA"/>
              </w:rPr>
              <w:t xml:space="preserve"> та оператив</w:t>
            </w:r>
            <w:r>
              <w:rPr>
                <w:rFonts w:ascii="Times New Roman" w:hAnsi="Times New Roman"/>
                <w:sz w:val="24"/>
                <w:szCs w:val="24"/>
                <w:lang w:val="uk-UA"/>
              </w:rPr>
              <w:t>-ного плану реалізації</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4.</w:t>
            </w:r>
            <w:r>
              <w:rPr>
                <w:rFonts w:ascii="Times New Roman" w:hAnsi="Times New Roman"/>
                <w:sz w:val="24"/>
                <w:szCs w:val="24"/>
                <w:lang w:val="uk-UA"/>
              </w:rPr>
              <w:t> </w:t>
            </w:r>
            <w:r w:rsidRPr="006E2EE7">
              <w:rPr>
                <w:rFonts w:ascii="Times New Roman" w:hAnsi="Times New Roman"/>
                <w:sz w:val="24"/>
                <w:szCs w:val="24"/>
                <w:lang w:val="uk-UA"/>
              </w:rPr>
              <w:t>Експлуа</w:t>
            </w:r>
            <w:r>
              <w:rPr>
                <w:rFonts w:ascii="Times New Roman" w:hAnsi="Times New Roman"/>
                <w:sz w:val="24"/>
                <w:szCs w:val="24"/>
                <w:lang w:val="uk-UA"/>
              </w:rPr>
              <w:t>-</w:t>
            </w:r>
            <w:r w:rsidRPr="006E2EE7">
              <w:rPr>
                <w:rFonts w:ascii="Times New Roman" w:hAnsi="Times New Roman"/>
                <w:sz w:val="24"/>
                <w:szCs w:val="24"/>
                <w:lang w:val="uk-UA"/>
              </w:rPr>
              <w:t>тація об'єкта</w:t>
            </w:r>
          </w:p>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5.</w:t>
            </w:r>
            <w:r>
              <w:rPr>
                <w:rFonts w:ascii="Times New Roman" w:hAnsi="Times New Roman"/>
                <w:sz w:val="24"/>
                <w:szCs w:val="24"/>
                <w:lang w:val="uk-UA"/>
              </w:rPr>
              <w:t> </w:t>
            </w:r>
            <w:r w:rsidRPr="006E2EE7">
              <w:rPr>
                <w:rFonts w:ascii="Times New Roman" w:hAnsi="Times New Roman"/>
                <w:sz w:val="24"/>
                <w:szCs w:val="24"/>
                <w:lang w:val="uk-UA"/>
              </w:rPr>
              <w:t>Екологічне обґрунтування</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5.</w:t>
            </w:r>
            <w:r>
              <w:rPr>
                <w:rFonts w:ascii="Times New Roman" w:hAnsi="Times New Roman"/>
                <w:sz w:val="24"/>
                <w:szCs w:val="24"/>
                <w:lang w:val="uk-UA"/>
              </w:rPr>
              <w:t> </w:t>
            </w:r>
            <w:r w:rsidRPr="006E2EE7">
              <w:rPr>
                <w:rFonts w:ascii="Times New Roman" w:hAnsi="Times New Roman"/>
                <w:sz w:val="24"/>
                <w:szCs w:val="24"/>
                <w:lang w:val="uk-UA"/>
              </w:rPr>
              <w:t xml:space="preserve">Розробка, погодження та затвердження робочої документації щодо </w:t>
            </w:r>
            <w:r w:rsidRPr="002F2AA1">
              <w:rPr>
                <w:rFonts w:ascii="Times New Roman" w:hAnsi="Times New Roman"/>
                <w:sz w:val="24"/>
                <w:szCs w:val="24"/>
                <w:lang w:val="uk-UA"/>
              </w:rPr>
              <w:t>інвестиційної привабливості</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5.</w:t>
            </w:r>
            <w:r>
              <w:rPr>
                <w:rFonts w:ascii="Times New Roman" w:hAnsi="Times New Roman"/>
                <w:sz w:val="24"/>
                <w:szCs w:val="24"/>
                <w:lang w:val="uk-UA"/>
              </w:rPr>
              <w:t> </w:t>
            </w:r>
            <w:r w:rsidRPr="006E2EE7">
              <w:rPr>
                <w:rFonts w:ascii="Times New Roman" w:hAnsi="Times New Roman"/>
                <w:sz w:val="24"/>
                <w:szCs w:val="24"/>
                <w:lang w:val="uk-UA"/>
              </w:rPr>
              <w:t>Оплата виконаних робіт та поставок</w:t>
            </w: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5. Ремонт та модернізація об'єкта</w:t>
            </w:r>
          </w:p>
          <w:p w:rsidR="004009DE" w:rsidRPr="006E2EE7" w:rsidRDefault="004009DE" w:rsidP="00BE5A3A">
            <w:pPr>
              <w:spacing w:after="0" w:line="240" w:lineRule="auto"/>
              <w:jc w:val="both"/>
              <w:rPr>
                <w:rFonts w:ascii="Times New Roman" w:hAnsi="Times New Roman"/>
                <w:sz w:val="24"/>
                <w:szCs w:val="24"/>
                <w:lang w:val="uk-UA"/>
              </w:rPr>
            </w:pPr>
          </w:p>
        </w:tc>
      </w:tr>
    </w:tbl>
    <w:p w:rsidR="009C19A3" w:rsidRPr="00FC4ABE" w:rsidRDefault="009C19A3" w:rsidP="00FC4ABE">
      <w:pPr>
        <w:jc w:val="right"/>
        <w:rPr>
          <w:lang w:val="uk-UA"/>
        </w:rPr>
      </w:pPr>
      <w:r>
        <w:br w:type="page"/>
      </w:r>
      <w:r>
        <w:rPr>
          <w:rFonts w:ascii="Times New Roman" w:hAnsi="Times New Roman"/>
          <w:sz w:val="28"/>
          <w:szCs w:val="28"/>
          <w:lang w:val="uk-UA"/>
        </w:rPr>
        <w:lastRenderedPageBreak/>
        <w:t>Продовження таблиці Т.1</w:t>
      </w:r>
    </w:p>
    <w:tbl>
      <w:tblPr>
        <w:tblStyle w:val="a4"/>
        <w:tblW w:w="0" w:type="auto"/>
        <w:tblLook w:val="04A0" w:firstRow="1" w:lastRow="0" w:firstColumn="1" w:lastColumn="0" w:noHBand="0" w:noVBand="1"/>
      </w:tblPr>
      <w:tblGrid>
        <w:gridCol w:w="2107"/>
        <w:gridCol w:w="2364"/>
        <w:gridCol w:w="1709"/>
        <w:gridCol w:w="1695"/>
        <w:gridCol w:w="1695"/>
      </w:tblGrid>
      <w:tr w:rsidR="009C19A3" w:rsidRPr="006E2EE7" w:rsidTr="00BE5A3A">
        <w:tc>
          <w:tcPr>
            <w:tcW w:w="2107"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364"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1709"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1695"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1695" w:type="dxa"/>
          </w:tcPr>
          <w:p w:rsidR="009C19A3" w:rsidRPr="006E2EE7" w:rsidRDefault="009C19A3" w:rsidP="00BE5A3A">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6.</w:t>
            </w:r>
            <w:r>
              <w:rPr>
                <w:rFonts w:ascii="Times New Roman" w:hAnsi="Times New Roman"/>
                <w:sz w:val="24"/>
                <w:szCs w:val="24"/>
                <w:lang w:val="uk-UA"/>
              </w:rPr>
              <w:t> </w:t>
            </w:r>
            <w:r w:rsidRPr="006E2EE7">
              <w:rPr>
                <w:rFonts w:ascii="Times New Roman" w:hAnsi="Times New Roman"/>
                <w:sz w:val="24"/>
                <w:szCs w:val="24"/>
                <w:lang w:val="uk-UA"/>
              </w:rPr>
              <w:t xml:space="preserve">Експертиза </w:t>
            </w:r>
            <w:r w:rsidRPr="002F2AA1">
              <w:rPr>
                <w:rFonts w:ascii="Times New Roman" w:hAnsi="Times New Roman"/>
                <w:sz w:val="24"/>
                <w:szCs w:val="24"/>
                <w:lang w:val="uk-UA"/>
              </w:rPr>
              <w:t>інвестиційної привабливості</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6.</w:t>
            </w:r>
            <w:r>
              <w:rPr>
                <w:rFonts w:ascii="Times New Roman" w:hAnsi="Times New Roman"/>
                <w:sz w:val="24"/>
                <w:szCs w:val="24"/>
                <w:lang w:val="uk-UA"/>
              </w:rPr>
              <w:t> </w:t>
            </w:r>
            <w:r w:rsidRPr="006E2EE7">
              <w:rPr>
                <w:rFonts w:ascii="Times New Roman" w:hAnsi="Times New Roman"/>
                <w:sz w:val="24"/>
                <w:szCs w:val="24"/>
                <w:lang w:val="uk-UA"/>
              </w:rPr>
              <w:t>Ухвалення остаточного рішення про</w:t>
            </w:r>
          </w:p>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інвестуванн</w:t>
            </w:r>
            <w:r>
              <w:rPr>
                <w:rFonts w:ascii="Times New Roman" w:hAnsi="Times New Roman"/>
                <w:sz w:val="24"/>
                <w:szCs w:val="24"/>
                <w:lang w:val="uk-UA"/>
              </w:rPr>
              <w:t>я</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6.</w:t>
            </w:r>
            <w:r>
              <w:rPr>
                <w:rFonts w:ascii="Times New Roman" w:hAnsi="Times New Roman"/>
                <w:sz w:val="24"/>
                <w:szCs w:val="24"/>
                <w:lang w:val="uk-UA"/>
              </w:rPr>
              <w:t> З</w:t>
            </w:r>
            <w:r w:rsidRPr="006E2EE7">
              <w:rPr>
                <w:rFonts w:ascii="Times New Roman" w:hAnsi="Times New Roman"/>
                <w:sz w:val="24"/>
                <w:szCs w:val="24"/>
                <w:lang w:val="uk-UA"/>
              </w:rPr>
              <w:t xml:space="preserve">авершення </w:t>
            </w:r>
            <w:r w:rsidRPr="002F2AA1">
              <w:rPr>
                <w:rFonts w:ascii="Times New Roman" w:hAnsi="Times New Roman"/>
                <w:sz w:val="24"/>
                <w:szCs w:val="24"/>
                <w:lang w:val="uk-UA"/>
              </w:rPr>
              <w:t>інвестиційної привабливості</w:t>
            </w:r>
            <w:r w:rsidRPr="006E2EE7">
              <w:rPr>
                <w:rFonts w:ascii="Times New Roman" w:hAnsi="Times New Roman"/>
                <w:sz w:val="24"/>
                <w:szCs w:val="24"/>
                <w:lang w:val="uk-UA"/>
              </w:rPr>
              <w:t xml:space="preserve"> (демонтаж</w:t>
            </w:r>
          </w:p>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обладнання)</w:t>
            </w: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7.</w:t>
            </w:r>
            <w:r>
              <w:rPr>
                <w:rFonts w:ascii="Times New Roman" w:hAnsi="Times New Roman"/>
                <w:sz w:val="24"/>
                <w:szCs w:val="24"/>
                <w:lang w:val="uk-UA"/>
              </w:rPr>
              <w:t> </w:t>
            </w:r>
            <w:r w:rsidRPr="006E2EE7">
              <w:rPr>
                <w:rFonts w:ascii="Times New Roman" w:hAnsi="Times New Roman"/>
                <w:sz w:val="24"/>
                <w:szCs w:val="24"/>
                <w:lang w:val="uk-UA"/>
              </w:rPr>
              <w:t>Попереднє інвестиційне рішення</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7.</w:t>
            </w:r>
            <w:r>
              <w:rPr>
                <w:rFonts w:ascii="Times New Roman" w:hAnsi="Times New Roman"/>
                <w:sz w:val="24"/>
                <w:szCs w:val="24"/>
                <w:lang w:val="uk-UA"/>
              </w:rPr>
              <w:t> </w:t>
            </w:r>
            <w:r w:rsidRPr="006E2EE7">
              <w:rPr>
                <w:rFonts w:ascii="Times New Roman" w:hAnsi="Times New Roman"/>
                <w:sz w:val="24"/>
                <w:szCs w:val="24"/>
                <w:lang w:val="uk-UA"/>
              </w:rPr>
              <w:t>Відведення землі під будівництво</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8.</w:t>
            </w:r>
            <w:r>
              <w:rPr>
                <w:rFonts w:ascii="Times New Roman" w:hAnsi="Times New Roman"/>
                <w:sz w:val="24"/>
                <w:szCs w:val="24"/>
                <w:lang w:val="uk-UA"/>
              </w:rPr>
              <w:t> </w:t>
            </w:r>
            <w:r w:rsidRPr="006E2EE7">
              <w:rPr>
                <w:rFonts w:ascii="Times New Roman" w:hAnsi="Times New Roman"/>
                <w:sz w:val="24"/>
                <w:szCs w:val="24"/>
                <w:lang w:val="uk-UA"/>
              </w:rPr>
              <w:t xml:space="preserve">Розробка попереднього плану </w:t>
            </w:r>
            <w:r w:rsidRPr="002F2AA1">
              <w:rPr>
                <w:rFonts w:ascii="Times New Roman" w:hAnsi="Times New Roman"/>
                <w:sz w:val="24"/>
                <w:szCs w:val="24"/>
                <w:lang w:val="uk-UA"/>
              </w:rPr>
              <w:t>інвестиційної привабливості</w:t>
            </w: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8.</w:t>
            </w:r>
            <w:r>
              <w:rPr>
                <w:rFonts w:ascii="Times New Roman" w:hAnsi="Times New Roman"/>
                <w:sz w:val="24"/>
                <w:szCs w:val="24"/>
                <w:lang w:val="uk-UA"/>
              </w:rPr>
              <w:t> </w:t>
            </w:r>
            <w:r w:rsidRPr="006E2EE7">
              <w:rPr>
                <w:rFonts w:ascii="Times New Roman" w:hAnsi="Times New Roman"/>
                <w:sz w:val="24"/>
                <w:szCs w:val="24"/>
                <w:lang w:val="uk-UA"/>
              </w:rPr>
              <w:t>Дозвіл на будівництво</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 xml:space="preserve">9. Завдання на розробку </w:t>
            </w:r>
            <w:r>
              <w:rPr>
                <w:rFonts w:ascii="Times New Roman" w:hAnsi="Times New Roman"/>
                <w:sz w:val="24"/>
                <w:szCs w:val="24"/>
                <w:lang w:val="uk-UA"/>
              </w:rPr>
              <w:t>проєк</w:t>
            </w:r>
            <w:r w:rsidRPr="006E2EE7">
              <w:rPr>
                <w:rFonts w:ascii="Times New Roman" w:hAnsi="Times New Roman"/>
                <w:sz w:val="24"/>
                <w:szCs w:val="24"/>
                <w:lang w:val="uk-UA"/>
              </w:rPr>
              <w:t>ту виконання робіт</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r>
      <w:tr w:rsidR="004009DE" w:rsidRPr="006E2EE7" w:rsidTr="009C19A3">
        <w:tc>
          <w:tcPr>
            <w:tcW w:w="2107" w:type="dxa"/>
          </w:tcPr>
          <w:p w:rsidR="004009DE" w:rsidRPr="006E2EE7" w:rsidRDefault="004009DE" w:rsidP="00BE5A3A">
            <w:pPr>
              <w:spacing w:after="0" w:line="240" w:lineRule="auto"/>
              <w:jc w:val="both"/>
              <w:rPr>
                <w:rFonts w:ascii="Times New Roman" w:hAnsi="Times New Roman"/>
                <w:sz w:val="24"/>
                <w:szCs w:val="24"/>
                <w:lang w:val="uk-UA"/>
              </w:rPr>
            </w:pPr>
          </w:p>
        </w:tc>
        <w:tc>
          <w:tcPr>
            <w:tcW w:w="2364" w:type="dxa"/>
          </w:tcPr>
          <w:p w:rsidR="004009DE" w:rsidRPr="006E2EE7" w:rsidRDefault="004009DE" w:rsidP="00BE5A3A">
            <w:pPr>
              <w:spacing w:after="0" w:line="240" w:lineRule="auto"/>
              <w:jc w:val="both"/>
              <w:rPr>
                <w:rFonts w:ascii="Times New Roman" w:hAnsi="Times New Roman"/>
                <w:sz w:val="24"/>
                <w:szCs w:val="24"/>
                <w:lang w:val="uk-UA"/>
              </w:rPr>
            </w:pPr>
            <w:r w:rsidRPr="006E2EE7">
              <w:rPr>
                <w:rFonts w:ascii="Times New Roman" w:hAnsi="Times New Roman"/>
                <w:sz w:val="24"/>
                <w:szCs w:val="24"/>
                <w:lang w:val="uk-UA"/>
              </w:rPr>
              <w:t>10.</w:t>
            </w:r>
            <w:r>
              <w:rPr>
                <w:rFonts w:ascii="Times New Roman" w:hAnsi="Times New Roman"/>
                <w:sz w:val="24"/>
                <w:szCs w:val="24"/>
                <w:lang w:val="uk-UA"/>
              </w:rPr>
              <w:t> </w:t>
            </w:r>
            <w:r w:rsidRPr="006E2EE7">
              <w:rPr>
                <w:rFonts w:ascii="Times New Roman" w:hAnsi="Times New Roman"/>
                <w:sz w:val="24"/>
                <w:szCs w:val="24"/>
                <w:lang w:val="uk-UA"/>
              </w:rPr>
              <w:t xml:space="preserve">Розробка плану </w:t>
            </w:r>
            <w:r>
              <w:rPr>
                <w:rFonts w:ascii="Times New Roman" w:hAnsi="Times New Roman"/>
                <w:sz w:val="24"/>
                <w:szCs w:val="24"/>
                <w:lang w:val="uk-UA"/>
              </w:rPr>
              <w:t>проєк</w:t>
            </w:r>
            <w:r w:rsidRPr="006E2EE7">
              <w:rPr>
                <w:rFonts w:ascii="Times New Roman" w:hAnsi="Times New Roman"/>
                <w:sz w:val="24"/>
                <w:szCs w:val="24"/>
                <w:lang w:val="uk-UA"/>
              </w:rPr>
              <w:t>ту</w:t>
            </w:r>
          </w:p>
        </w:tc>
        <w:tc>
          <w:tcPr>
            <w:tcW w:w="1709"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c>
          <w:tcPr>
            <w:tcW w:w="1695" w:type="dxa"/>
          </w:tcPr>
          <w:p w:rsidR="004009DE" w:rsidRPr="006E2EE7" w:rsidRDefault="004009DE" w:rsidP="00BE5A3A">
            <w:pPr>
              <w:spacing w:after="0" w:line="240" w:lineRule="auto"/>
              <w:jc w:val="both"/>
              <w:rPr>
                <w:rFonts w:ascii="Times New Roman" w:hAnsi="Times New Roman"/>
                <w:sz w:val="24"/>
                <w:szCs w:val="24"/>
                <w:lang w:val="uk-UA"/>
              </w:rPr>
            </w:pPr>
          </w:p>
        </w:tc>
      </w:tr>
    </w:tbl>
    <w:p w:rsidR="004009DE" w:rsidRPr="00864B2F" w:rsidRDefault="004009DE" w:rsidP="004009DE">
      <w:pPr>
        <w:pStyle w:val="a5"/>
        <w:spacing w:before="0" w:beforeAutospacing="0" w:after="0" w:afterAutospacing="0" w:line="360" w:lineRule="auto"/>
        <w:ind w:left="709"/>
        <w:jc w:val="both"/>
        <w:rPr>
          <w:i/>
          <w:iCs/>
          <w:color w:val="000000"/>
          <w:lang w:val="uk-UA"/>
        </w:rPr>
      </w:pPr>
      <w:r>
        <w:rPr>
          <w:i/>
          <w:iCs/>
          <w:color w:val="000000"/>
          <w:lang w:val="uk-UA"/>
        </w:rPr>
        <w:t>Джерело: розроблено автором</w:t>
      </w:r>
    </w:p>
    <w:p w:rsidR="00435FDC" w:rsidRDefault="00EB5B4E">
      <w:pPr>
        <w:keepNext/>
        <w:pageBreakBefore/>
        <w:jc w:val="center"/>
      </w:pPr>
      <w:r>
        <w:rPr>
          <w:rFonts w:ascii="Times New Roman" w:eastAsia="Times New Roman" w:hAnsi="Times New Roman"/>
          <w:b/>
          <w:sz w:val="28"/>
        </w:rPr>
        <w:lastRenderedPageBreak/>
        <w:t>ДОДАТОК У</w:t>
      </w:r>
    </w:p>
    <w:p w:rsidR="00435FDC" w:rsidRDefault="00EB5B4E">
      <w:pPr>
        <w:keepNext/>
        <w:jc w:val="center"/>
      </w:pPr>
      <w:r>
        <w:rPr>
          <w:rFonts w:ascii="Times New Roman" w:eastAsia="Times New Roman" w:hAnsi="Times New Roman"/>
          <w:sz w:val="28"/>
        </w:rPr>
        <w:t>Сценарний метод оцінювання інвестиційних проєктів</w:t>
      </w:r>
    </w:p>
    <w:p w:rsidR="002F389C" w:rsidRPr="008B6793" w:rsidRDefault="002F389C" w:rsidP="00336F0C">
      <w:pPr>
        <w:spacing w:after="0" w:line="360" w:lineRule="auto"/>
        <w:ind w:firstLine="709"/>
        <w:jc w:val="right"/>
        <w:rPr>
          <w:rFonts w:ascii="Times New Roman" w:hAnsi="Times New Roman"/>
          <w:sz w:val="28"/>
          <w:szCs w:val="28"/>
          <w:lang w:val="uk-UA"/>
        </w:rPr>
      </w:pPr>
      <w:r w:rsidRPr="008B6793">
        <w:rPr>
          <w:rFonts w:ascii="Times New Roman" w:hAnsi="Times New Roman"/>
          <w:sz w:val="28"/>
          <w:szCs w:val="28"/>
          <w:lang w:val="uk-UA"/>
        </w:rPr>
        <w:t>Таблиця У.1</w:t>
      </w:r>
    </w:p>
    <w:p w:rsidR="002F389C" w:rsidRPr="008B6793" w:rsidRDefault="002F389C" w:rsidP="002F389C">
      <w:pPr>
        <w:spacing w:after="0" w:line="360" w:lineRule="auto"/>
        <w:ind w:firstLine="709"/>
        <w:jc w:val="both"/>
        <w:rPr>
          <w:rFonts w:ascii="Times New Roman" w:hAnsi="Times New Roman"/>
          <w:sz w:val="28"/>
          <w:szCs w:val="28"/>
          <w:lang w:val="uk-UA"/>
        </w:rPr>
      </w:pPr>
      <w:r w:rsidRPr="008B6793">
        <w:rPr>
          <w:rFonts w:ascii="Times New Roman" w:hAnsi="Times New Roman"/>
          <w:sz w:val="28"/>
          <w:szCs w:val="28"/>
          <w:lang w:val="uk-UA"/>
        </w:rPr>
        <w:t xml:space="preserve">Приклад визначення переваги проєкту з </w:t>
      </w:r>
      <w:r w:rsidRPr="008B6793">
        <w:rPr>
          <w:rStyle w:val="docdata"/>
          <w:rFonts w:ascii="Times New Roman" w:eastAsia="Aptos" w:hAnsi="Times New Roman"/>
          <w:color w:val="000000"/>
          <w:kern w:val="2"/>
          <w:sz w:val="28"/>
          <w:szCs w:val="28"/>
          <w:lang w:val="uk-UA"/>
        </w:rPr>
        <w:t>інвестиційної привабливості</w:t>
      </w:r>
      <w:r w:rsidRPr="008B6793">
        <w:rPr>
          <w:rFonts w:ascii="Times New Roman" w:hAnsi="Times New Roman"/>
          <w:sz w:val="28"/>
          <w:szCs w:val="28"/>
          <w:lang w:val="uk-UA"/>
        </w:rPr>
        <w:t xml:space="preserve"> на основі методу</w:t>
      </w:r>
      <w:r w:rsidRPr="008B6793">
        <w:rPr>
          <w:rFonts w:ascii="Times New Roman" w:hAnsi="Times New Roman"/>
          <w:sz w:val="28"/>
          <w:szCs w:val="28"/>
        </w:rPr>
        <w:t xml:space="preserve"> </w:t>
      </w:r>
      <w:r w:rsidRPr="008B6793">
        <w:rPr>
          <w:rFonts w:ascii="Times New Roman" w:hAnsi="Times New Roman"/>
          <w:sz w:val="28"/>
          <w:szCs w:val="28"/>
          <w:lang w:val="uk-UA"/>
        </w:rPr>
        <w:t>сценаріїв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3190"/>
        <w:gridCol w:w="3191"/>
      </w:tblGrid>
      <w:tr w:rsidR="002F389C" w:rsidRPr="000A5361" w:rsidTr="005670E0">
        <w:trPr>
          <w:cantSplit/>
          <w:tblHeader/>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Показник</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Pr>
                <w:rFonts w:ascii="Times New Roman" w:hAnsi="Times New Roman"/>
                <w:sz w:val="28"/>
                <w:szCs w:val="28"/>
                <w:lang w:val="uk-UA"/>
              </w:rPr>
              <w:t>Проєк</w:t>
            </w:r>
            <w:r w:rsidRPr="000A5361">
              <w:rPr>
                <w:rFonts w:ascii="Times New Roman" w:hAnsi="Times New Roman"/>
                <w:sz w:val="28"/>
                <w:szCs w:val="28"/>
                <w:lang w:val="uk-UA"/>
              </w:rPr>
              <w:t>т А</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Pr>
                <w:rFonts w:ascii="Times New Roman" w:hAnsi="Times New Roman"/>
                <w:sz w:val="28"/>
                <w:szCs w:val="28"/>
                <w:lang w:val="uk-UA"/>
              </w:rPr>
              <w:t>Проєк</w:t>
            </w:r>
            <w:r w:rsidRPr="000A5361">
              <w:rPr>
                <w:rFonts w:ascii="Times New Roman" w:hAnsi="Times New Roman"/>
                <w:sz w:val="28"/>
                <w:szCs w:val="28"/>
                <w:lang w:val="uk-UA"/>
              </w:rPr>
              <w:t>т В</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Інвестиція</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9,0</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9,0</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Експертна оцінка середнього річного надходження:</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песимістична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2,4</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2,0</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найімовірніша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3,0</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3,5</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оптимістична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3,6</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5,0</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Оцінка NPV (на основі розрахунку):</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песимістична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0,10</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-1,42</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найімовірніша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2,37</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4,27</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оптимістична</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4,65</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9,96</w:t>
            </w:r>
          </w:p>
        </w:tc>
      </w:tr>
      <w:tr w:rsidR="002F389C" w:rsidRPr="000A5361" w:rsidTr="005670E0">
        <w:trPr>
          <w:cantSplit/>
        </w:trPr>
        <w:tc>
          <w:tcPr>
            <w:tcW w:w="3189"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Розмах варіації NPV</w:t>
            </w:r>
          </w:p>
        </w:tc>
        <w:tc>
          <w:tcPr>
            <w:tcW w:w="3190"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4,55</w:t>
            </w:r>
          </w:p>
        </w:tc>
        <w:tc>
          <w:tcPr>
            <w:tcW w:w="3191" w:type="dxa"/>
            <w:shd w:val="clear" w:color="auto" w:fill="auto"/>
          </w:tcPr>
          <w:p w:rsidR="002F389C" w:rsidRPr="000A5361" w:rsidRDefault="002F389C" w:rsidP="005670E0">
            <w:pPr>
              <w:spacing w:after="0" w:line="360" w:lineRule="auto"/>
              <w:jc w:val="both"/>
              <w:rPr>
                <w:rFonts w:ascii="Times New Roman" w:hAnsi="Times New Roman"/>
                <w:sz w:val="28"/>
                <w:szCs w:val="28"/>
                <w:lang w:val="uk-UA"/>
              </w:rPr>
            </w:pPr>
            <w:r w:rsidRPr="000A5361">
              <w:rPr>
                <w:rFonts w:ascii="Times New Roman" w:hAnsi="Times New Roman"/>
                <w:sz w:val="28"/>
                <w:szCs w:val="28"/>
                <w:lang w:val="uk-UA"/>
              </w:rPr>
              <w:t>11,38</w:t>
            </w:r>
          </w:p>
        </w:tc>
      </w:tr>
    </w:tbl>
    <w:p w:rsidR="002F389C" w:rsidRPr="00864B2F" w:rsidRDefault="002F389C" w:rsidP="002F389C">
      <w:pPr>
        <w:pStyle w:val="a5"/>
        <w:spacing w:before="0" w:beforeAutospacing="0" w:after="0" w:afterAutospacing="0" w:line="360" w:lineRule="auto"/>
        <w:ind w:left="709"/>
        <w:jc w:val="both"/>
        <w:rPr>
          <w:i/>
          <w:iCs/>
          <w:color w:val="000000"/>
          <w:lang w:val="uk-UA"/>
        </w:rPr>
      </w:pPr>
      <w:r>
        <w:rPr>
          <w:i/>
          <w:iCs/>
          <w:color w:val="000000"/>
          <w:lang w:val="uk-UA"/>
        </w:rPr>
        <w:t>Джерело: розроблено автором</w:t>
      </w:r>
    </w:p>
    <w:p w:rsidR="00435FDC" w:rsidRDefault="00EB5B4E">
      <w:pPr>
        <w:keepNext/>
        <w:pageBreakBefore/>
        <w:jc w:val="center"/>
      </w:pPr>
      <w:r>
        <w:rPr>
          <w:rFonts w:ascii="Times New Roman" w:eastAsia="Times New Roman" w:hAnsi="Times New Roman"/>
          <w:b/>
          <w:sz w:val="28"/>
        </w:rPr>
        <w:lastRenderedPageBreak/>
        <w:t>ДОДАТОК Ф</w:t>
      </w:r>
    </w:p>
    <w:p w:rsidR="00435FDC" w:rsidRDefault="00EB5B4E">
      <w:pPr>
        <w:keepNext/>
        <w:jc w:val="center"/>
      </w:pPr>
      <w:r>
        <w:rPr>
          <w:rFonts w:ascii="Times New Roman" w:eastAsia="Times New Roman" w:hAnsi="Times New Roman"/>
          <w:sz w:val="28"/>
        </w:rPr>
        <w:t>Географія та динаміка експорту сільськогосподарської продукції України</w:t>
      </w:r>
    </w:p>
    <w:p w:rsidR="00B37265" w:rsidRPr="00A0574A" w:rsidRDefault="00B37265" w:rsidP="00400BAB">
      <w:pPr>
        <w:keepNext/>
        <w:spacing w:after="0" w:line="360" w:lineRule="auto"/>
        <w:ind w:firstLine="709"/>
        <w:jc w:val="right"/>
        <w:rPr>
          <w:rFonts w:ascii="Times New Roman" w:hAnsi="Times New Roman"/>
          <w:color w:val="000000"/>
          <w:sz w:val="28"/>
          <w:szCs w:val="28"/>
          <w:lang w:val="uk-UA"/>
        </w:rPr>
      </w:pPr>
      <w:r w:rsidRPr="00A0574A">
        <w:rPr>
          <w:rFonts w:ascii="Times New Roman" w:hAnsi="Times New Roman"/>
          <w:color w:val="000000"/>
          <w:sz w:val="28"/>
          <w:szCs w:val="28"/>
          <w:lang w:val="uk-UA"/>
        </w:rPr>
        <w:t>Таблиця Ф.1</w:t>
      </w:r>
    </w:p>
    <w:p w:rsidR="00B37265" w:rsidRPr="00400BAB" w:rsidRDefault="00B37265" w:rsidP="00400BAB">
      <w:pPr>
        <w:spacing w:after="0" w:line="240" w:lineRule="auto"/>
        <w:jc w:val="center"/>
        <w:rPr>
          <w:rFonts w:ascii="Times New Roman" w:hAnsi="Times New Roman"/>
          <w:color w:val="000000"/>
          <w:sz w:val="28"/>
          <w:szCs w:val="28"/>
          <w:lang w:val="uk-UA"/>
        </w:rPr>
      </w:pPr>
      <w:r w:rsidRPr="00400BAB">
        <w:rPr>
          <w:rFonts w:ascii="Times New Roman" w:hAnsi="Times New Roman"/>
          <w:b/>
          <w:bCs/>
          <w:color w:val="000000"/>
          <w:sz w:val="28"/>
          <w:szCs w:val="28"/>
          <w:lang w:val="uk-UA"/>
        </w:rPr>
        <w:t xml:space="preserve">Деталізована географія та динаміка експорту сільськогосподарської продукції України за період 2021 – 2025 рр., млн. </w:t>
      </w:r>
      <w:r w:rsidRPr="00400BAB">
        <w:rPr>
          <w:rFonts w:ascii="Times New Roman" w:hAnsi="Times New Roman"/>
          <w:b/>
          <w:bCs/>
          <w:color w:val="000000"/>
          <w:sz w:val="28"/>
          <w:szCs w:val="28"/>
          <w:lang w:val="en-US"/>
        </w:rPr>
        <w:t>$</w:t>
      </w:r>
    </w:p>
    <w:tbl>
      <w:tblPr>
        <w:tblW w:w="901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536"/>
        <w:gridCol w:w="1213"/>
        <w:gridCol w:w="530"/>
        <w:gridCol w:w="530"/>
        <w:gridCol w:w="530"/>
        <w:gridCol w:w="728"/>
        <w:gridCol w:w="709"/>
        <w:gridCol w:w="1885"/>
        <w:gridCol w:w="2355"/>
      </w:tblGrid>
      <w:tr w:rsidR="00B37265" w:rsidRPr="00400BAB" w:rsidTr="00B37265">
        <w:trPr>
          <w:cantSplit/>
          <w:trHeight w:val="315"/>
          <w:tblHeader/>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 з/п</w:t>
            </w:r>
          </w:p>
        </w:tc>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Країна</w:t>
            </w:r>
          </w:p>
        </w:tc>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rPr>
              <w:t xml:space="preserve">2021 </w:t>
            </w:r>
          </w:p>
        </w:tc>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rPr>
              <w:t xml:space="preserve">2022 </w:t>
            </w:r>
          </w:p>
        </w:tc>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rPr>
              <w:t xml:space="preserve">2023 </w:t>
            </w:r>
          </w:p>
        </w:tc>
        <w:tc>
          <w:tcPr>
            <w:tcW w:w="728"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rPr>
              <w:t xml:space="preserve">2024 </w:t>
            </w:r>
          </w:p>
        </w:tc>
        <w:tc>
          <w:tcPr>
            <w:tcW w:w="709"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rPr>
              <w:t xml:space="preserve">2025 </w:t>
            </w:r>
          </w:p>
        </w:tc>
        <w:tc>
          <w:tcPr>
            <w:tcW w:w="1885"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Абсолютна зміна 2025-2021 (+/-)</w:t>
            </w:r>
          </w:p>
        </w:tc>
        <w:tc>
          <w:tcPr>
            <w:tcW w:w="0" w:type="auto"/>
            <w:tcMar>
              <w:top w:w="30" w:type="dxa"/>
              <w:left w:w="0" w:type="dxa"/>
              <w:bottom w:w="30" w:type="dxa"/>
              <w:right w:w="0"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Відносна зміна 2025 до 2021, %</w:t>
            </w:r>
          </w:p>
        </w:tc>
      </w:tr>
      <w:tr w:rsidR="00B37265" w:rsidRPr="00400BAB" w:rsidTr="00B37265">
        <w:trPr>
          <w:cantSplit/>
          <w:trHeight w:val="315"/>
          <w:jc w:val="center"/>
        </w:trPr>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1</w:t>
            </w:r>
          </w:p>
        </w:tc>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2</w:t>
            </w:r>
          </w:p>
        </w:tc>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3</w:t>
            </w:r>
          </w:p>
        </w:tc>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4</w:t>
            </w:r>
          </w:p>
        </w:tc>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5</w:t>
            </w:r>
          </w:p>
        </w:tc>
        <w:tc>
          <w:tcPr>
            <w:tcW w:w="728"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6</w:t>
            </w:r>
          </w:p>
        </w:tc>
        <w:tc>
          <w:tcPr>
            <w:tcW w:w="709"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7</w:t>
            </w:r>
          </w:p>
        </w:tc>
        <w:tc>
          <w:tcPr>
            <w:tcW w:w="1885"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8</w:t>
            </w:r>
          </w:p>
        </w:tc>
        <w:tc>
          <w:tcPr>
            <w:tcW w:w="0" w:type="auto"/>
            <w:tcMar>
              <w:top w:w="30" w:type="dxa"/>
              <w:left w:w="0" w:type="dxa"/>
              <w:bottom w:w="30" w:type="dxa"/>
              <w:right w:w="0"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9</w:t>
            </w:r>
          </w:p>
        </w:tc>
      </w:tr>
      <w:tr w:rsidR="00B37265" w:rsidRPr="00400BAB" w:rsidTr="00B37265">
        <w:trPr>
          <w:cantSplit/>
          <w:trHeight w:val="315"/>
          <w:jc w:val="center"/>
        </w:trPr>
        <w:tc>
          <w:tcPr>
            <w:tcW w:w="0" w:type="auto"/>
            <w:gridSpan w:val="9"/>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Європа</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Румунія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15,4</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1240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1001</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950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1020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+1004,6</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6623,4</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2</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Польща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980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617</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680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750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-230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-23,47%</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3</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Іспанія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720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861</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980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+330,0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+50,77%</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4</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Нідерланди</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420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276</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310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340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-19,05%</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Угорщина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286</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240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210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+75,00%</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6</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Італія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540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490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538</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580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620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+14,81%</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7</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Німеччина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590</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610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640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+260,0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+68,42%</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8</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Франція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161</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215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+19,44%</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9</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Португалія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178</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185</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+69,57%</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Бельгія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123</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135</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+7,14%</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11</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Греція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129</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+82,35%</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12</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Словаччина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154</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130</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+36,84%</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13</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Болгарія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192</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+150,00%</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14</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Молдова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147</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155</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165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+50,00%</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Чехія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138</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145</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+72,22%</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16</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Литва</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72</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84</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95</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105</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+40,0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+61,54%</w:t>
            </w:r>
          </w:p>
        </w:tc>
      </w:tr>
      <w:tr w:rsidR="00B37265" w:rsidRPr="00400BAB" w:rsidTr="00B37265">
        <w:trPr>
          <w:cantSplit/>
          <w:trHeight w:val="315"/>
          <w:jc w:val="center"/>
        </w:trPr>
        <w:tc>
          <w:tcPr>
            <w:tcW w:w="0" w:type="auto"/>
            <w:tcMar>
              <w:top w:w="30" w:type="dxa"/>
              <w:left w:w="45" w:type="dxa"/>
              <w:bottom w:w="30" w:type="dxa"/>
              <w:right w:w="45" w:type="dxa"/>
            </w:tcMar>
            <w:vAlign w:val="bottom"/>
            <w:hideMark/>
          </w:tcPr>
          <w:p w:rsidR="00B37265" w:rsidRPr="00400BAB" w:rsidRDefault="00B37265" w:rsidP="00420030">
            <w:pPr>
              <w:spacing w:after="0" w:line="240" w:lineRule="auto"/>
              <w:jc w:val="center"/>
              <w:rPr>
                <w:rFonts w:ascii="Times New Roman" w:hAnsi="Times New Roman"/>
              </w:rPr>
            </w:pPr>
            <w:r w:rsidRPr="00400BAB">
              <w:rPr>
                <w:rFonts w:ascii="Times New Roman" w:hAnsi="Times New Roman"/>
              </w:rPr>
              <w:t>17</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rPr>
                <w:rFonts w:ascii="Times New Roman" w:hAnsi="Times New Roman"/>
              </w:rPr>
            </w:pPr>
            <w:r w:rsidRPr="00400BAB">
              <w:rPr>
                <w:rFonts w:ascii="Times New Roman" w:hAnsi="Times New Roman"/>
              </w:rPr>
              <w:t>Латвія</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62</w:t>
            </w:r>
          </w:p>
        </w:tc>
        <w:tc>
          <w:tcPr>
            <w:tcW w:w="728"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70</w:t>
            </w:r>
          </w:p>
        </w:tc>
        <w:tc>
          <w:tcPr>
            <w:tcW w:w="709"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78</w:t>
            </w:r>
          </w:p>
        </w:tc>
        <w:tc>
          <w:tcPr>
            <w:tcW w:w="1885" w:type="dxa"/>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+33,0</w:t>
            </w:r>
          </w:p>
        </w:tc>
        <w:tc>
          <w:tcPr>
            <w:tcW w:w="0" w:type="auto"/>
            <w:tcMar>
              <w:top w:w="30" w:type="dxa"/>
              <w:left w:w="45" w:type="dxa"/>
              <w:bottom w:w="30" w:type="dxa"/>
              <w:right w:w="45" w:type="dxa"/>
            </w:tcMar>
            <w:vAlign w:val="bottom"/>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+73,33%</w:t>
            </w:r>
          </w:p>
        </w:tc>
      </w:tr>
      <w:tr w:rsidR="00420030" w:rsidRPr="00400BAB" w:rsidTr="00EB5B4E">
        <w:trPr>
          <w:cantSplit/>
          <w:trHeight w:val="315"/>
          <w:jc w:val="center"/>
        </w:trPr>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18</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Австрія</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55</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60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75</w:t>
            </w:r>
          </w:p>
        </w:tc>
        <w:tc>
          <w:tcPr>
            <w:tcW w:w="728"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82</w:t>
            </w:r>
          </w:p>
        </w:tc>
        <w:tc>
          <w:tcPr>
            <w:tcW w:w="709"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90</w:t>
            </w:r>
          </w:p>
        </w:tc>
        <w:tc>
          <w:tcPr>
            <w:tcW w:w="1885"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+35,0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+63,64%</w:t>
            </w:r>
          </w:p>
        </w:tc>
      </w:tr>
      <w:tr w:rsidR="00420030" w:rsidRPr="00400BAB" w:rsidTr="00EB5B4E">
        <w:trPr>
          <w:cantSplit/>
          <w:trHeight w:val="315"/>
          <w:jc w:val="center"/>
        </w:trPr>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19</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Швеція</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35</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42</w:t>
            </w:r>
          </w:p>
        </w:tc>
        <w:tc>
          <w:tcPr>
            <w:tcW w:w="728"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48</w:t>
            </w:r>
          </w:p>
        </w:tc>
        <w:tc>
          <w:tcPr>
            <w:tcW w:w="709"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55</w:t>
            </w:r>
          </w:p>
        </w:tc>
        <w:tc>
          <w:tcPr>
            <w:tcW w:w="1885"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+25,0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+83,33%</w:t>
            </w:r>
          </w:p>
        </w:tc>
      </w:tr>
      <w:tr w:rsidR="00420030" w:rsidRPr="00400BAB" w:rsidTr="00EB5B4E">
        <w:trPr>
          <w:cantSplit/>
          <w:trHeight w:val="315"/>
          <w:jc w:val="center"/>
        </w:trPr>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Данія</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25</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28</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35</w:t>
            </w:r>
          </w:p>
        </w:tc>
        <w:tc>
          <w:tcPr>
            <w:tcW w:w="728"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40</w:t>
            </w:r>
          </w:p>
        </w:tc>
        <w:tc>
          <w:tcPr>
            <w:tcW w:w="709"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45</w:t>
            </w:r>
          </w:p>
        </w:tc>
        <w:tc>
          <w:tcPr>
            <w:tcW w:w="1885"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+20,0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+80,00%</w:t>
            </w:r>
          </w:p>
        </w:tc>
      </w:tr>
      <w:tr w:rsidR="00420030" w:rsidRPr="00400BAB" w:rsidTr="00420030">
        <w:trPr>
          <w:cantSplit/>
          <w:trHeight w:val="341"/>
          <w:jc w:val="center"/>
        </w:trPr>
        <w:tc>
          <w:tcPr>
            <w:tcW w:w="9016" w:type="dxa"/>
            <w:gridSpan w:val="9"/>
            <w:tcMar>
              <w:top w:w="30" w:type="dxa"/>
              <w:left w:w="45" w:type="dxa"/>
              <w:bottom w:w="30" w:type="dxa"/>
              <w:right w:w="45" w:type="dxa"/>
            </w:tcMar>
          </w:tcPr>
          <w:p w:rsidR="00420030" w:rsidRPr="00420030" w:rsidRDefault="00420030" w:rsidP="00420030">
            <w:pPr>
              <w:jc w:val="center"/>
              <w:rPr>
                <w:rFonts w:ascii="Times New Roman" w:hAnsi="Times New Roman"/>
                <w:sz w:val="24"/>
                <w:szCs w:val="24"/>
              </w:rPr>
            </w:pPr>
            <w:r w:rsidRPr="00400BAB">
              <w:rPr>
                <w:rFonts w:ascii="Times New Roman" w:hAnsi="Times New Roman"/>
                <w:lang w:val="uk-UA"/>
              </w:rPr>
              <w:t>Азія та Схід</w:t>
            </w:r>
          </w:p>
        </w:tc>
      </w:tr>
      <w:tr w:rsidR="00420030" w:rsidRPr="00400BAB" w:rsidTr="00EB5B4E">
        <w:trPr>
          <w:cantSplit/>
          <w:trHeight w:val="315"/>
          <w:jc w:val="center"/>
        </w:trPr>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21</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Туреччина</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910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985</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845</w:t>
            </w:r>
          </w:p>
        </w:tc>
        <w:tc>
          <w:tcPr>
            <w:tcW w:w="728"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890</w:t>
            </w:r>
          </w:p>
        </w:tc>
        <w:tc>
          <w:tcPr>
            <w:tcW w:w="709"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940</w:t>
            </w:r>
          </w:p>
        </w:tc>
        <w:tc>
          <w:tcPr>
            <w:tcW w:w="1885"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+30,0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+3,30%</w:t>
            </w:r>
          </w:p>
        </w:tc>
      </w:tr>
      <w:tr w:rsidR="00420030" w:rsidRPr="00400BAB" w:rsidTr="00EB5B4E">
        <w:trPr>
          <w:cantSplit/>
          <w:trHeight w:val="315"/>
          <w:jc w:val="center"/>
        </w:trPr>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22</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Китай</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2100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1100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858</w:t>
            </w:r>
          </w:p>
        </w:tc>
        <w:tc>
          <w:tcPr>
            <w:tcW w:w="728"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950</w:t>
            </w:r>
          </w:p>
        </w:tc>
        <w:tc>
          <w:tcPr>
            <w:tcW w:w="709"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1100</w:t>
            </w:r>
          </w:p>
        </w:tc>
        <w:tc>
          <w:tcPr>
            <w:tcW w:w="1885" w:type="dxa"/>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-1000</w:t>
            </w:r>
          </w:p>
        </w:tc>
        <w:tc>
          <w:tcPr>
            <w:tcW w:w="0" w:type="auto"/>
            <w:tcMar>
              <w:top w:w="30" w:type="dxa"/>
              <w:left w:w="45" w:type="dxa"/>
              <w:bottom w:w="30" w:type="dxa"/>
              <w:right w:w="45" w:type="dxa"/>
            </w:tcMar>
          </w:tcPr>
          <w:p w:rsidR="00420030" w:rsidRPr="00420030" w:rsidRDefault="00420030" w:rsidP="00420030">
            <w:pPr>
              <w:jc w:val="center"/>
              <w:rPr>
                <w:rFonts w:ascii="Times New Roman" w:hAnsi="Times New Roman"/>
              </w:rPr>
            </w:pPr>
            <w:r w:rsidRPr="00420030">
              <w:rPr>
                <w:rFonts w:ascii="Times New Roman" w:hAnsi="Times New Roman"/>
              </w:rPr>
              <w:t>-47,62%</w:t>
            </w:r>
          </w:p>
        </w:tc>
      </w:tr>
    </w:tbl>
    <w:p w:rsidR="00B37265" w:rsidRPr="00A0574A" w:rsidRDefault="00B37265" w:rsidP="00400BAB">
      <w:pPr>
        <w:jc w:val="right"/>
        <w:rPr>
          <w:rFonts w:ascii="Times New Roman" w:hAnsi="Times New Roman"/>
          <w:sz w:val="28"/>
          <w:szCs w:val="28"/>
          <w:lang w:val="uk-UA"/>
        </w:rPr>
      </w:pPr>
      <w:r w:rsidRPr="00400BAB">
        <w:rPr>
          <w:rFonts w:ascii="Times New Roman" w:hAnsi="Times New Roman"/>
        </w:rPr>
        <w:br w:type="page"/>
      </w:r>
      <w:r w:rsidR="00D638FA">
        <w:rPr>
          <w:rFonts w:ascii="Times New Roman" w:hAnsi="Times New Roman"/>
          <w:sz w:val="28"/>
          <w:szCs w:val="28"/>
          <w:lang w:val="uk-UA"/>
        </w:rPr>
        <w:lastRenderedPageBreak/>
        <w:t>Продовж</w:t>
      </w:r>
      <w:r w:rsidRPr="00A0574A">
        <w:rPr>
          <w:rFonts w:ascii="Times New Roman" w:hAnsi="Times New Roman"/>
          <w:sz w:val="28"/>
          <w:szCs w:val="28"/>
          <w:lang w:val="uk-UA"/>
        </w:rPr>
        <w:t>ення табл. Ф.1</w:t>
      </w:r>
    </w:p>
    <w:tbl>
      <w:tblPr>
        <w:tblW w:w="901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71"/>
        <w:gridCol w:w="1460"/>
        <w:gridCol w:w="570"/>
        <w:gridCol w:w="570"/>
        <w:gridCol w:w="707"/>
        <w:gridCol w:w="570"/>
        <w:gridCol w:w="570"/>
        <w:gridCol w:w="1981"/>
        <w:gridCol w:w="2217"/>
      </w:tblGrid>
      <w:tr w:rsidR="00B37265" w:rsidRPr="00400BAB" w:rsidTr="00B37265">
        <w:trPr>
          <w:cantSplit/>
          <w:trHeight w:val="315"/>
          <w:tblHeader/>
          <w:jc w:val="center"/>
        </w:trPr>
        <w:tc>
          <w:tcPr>
            <w:tcW w:w="0" w:type="auto"/>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1</w:t>
            </w:r>
          </w:p>
        </w:tc>
        <w:tc>
          <w:tcPr>
            <w:tcW w:w="1460"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2</w:t>
            </w:r>
          </w:p>
        </w:tc>
        <w:tc>
          <w:tcPr>
            <w:tcW w:w="570"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3</w:t>
            </w:r>
          </w:p>
        </w:tc>
        <w:tc>
          <w:tcPr>
            <w:tcW w:w="570"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4</w:t>
            </w:r>
          </w:p>
        </w:tc>
        <w:tc>
          <w:tcPr>
            <w:tcW w:w="707"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5</w:t>
            </w:r>
          </w:p>
        </w:tc>
        <w:tc>
          <w:tcPr>
            <w:tcW w:w="570"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6</w:t>
            </w:r>
          </w:p>
        </w:tc>
        <w:tc>
          <w:tcPr>
            <w:tcW w:w="570"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7</w:t>
            </w:r>
          </w:p>
        </w:tc>
        <w:tc>
          <w:tcPr>
            <w:tcW w:w="1981"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8</w:t>
            </w:r>
          </w:p>
        </w:tc>
        <w:tc>
          <w:tcPr>
            <w:tcW w:w="2217" w:type="dxa"/>
            <w:tcMar>
              <w:top w:w="30" w:type="dxa"/>
              <w:left w:w="45" w:type="dxa"/>
              <w:bottom w:w="30" w:type="dxa"/>
              <w:right w:w="45" w:type="dxa"/>
            </w:tcMar>
            <w:vAlign w:val="center"/>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9</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23</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Індія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1850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636</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-37,84%</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24</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Саудівська Аравія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210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195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+8,33%</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25</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Ізраїль</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158</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176</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200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+37,93%</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26</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ОАЕ</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+42,11%</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27</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В’єтнам</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+8,33%</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28</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Індонезія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+7,14%</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29</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Бангладеш</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165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-27,27%</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30</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Пакистан</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-25</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-22,73%</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31</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Південна Корея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+17,65%</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32</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Японія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44</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+44,44%</w:t>
            </w:r>
          </w:p>
        </w:tc>
      </w:tr>
      <w:tr w:rsidR="00B37265" w:rsidRPr="00400BAB" w:rsidTr="00B37265">
        <w:trPr>
          <w:cantSplit/>
          <w:trHeight w:val="315"/>
          <w:jc w:val="center"/>
        </w:trPr>
        <w:tc>
          <w:tcPr>
            <w:tcW w:w="0" w:type="auto"/>
            <w:gridSpan w:val="9"/>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Африка</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33</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Єгипет</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979</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1050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+4,55%</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34</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Лівія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156</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165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+38,46%</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Туніс</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126</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160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+52,38%</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36</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Алжир</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145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+52,17%</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37</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Марокко</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110</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135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+36,00%</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Нігерія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42</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+15,38%</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39</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Ефіопія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+18,18%</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40</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Судан</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28</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30</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-6,25%</w:t>
            </w:r>
          </w:p>
        </w:tc>
      </w:tr>
      <w:tr w:rsidR="00B37265" w:rsidRPr="00400BAB" w:rsidTr="00B37265">
        <w:trPr>
          <w:cantSplit/>
          <w:trHeight w:val="315"/>
          <w:jc w:val="center"/>
        </w:trPr>
        <w:tc>
          <w:tcPr>
            <w:tcW w:w="0" w:type="auto"/>
            <w:gridSpan w:val="9"/>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lang w:val="uk-UA"/>
              </w:rPr>
            </w:pPr>
            <w:r w:rsidRPr="00400BAB">
              <w:rPr>
                <w:rFonts w:ascii="Times New Roman" w:hAnsi="Times New Roman"/>
                <w:lang w:val="uk-UA"/>
              </w:rPr>
              <w:t>Америка та інші</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41</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США</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104</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125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150</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+76,47%</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42</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Канада</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38</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46</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55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+85,71%</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43</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Мексика</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22</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+80,00%</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44</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Бразилія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15</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28</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35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+17,0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+94,44%</w:t>
            </w:r>
          </w:p>
        </w:tc>
      </w:tr>
      <w:tr w:rsidR="00B37265" w:rsidRPr="00400BAB" w:rsidTr="00B37265">
        <w:trPr>
          <w:cantSplit/>
          <w:trHeight w:val="315"/>
          <w:jc w:val="center"/>
        </w:trPr>
        <w:tc>
          <w:tcPr>
            <w:tcW w:w="0" w:type="auto"/>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45</w:t>
            </w:r>
          </w:p>
        </w:tc>
        <w:tc>
          <w:tcPr>
            <w:tcW w:w="146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Грузія</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78</w:t>
            </w:r>
          </w:p>
        </w:tc>
        <w:tc>
          <w:tcPr>
            <w:tcW w:w="70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85</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92</w:t>
            </w:r>
          </w:p>
        </w:tc>
        <w:tc>
          <w:tcPr>
            <w:tcW w:w="570"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105</w:t>
            </w:r>
          </w:p>
        </w:tc>
        <w:tc>
          <w:tcPr>
            <w:tcW w:w="1981"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+40,0</w:t>
            </w:r>
          </w:p>
        </w:tc>
        <w:tc>
          <w:tcPr>
            <w:tcW w:w="2217" w:type="dxa"/>
            <w:tcMar>
              <w:top w:w="30" w:type="dxa"/>
              <w:left w:w="45" w:type="dxa"/>
              <w:bottom w:w="30" w:type="dxa"/>
              <w:right w:w="45" w:type="dxa"/>
            </w:tcMar>
            <w:vAlign w:val="center"/>
            <w:hideMark/>
          </w:tcPr>
          <w:p w:rsidR="00B37265" w:rsidRPr="00400BAB" w:rsidRDefault="00B37265" w:rsidP="00400BAB">
            <w:pPr>
              <w:spacing w:after="0" w:line="240" w:lineRule="auto"/>
              <w:jc w:val="center"/>
              <w:rPr>
                <w:rFonts w:ascii="Times New Roman" w:hAnsi="Times New Roman"/>
              </w:rPr>
            </w:pPr>
            <w:r w:rsidRPr="00400BAB">
              <w:rPr>
                <w:rFonts w:ascii="Times New Roman" w:hAnsi="Times New Roman"/>
              </w:rPr>
              <w:t>+61,54%</w:t>
            </w:r>
          </w:p>
        </w:tc>
      </w:tr>
    </w:tbl>
    <w:p w:rsidR="00872207" w:rsidRPr="00872207" w:rsidRDefault="00B37265" w:rsidP="00872207">
      <w:pPr>
        <w:spacing w:after="0" w:line="360" w:lineRule="auto"/>
        <w:ind w:firstLine="709"/>
        <w:jc w:val="both"/>
        <w:rPr>
          <w:rFonts w:ascii="Times New Roman" w:hAnsi="Times New Roman"/>
        </w:rPr>
      </w:pPr>
      <w:r w:rsidRPr="00400BAB">
        <w:rPr>
          <w:rFonts w:ascii="Times New Roman" w:hAnsi="Times New Roman"/>
          <w:i/>
          <w:iCs/>
          <w:color w:val="000000"/>
          <w:lang w:val="uk-UA"/>
        </w:rPr>
        <w:t xml:space="preserve">Джерело: обраховано автором за </w:t>
      </w:r>
      <w:r w:rsidRPr="00872207">
        <w:rPr>
          <w:rFonts w:ascii="Times New Roman" w:hAnsi="Times New Roman"/>
          <w:i/>
          <w:iCs/>
          <w:color w:val="000000"/>
          <w:lang w:val="uk-UA"/>
        </w:rPr>
        <w:t xml:space="preserve">даними </w:t>
      </w:r>
      <w:r w:rsidR="00872207" w:rsidRPr="00872207">
        <w:rPr>
          <w:rFonts w:ascii="Times New Roman" w:hAnsi="Times New Roman"/>
          <w:i/>
          <w:iCs/>
          <w:color w:val="000000"/>
          <w:lang w:val="uk-UA"/>
        </w:rPr>
        <w:t>Держстат України</w:t>
      </w:r>
      <w:r w:rsidR="00872207" w:rsidRPr="00872207">
        <w:rPr>
          <w:rFonts w:ascii="Times New Roman" w:hAnsi="Times New Roman"/>
          <w:i/>
          <w:iCs/>
          <w:color w:val="000000"/>
        </w:rPr>
        <w:t xml:space="preserve"> </w:t>
      </w:r>
      <w:r w:rsidR="00872207" w:rsidRPr="00872207">
        <w:rPr>
          <w:rFonts w:ascii="Times New Roman" w:eastAsia="Times New Roman" w:hAnsi="Times New Roman"/>
          <w:i/>
          <w:iCs/>
          <w:color w:val="000000"/>
          <w:sz w:val="28"/>
          <w:szCs w:val="28"/>
        </w:rPr>
        <w:t>[110]</w:t>
      </w:r>
      <w:r w:rsidR="00872207" w:rsidRPr="00872207">
        <w:rPr>
          <w:rFonts w:ascii="Times New Roman" w:hAnsi="Times New Roman"/>
          <w:i/>
          <w:iCs/>
          <w:color w:val="000000"/>
        </w:rPr>
        <w:t>.</w:t>
      </w:r>
    </w:p>
    <w:p w:rsidR="00435FDC" w:rsidRDefault="00EB5B4E">
      <w:pPr>
        <w:keepNext/>
        <w:pageBreakBefore/>
        <w:jc w:val="center"/>
      </w:pPr>
      <w:r>
        <w:rPr>
          <w:rFonts w:ascii="Times New Roman" w:eastAsia="Times New Roman" w:hAnsi="Times New Roman"/>
          <w:b/>
          <w:sz w:val="28"/>
        </w:rPr>
        <w:lastRenderedPageBreak/>
        <w:t>ДОДАТОК Х</w:t>
      </w:r>
    </w:p>
    <w:p w:rsidR="00435FDC" w:rsidRDefault="00EB5B4E">
      <w:pPr>
        <w:keepNext/>
        <w:jc w:val="center"/>
      </w:pPr>
      <w:r>
        <w:rPr>
          <w:rFonts w:ascii="Times New Roman" w:eastAsia="Times New Roman" w:hAnsi="Times New Roman"/>
          <w:sz w:val="28"/>
        </w:rPr>
        <w:t>Динаміка показників інвестиційної привабливості аграрних підприємств</w:t>
      </w:r>
    </w:p>
    <w:p w:rsidR="00212E70" w:rsidRPr="00212E70" w:rsidRDefault="00212E70" w:rsidP="00212E70">
      <w:pPr>
        <w:pStyle w:val="a5"/>
        <w:keepNext/>
        <w:spacing w:before="0" w:beforeAutospacing="0" w:after="0" w:afterAutospacing="0" w:line="360" w:lineRule="auto"/>
        <w:ind w:firstLine="709"/>
        <w:jc w:val="right"/>
        <w:rPr>
          <w:color w:val="000000"/>
          <w:sz w:val="28"/>
          <w:szCs w:val="28"/>
          <w:lang w:val="uk-UA"/>
        </w:rPr>
      </w:pPr>
      <w:r w:rsidRPr="00212E70">
        <w:rPr>
          <w:color w:val="000000"/>
          <w:sz w:val="28"/>
          <w:szCs w:val="28"/>
          <w:lang w:val="uk-UA"/>
        </w:rPr>
        <w:t>Таблиця Х.1</w:t>
      </w:r>
    </w:p>
    <w:p w:rsidR="00212E70" w:rsidRPr="005C38DA" w:rsidRDefault="00212E70" w:rsidP="00212E70">
      <w:pPr>
        <w:pStyle w:val="a5"/>
        <w:spacing w:before="0" w:beforeAutospacing="0" w:after="0" w:afterAutospacing="0" w:line="360" w:lineRule="auto"/>
        <w:jc w:val="center"/>
        <w:rPr>
          <w:b/>
          <w:bCs/>
          <w:color w:val="000000"/>
          <w:sz w:val="32"/>
          <w:szCs w:val="32"/>
          <w:lang w:val="uk-UA"/>
        </w:rPr>
      </w:pPr>
      <w:r w:rsidRPr="005C38DA">
        <w:rPr>
          <w:b/>
          <w:bCs/>
          <w:color w:val="000000"/>
          <w:sz w:val="28"/>
          <w:szCs w:val="28"/>
          <w:lang w:val="uk-UA"/>
        </w:rPr>
        <w:t xml:space="preserve">Динаміка ключових показників інвестиційної привабливості </w:t>
      </w:r>
      <w:r w:rsidRPr="005C38DA">
        <w:rPr>
          <w:b/>
          <w:bCs/>
          <w:color w:val="000000"/>
          <w:sz w:val="28"/>
          <w:szCs w:val="28"/>
        </w:rPr>
        <w:t>Kernel</w:t>
      </w:r>
      <w:r w:rsidRPr="005C38DA">
        <w:rPr>
          <w:b/>
          <w:bCs/>
          <w:color w:val="000000"/>
          <w:sz w:val="28"/>
          <w:szCs w:val="28"/>
          <w:lang w:val="uk-UA"/>
        </w:rPr>
        <w:t xml:space="preserve">, МХП та </w:t>
      </w:r>
      <w:r w:rsidRPr="005C38DA">
        <w:rPr>
          <w:b/>
          <w:bCs/>
          <w:color w:val="000000"/>
          <w:sz w:val="28"/>
          <w:szCs w:val="28"/>
        </w:rPr>
        <w:t>Astarta</w:t>
      </w:r>
      <w:r w:rsidRPr="005C38DA">
        <w:rPr>
          <w:b/>
          <w:bCs/>
          <w:color w:val="000000"/>
          <w:sz w:val="28"/>
          <w:szCs w:val="28"/>
          <w:lang w:val="uk-UA"/>
        </w:rPr>
        <w:t>-</w:t>
      </w:r>
      <w:r w:rsidRPr="005C38DA">
        <w:rPr>
          <w:b/>
          <w:bCs/>
          <w:color w:val="000000"/>
          <w:sz w:val="28"/>
          <w:szCs w:val="28"/>
        </w:rPr>
        <w:t>Kyiv</w:t>
      </w:r>
      <w:r w:rsidRPr="005C38DA">
        <w:rPr>
          <w:b/>
          <w:bCs/>
          <w:color w:val="000000"/>
          <w:sz w:val="28"/>
          <w:szCs w:val="28"/>
          <w:lang w:val="uk-UA"/>
        </w:rPr>
        <w:t xml:space="preserve"> за 2021 – 2025 рр.</w:t>
      </w:r>
    </w:p>
    <w:tbl>
      <w:tblPr>
        <w:tblW w:w="906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1529"/>
        <w:gridCol w:w="825"/>
        <w:gridCol w:w="1214"/>
        <w:gridCol w:w="1084"/>
        <w:gridCol w:w="954"/>
        <w:gridCol w:w="970"/>
        <w:gridCol w:w="1251"/>
        <w:gridCol w:w="1237"/>
      </w:tblGrid>
      <w:tr w:rsidR="00212E70" w:rsidRPr="005C38DA" w:rsidTr="005670E0">
        <w:trPr>
          <w:cantSplit/>
          <w:trHeight w:val="315"/>
          <w:tblHeader/>
        </w:trPr>
        <w:tc>
          <w:tcPr>
            <w:tcW w:w="1529"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lang w:val="uk-UA"/>
              </w:rPr>
            </w:pPr>
            <w:r w:rsidRPr="005C38DA">
              <w:rPr>
                <w:rFonts w:ascii="Times New Roman" w:hAnsi="Times New Roman"/>
                <w:lang w:val="uk-UA"/>
              </w:rPr>
              <w:t>Підприємство</w:t>
            </w:r>
          </w:p>
        </w:tc>
        <w:tc>
          <w:tcPr>
            <w:tcW w:w="825"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2021</w:t>
            </w:r>
          </w:p>
        </w:tc>
        <w:tc>
          <w:tcPr>
            <w:tcW w:w="121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2022</w:t>
            </w:r>
          </w:p>
        </w:tc>
        <w:tc>
          <w:tcPr>
            <w:tcW w:w="108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2023</w:t>
            </w:r>
          </w:p>
        </w:tc>
        <w:tc>
          <w:tcPr>
            <w:tcW w:w="95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2024</w:t>
            </w:r>
          </w:p>
        </w:tc>
        <w:tc>
          <w:tcPr>
            <w:tcW w:w="970"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2025</w:t>
            </w:r>
          </w:p>
        </w:tc>
        <w:tc>
          <w:tcPr>
            <w:tcW w:w="1251"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Абсолютна зміна</w:t>
            </w:r>
          </w:p>
        </w:tc>
        <w:tc>
          <w:tcPr>
            <w:tcW w:w="1237" w:type="dxa"/>
            <w:tcMar>
              <w:top w:w="30" w:type="dxa"/>
              <w:left w:w="0" w:type="dxa"/>
              <w:bottom w:w="30" w:type="dxa"/>
              <w:right w:w="0"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Відносна зміна,%</w:t>
            </w:r>
          </w:p>
        </w:tc>
      </w:tr>
      <w:tr w:rsidR="00212E70" w:rsidRPr="005C38DA" w:rsidTr="005670E0">
        <w:trPr>
          <w:cantSplit/>
          <w:trHeight w:val="315"/>
        </w:trPr>
        <w:tc>
          <w:tcPr>
            <w:tcW w:w="1529"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lang w:val="en-US"/>
              </w:rPr>
              <w:t>Kernel</w:t>
            </w:r>
          </w:p>
        </w:tc>
        <w:tc>
          <w:tcPr>
            <w:tcW w:w="825"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10,2</w:t>
            </w:r>
          </w:p>
        </w:tc>
        <w:tc>
          <w:tcPr>
            <w:tcW w:w="121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16,8</w:t>
            </w:r>
          </w:p>
        </w:tc>
        <w:tc>
          <w:tcPr>
            <w:tcW w:w="108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14,5</w:t>
            </w:r>
          </w:p>
        </w:tc>
        <w:tc>
          <w:tcPr>
            <w:tcW w:w="95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13,2</w:t>
            </w:r>
          </w:p>
        </w:tc>
        <w:tc>
          <w:tcPr>
            <w:tcW w:w="970"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12,5</w:t>
            </w:r>
          </w:p>
        </w:tc>
        <w:tc>
          <w:tcPr>
            <w:tcW w:w="1251"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2,3</w:t>
            </w:r>
          </w:p>
        </w:tc>
        <w:tc>
          <w:tcPr>
            <w:tcW w:w="1237"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22,55%</w:t>
            </w:r>
          </w:p>
        </w:tc>
      </w:tr>
      <w:tr w:rsidR="00212E70" w:rsidRPr="005C38DA" w:rsidTr="005670E0">
        <w:trPr>
          <w:cantSplit/>
          <w:trHeight w:val="315"/>
        </w:trPr>
        <w:tc>
          <w:tcPr>
            <w:tcW w:w="1529"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lang w:val="uk-UA"/>
              </w:rPr>
              <w:t>МХП</w:t>
            </w:r>
          </w:p>
        </w:tc>
        <w:tc>
          <w:tcPr>
            <w:tcW w:w="825"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9,8</w:t>
            </w:r>
          </w:p>
        </w:tc>
        <w:tc>
          <w:tcPr>
            <w:tcW w:w="121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15,4</w:t>
            </w:r>
          </w:p>
        </w:tc>
        <w:tc>
          <w:tcPr>
            <w:tcW w:w="108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13,8</w:t>
            </w:r>
          </w:p>
        </w:tc>
        <w:tc>
          <w:tcPr>
            <w:tcW w:w="95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12,9</w:t>
            </w:r>
          </w:p>
        </w:tc>
        <w:tc>
          <w:tcPr>
            <w:tcW w:w="970"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12,1</w:t>
            </w:r>
          </w:p>
        </w:tc>
        <w:tc>
          <w:tcPr>
            <w:tcW w:w="1251"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2,3</w:t>
            </w:r>
          </w:p>
        </w:tc>
        <w:tc>
          <w:tcPr>
            <w:tcW w:w="1237"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23,47%</w:t>
            </w:r>
          </w:p>
        </w:tc>
      </w:tr>
      <w:tr w:rsidR="00212E70" w:rsidRPr="005C38DA" w:rsidTr="005670E0">
        <w:trPr>
          <w:cantSplit/>
          <w:trHeight w:val="315"/>
        </w:trPr>
        <w:tc>
          <w:tcPr>
            <w:tcW w:w="1529"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lang w:val="en-US"/>
              </w:rPr>
              <w:t>Astarta-Kyiv</w:t>
            </w:r>
          </w:p>
        </w:tc>
        <w:tc>
          <w:tcPr>
            <w:tcW w:w="825"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11,5</w:t>
            </w:r>
          </w:p>
        </w:tc>
        <w:tc>
          <w:tcPr>
            <w:tcW w:w="121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17,2</w:t>
            </w:r>
          </w:p>
        </w:tc>
        <w:tc>
          <w:tcPr>
            <w:tcW w:w="108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15,1</w:t>
            </w:r>
          </w:p>
        </w:tc>
        <w:tc>
          <w:tcPr>
            <w:tcW w:w="954"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14</w:t>
            </w:r>
          </w:p>
        </w:tc>
        <w:tc>
          <w:tcPr>
            <w:tcW w:w="970"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13,4</w:t>
            </w:r>
          </w:p>
        </w:tc>
        <w:tc>
          <w:tcPr>
            <w:tcW w:w="1251"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1,9</w:t>
            </w:r>
          </w:p>
        </w:tc>
        <w:tc>
          <w:tcPr>
            <w:tcW w:w="1237" w:type="dxa"/>
            <w:tcMar>
              <w:top w:w="30" w:type="dxa"/>
              <w:left w:w="45" w:type="dxa"/>
              <w:bottom w:w="30" w:type="dxa"/>
              <w:right w:w="45" w:type="dxa"/>
            </w:tcMar>
            <w:vAlign w:val="center"/>
            <w:hideMark/>
          </w:tcPr>
          <w:p w:rsidR="00212E70" w:rsidRPr="005C38DA" w:rsidRDefault="00212E70" w:rsidP="005670E0">
            <w:pPr>
              <w:jc w:val="center"/>
              <w:rPr>
                <w:rFonts w:ascii="Times New Roman" w:hAnsi="Times New Roman"/>
              </w:rPr>
            </w:pPr>
            <w:r w:rsidRPr="005C38DA">
              <w:rPr>
                <w:rFonts w:ascii="Times New Roman" w:hAnsi="Times New Roman"/>
              </w:rPr>
              <w:t>16,52%</w:t>
            </w:r>
          </w:p>
        </w:tc>
      </w:tr>
    </w:tbl>
    <w:p w:rsidR="00212E70" w:rsidRPr="005C38DA" w:rsidRDefault="00212E70" w:rsidP="00212E70">
      <w:pPr>
        <w:ind w:firstLine="709"/>
        <w:jc w:val="both"/>
        <w:rPr>
          <w:rFonts w:ascii="Times New Roman" w:hAnsi="Times New Roman"/>
          <w:i/>
          <w:iCs/>
          <w:lang w:val="uk-UA"/>
        </w:rPr>
      </w:pPr>
      <w:r w:rsidRPr="005C38DA">
        <w:rPr>
          <w:rFonts w:ascii="Times New Roman" w:hAnsi="Times New Roman"/>
          <w:i/>
          <w:iCs/>
          <w:lang w:val="uk-UA"/>
        </w:rPr>
        <w:t>Джерело: обраховано автором за даними підприємств</w:t>
      </w:r>
    </w:p>
    <w:p w:rsidR="00435FDC" w:rsidRDefault="00EB5B4E">
      <w:pPr>
        <w:keepNext/>
        <w:pageBreakBefore/>
        <w:jc w:val="center"/>
      </w:pPr>
      <w:r>
        <w:rPr>
          <w:rFonts w:ascii="Times New Roman" w:eastAsia="Times New Roman" w:hAnsi="Times New Roman"/>
          <w:b/>
          <w:sz w:val="28"/>
        </w:rPr>
        <w:lastRenderedPageBreak/>
        <w:t>ДОДАТОК Ц</w:t>
      </w:r>
    </w:p>
    <w:p w:rsidR="00435FDC" w:rsidRDefault="00EB5B4E">
      <w:pPr>
        <w:keepNext/>
        <w:jc w:val="center"/>
      </w:pPr>
      <w:r>
        <w:rPr>
          <w:rFonts w:ascii="Times New Roman" w:eastAsia="Times New Roman" w:hAnsi="Times New Roman"/>
          <w:sz w:val="28"/>
        </w:rPr>
        <w:t>Координати підприємств у стратегічній матриці</w:t>
      </w:r>
    </w:p>
    <w:p w:rsidR="00212E70" w:rsidRPr="00212E70" w:rsidRDefault="00212E70" w:rsidP="00212E70">
      <w:pPr>
        <w:pStyle w:val="a6"/>
        <w:keepNext/>
        <w:spacing w:after="0" w:line="360" w:lineRule="auto"/>
        <w:ind w:left="0" w:firstLine="709"/>
        <w:jc w:val="right"/>
        <w:rPr>
          <w:rFonts w:ascii="Times New Roman" w:eastAsiaTheme="minorEastAsia" w:hAnsi="Times New Roman"/>
          <w:sz w:val="28"/>
          <w:szCs w:val="28"/>
          <w:lang w:val="uk-UA"/>
        </w:rPr>
      </w:pPr>
      <w:r w:rsidRPr="00212E70">
        <w:rPr>
          <w:rFonts w:ascii="Times New Roman" w:eastAsiaTheme="minorEastAsia" w:hAnsi="Times New Roman"/>
          <w:sz w:val="28"/>
          <w:szCs w:val="28"/>
          <w:lang w:val="uk-UA"/>
        </w:rPr>
        <w:t>Таблиця Ц.1</w:t>
      </w:r>
    </w:p>
    <w:p w:rsidR="00212E70" w:rsidRDefault="00212E70" w:rsidP="00212E70">
      <w:pPr>
        <w:pStyle w:val="a6"/>
        <w:spacing w:after="0" w:line="360" w:lineRule="auto"/>
        <w:ind w:left="0"/>
        <w:jc w:val="center"/>
        <w:rPr>
          <w:rFonts w:ascii="Times New Roman" w:hAnsi="Times New Roman"/>
          <w:b/>
          <w:bCs/>
          <w:color w:val="000000"/>
          <w:sz w:val="28"/>
          <w:szCs w:val="28"/>
          <w:lang w:val="uk-UA"/>
        </w:rPr>
      </w:pPr>
      <w:r>
        <w:rPr>
          <w:rFonts w:ascii="Times New Roman" w:eastAsiaTheme="minorEastAsia" w:hAnsi="Times New Roman"/>
          <w:b/>
          <w:bCs/>
          <w:sz w:val="28"/>
          <w:szCs w:val="28"/>
          <w:lang w:val="uk-UA"/>
        </w:rPr>
        <w:t xml:space="preserve">Координати підприємств </w:t>
      </w:r>
      <w:r w:rsidRPr="00DB08D6">
        <w:rPr>
          <w:rFonts w:ascii="Times New Roman" w:hAnsi="Times New Roman"/>
          <w:b/>
          <w:bCs/>
          <w:color w:val="000000"/>
          <w:sz w:val="28"/>
          <w:szCs w:val="28"/>
        </w:rPr>
        <w:t>Kernel</w:t>
      </w:r>
      <w:r w:rsidRPr="00B37265">
        <w:rPr>
          <w:rFonts w:ascii="Times New Roman" w:hAnsi="Times New Roman"/>
          <w:b/>
          <w:bCs/>
          <w:color w:val="000000"/>
          <w:sz w:val="28"/>
          <w:szCs w:val="28"/>
          <w:lang w:val="uk-UA"/>
        </w:rPr>
        <w:t>,</w:t>
      </w:r>
      <w:r w:rsidRPr="00DB08D6">
        <w:rPr>
          <w:rFonts w:ascii="Times New Roman" w:hAnsi="Times New Roman"/>
          <w:b/>
          <w:bCs/>
          <w:color w:val="000000"/>
          <w:sz w:val="28"/>
          <w:szCs w:val="28"/>
          <w:lang w:val="uk-UA"/>
        </w:rPr>
        <w:t xml:space="preserve"> МХП</w:t>
      </w:r>
      <w:r w:rsidRPr="00B37265">
        <w:rPr>
          <w:rFonts w:ascii="Times New Roman" w:hAnsi="Times New Roman"/>
          <w:b/>
          <w:bCs/>
          <w:color w:val="000000"/>
          <w:sz w:val="28"/>
          <w:szCs w:val="28"/>
          <w:lang w:val="uk-UA"/>
        </w:rPr>
        <w:t xml:space="preserve"> </w:t>
      </w:r>
      <w:r w:rsidRPr="00DB08D6">
        <w:rPr>
          <w:rFonts w:ascii="Times New Roman" w:hAnsi="Times New Roman"/>
          <w:b/>
          <w:bCs/>
          <w:color w:val="000000"/>
          <w:sz w:val="28"/>
          <w:szCs w:val="28"/>
          <w:lang w:val="uk-UA"/>
        </w:rPr>
        <w:t xml:space="preserve">та </w:t>
      </w:r>
      <w:r w:rsidRPr="00DB08D6">
        <w:rPr>
          <w:rFonts w:ascii="Times New Roman" w:hAnsi="Times New Roman"/>
          <w:b/>
          <w:bCs/>
          <w:color w:val="000000"/>
          <w:sz w:val="28"/>
          <w:szCs w:val="28"/>
        </w:rPr>
        <w:t>Astarta</w:t>
      </w:r>
      <w:r w:rsidRPr="005670E0">
        <w:rPr>
          <w:rFonts w:ascii="Times New Roman" w:hAnsi="Times New Roman"/>
          <w:b/>
          <w:bCs/>
          <w:color w:val="000000"/>
          <w:sz w:val="28"/>
          <w:szCs w:val="28"/>
          <w:lang w:val="uk-UA"/>
        </w:rPr>
        <w:t>-</w:t>
      </w:r>
      <w:r w:rsidRPr="00DB08D6">
        <w:rPr>
          <w:rFonts w:ascii="Times New Roman" w:hAnsi="Times New Roman"/>
          <w:b/>
          <w:bCs/>
          <w:color w:val="000000"/>
          <w:sz w:val="28"/>
          <w:szCs w:val="28"/>
        </w:rPr>
        <w:t>Kyiv</w:t>
      </w:r>
      <w:r>
        <w:rPr>
          <w:rFonts w:ascii="Times New Roman" w:hAnsi="Times New Roman"/>
          <w:b/>
          <w:bCs/>
          <w:color w:val="000000"/>
          <w:sz w:val="28"/>
          <w:szCs w:val="28"/>
          <w:lang w:val="uk-UA"/>
        </w:rPr>
        <w:t xml:space="preserve"> в стратегічній матриці позиціонування інвестиційної привабливості </w:t>
      </w:r>
    </w:p>
    <w:p w:rsidR="00212E70" w:rsidRPr="00870AB9" w:rsidRDefault="00212E70" w:rsidP="00212E70">
      <w:pPr>
        <w:pStyle w:val="a6"/>
        <w:spacing w:after="0" w:line="240" w:lineRule="auto"/>
        <w:ind w:left="0"/>
        <w:jc w:val="center"/>
        <w:rPr>
          <w:rFonts w:ascii="Times New Roman" w:eastAsiaTheme="minorEastAsia" w:hAnsi="Times New Roman"/>
          <w:b/>
          <w:bCs/>
          <w:sz w:val="28"/>
          <w:szCs w:val="28"/>
          <w:lang w:val="uk-UA"/>
        </w:rPr>
      </w:pPr>
      <w:r>
        <w:rPr>
          <w:rFonts w:ascii="Times New Roman" w:hAnsi="Times New Roman"/>
          <w:b/>
          <w:bCs/>
          <w:color w:val="000000"/>
          <w:sz w:val="28"/>
          <w:szCs w:val="28"/>
          <w:lang w:val="uk-UA"/>
        </w:rPr>
        <w:t>за 2021 – 2025 рр.</w:t>
      </w:r>
    </w:p>
    <w:tbl>
      <w:tblPr>
        <w:tblStyle w:val="a4"/>
        <w:tblW w:w="0" w:type="auto"/>
        <w:tblLook w:val="04A0" w:firstRow="1" w:lastRow="0" w:firstColumn="1" w:lastColumn="0" w:noHBand="0" w:noVBand="1"/>
      </w:tblPr>
      <w:tblGrid>
        <w:gridCol w:w="2254"/>
        <w:gridCol w:w="2254"/>
        <w:gridCol w:w="2254"/>
        <w:gridCol w:w="2254"/>
      </w:tblGrid>
      <w:tr w:rsidR="00212E70" w:rsidRPr="00865026" w:rsidTr="005670E0">
        <w:trPr>
          <w:cantSplit/>
          <w:tblHeader/>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Рік</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SP</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vertAlign w:val="superscript"/>
                <w:lang w:val="en-US"/>
              </w:rPr>
            </w:pPr>
            <w:r w:rsidRPr="00865026">
              <w:rPr>
                <w:rFonts w:ascii="Times New Roman" w:eastAsiaTheme="minorEastAsia" w:hAnsi="Times New Roman"/>
                <w:lang w:val="en-US"/>
              </w:rPr>
              <w:t>II</w:t>
            </w:r>
            <w:r w:rsidRPr="00865026">
              <w:rPr>
                <w:rFonts w:ascii="Times New Roman" w:eastAsiaTheme="minorEastAsia" w:hAnsi="Times New Roman"/>
                <w:vertAlign w:val="superscript"/>
                <w:lang w:val="en-US"/>
              </w:rPr>
              <w:t>adj</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en-US"/>
              </w:rPr>
              <w:br w:type="column"/>
            </w:r>
            <w:r w:rsidRPr="00865026">
              <w:rPr>
                <w:rFonts w:ascii="Times New Roman" w:eastAsiaTheme="minorEastAsia" w:hAnsi="Times New Roman"/>
                <w:lang w:val="uk-UA"/>
              </w:rPr>
              <w:t>Зона позиціонування</w:t>
            </w:r>
          </w:p>
        </w:tc>
      </w:tr>
      <w:tr w:rsidR="00212E70" w:rsidRPr="00865026" w:rsidTr="005670E0">
        <w:trPr>
          <w:cantSplit/>
        </w:trPr>
        <w:tc>
          <w:tcPr>
            <w:tcW w:w="9016" w:type="dxa"/>
            <w:gridSpan w:val="4"/>
          </w:tcPr>
          <w:p w:rsidR="00212E70" w:rsidRPr="00865026" w:rsidRDefault="00212E70" w:rsidP="005670E0">
            <w:pPr>
              <w:pStyle w:val="a6"/>
              <w:spacing w:after="0" w:line="240" w:lineRule="auto"/>
              <w:ind w:left="0"/>
              <w:jc w:val="center"/>
              <w:rPr>
                <w:rFonts w:ascii="Times New Roman" w:eastAsiaTheme="minorEastAsia" w:hAnsi="Times New Roman"/>
                <w:i/>
                <w:iCs/>
                <w:lang w:val="en-US"/>
              </w:rPr>
            </w:pPr>
            <w:r w:rsidRPr="00865026">
              <w:rPr>
                <w:rFonts w:ascii="Times New Roman" w:eastAsiaTheme="minorEastAsia" w:hAnsi="Times New Roman"/>
                <w:i/>
                <w:iCs/>
                <w:lang w:val="en-US"/>
              </w:rPr>
              <w:t>Kernel</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2021</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0,72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0,70</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0,49</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0,73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0,57</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2024</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0,76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0,65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0,79</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0,69</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III</w:t>
            </w:r>
          </w:p>
        </w:tc>
      </w:tr>
      <w:tr w:rsidR="00212E70" w:rsidRPr="00865026" w:rsidTr="005670E0">
        <w:trPr>
          <w:cantSplit/>
        </w:trPr>
        <w:tc>
          <w:tcPr>
            <w:tcW w:w="9016" w:type="dxa"/>
            <w:gridSpan w:val="4"/>
          </w:tcPr>
          <w:p w:rsidR="00212E70" w:rsidRPr="00865026" w:rsidRDefault="00212E70" w:rsidP="005670E0">
            <w:pPr>
              <w:pStyle w:val="a6"/>
              <w:spacing w:after="0" w:line="240" w:lineRule="auto"/>
              <w:ind w:left="0"/>
              <w:jc w:val="center"/>
              <w:rPr>
                <w:rFonts w:ascii="Times New Roman" w:eastAsiaTheme="minorEastAsia" w:hAnsi="Times New Roman"/>
                <w:i/>
                <w:iCs/>
                <w:lang w:val="uk-UA"/>
              </w:rPr>
            </w:pPr>
            <w:r w:rsidRPr="00865026">
              <w:rPr>
                <w:rFonts w:ascii="Times New Roman" w:eastAsiaTheme="minorEastAsia" w:hAnsi="Times New Roman"/>
                <w:i/>
                <w:iCs/>
                <w:lang w:val="uk-UA"/>
              </w:rPr>
              <w:t>МХП</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2021</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0,53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0,61</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2024</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0,79</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0,68</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III</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0,82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III</w:t>
            </w:r>
          </w:p>
        </w:tc>
      </w:tr>
      <w:tr w:rsidR="00212E70" w:rsidRPr="00865026" w:rsidTr="005670E0">
        <w:trPr>
          <w:cantSplit/>
        </w:trPr>
        <w:tc>
          <w:tcPr>
            <w:tcW w:w="9016" w:type="dxa"/>
            <w:gridSpan w:val="4"/>
          </w:tcPr>
          <w:p w:rsidR="00212E70" w:rsidRPr="00865026" w:rsidRDefault="00212E70" w:rsidP="005670E0">
            <w:pPr>
              <w:pStyle w:val="a6"/>
              <w:spacing w:after="0" w:line="240" w:lineRule="auto"/>
              <w:ind w:left="0"/>
              <w:jc w:val="center"/>
              <w:rPr>
                <w:rFonts w:ascii="Times New Roman" w:eastAsiaTheme="minorEastAsia" w:hAnsi="Times New Roman"/>
                <w:i/>
                <w:iCs/>
                <w:lang w:val="uk-UA"/>
              </w:rPr>
            </w:pPr>
            <w:r w:rsidRPr="00865026">
              <w:rPr>
                <w:rFonts w:ascii="Times New Roman" w:eastAsiaTheme="minorEastAsia" w:hAnsi="Times New Roman"/>
                <w:i/>
                <w:iCs/>
                <w:lang w:val="en-US"/>
              </w:rPr>
              <w:t>Astarta - Kyiv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2021</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0,68</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0,55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2022</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0,47</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0,70</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0,56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V</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2024</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0,63</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II</w:t>
            </w:r>
          </w:p>
        </w:tc>
      </w:tr>
      <w:tr w:rsidR="00212E70" w:rsidRPr="00865026" w:rsidTr="005670E0">
        <w:trPr>
          <w:cantSplit/>
        </w:trPr>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uk-UA"/>
              </w:rPr>
              <w:t>2025</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0,76</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en-US"/>
              </w:rPr>
            </w:pPr>
            <w:r w:rsidRPr="00865026">
              <w:rPr>
                <w:rFonts w:ascii="Times New Roman" w:eastAsiaTheme="minorEastAsia" w:hAnsi="Times New Roman"/>
                <w:lang w:val="en-US"/>
              </w:rPr>
              <w:t>0,67</w:t>
            </w:r>
          </w:p>
        </w:tc>
        <w:tc>
          <w:tcPr>
            <w:tcW w:w="2254" w:type="dxa"/>
          </w:tcPr>
          <w:p w:rsidR="00212E70" w:rsidRPr="00865026" w:rsidRDefault="00212E70" w:rsidP="005670E0">
            <w:pPr>
              <w:pStyle w:val="a6"/>
              <w:spacing w:after="0" w:line="240" w:lineRule="auto"/>
              <w:ind w:left="0"/>
              <w:jc w:val="center"/>
              <w:rPr>
                <w:rFonts w:ascii="Times New Roman" w:eastAsiaTheme="minorEastAsia" w:hAnsi="Times New Roman"/>
                <w:lang w:val="uk-UA"/>
              </w:rPr>
            </w:pPr>
            <w:r w:rsidRPr="00865026">
              <w:rPr>
                <w:rFonts w:ascii="Times New Roman" w:eastAsiaTheme="minorEastAsia" w:hAnsi="Times New Roman"/>
                <w:lang w:val="en-US"/>
              </w:rPr>
              <w:t>III</w:t>
            </w:r>
          </w:p>
        </w:tc>
      </w:tr>
    </w:tbl>
    <w:p w:rsidR="00212E70" w:rsidRPr="00870AB9" w:rsidRDefault="00212E70" w:rsidP="00212E70">
      <w:pPr>
        <w:pStyle w:val="a6"/>
        <w:spacing w:after="0" w:line="240" w:lineRule="auto"/>
        <w:ind w:left="0" w:firstLine="709"/>
        <w:jc w:val="both"/>
        <w:rPr>
          <w:rFonts w:ascii="Times New Roman" w:eastAsiaTheme="minorEastAsia" w:hAnsi="Times New Roman"/>
          <w:i/>
          <w:iCs/>
          <w:lang w:val="uk-UA"/>
        </w:rPr>
      </w:pPr>
      <w:r w:rsidRPr="00870AB9">
        <w:rPr>
          <w:rFonts w:ascii="Times New Roman" w:eastAsiaTheme="minorEastAsia" w:hAnsi="Times New Roman"/>
          <w:i/>
          <w:iCs/>
          <w:lang w:val="uk-UA"/>
        </w:rPr>
        <w:t>Джерело: обраховано автором за даними підприємств</w:t>
      </w:r>
    </w:p>
    <w:p w:rsidR="002858EC" w:rsidRDefault="002858EC">
      <w:pPr>
        <w:spacing w:after="0" w:line="240" w:lineRule="auto"/>
        <w:rPr>
          <w:rFonts w:ascii="Times New Roman" w:hAnsi="Times New Roman"/>
          <w:b/>
          <w:bCs/>
          <w:color w:val="000000"/>
          <w:sz w:val="28"/>
          <w:szCs w:val="28"/>
          <w:lang w:val="uk-UA"/>
        </w:rPr>
      </w:pPr>
      <w:r>
        <w:rPr>
          <w:rFonts w:ascii="Times New Roman" w:hAnsi="Times New Roman"/>
          <w:b/>
          <w:bCs/>
          <w:color w:val="000000"/>
          <w:sz w:val="28"/>
          <w:szCs w:val="28"/>
          <w:lang w:val="uk-UA"/>
        </w:rPr>
        <w:br w:type="page"/>
      </w:r>
    </w:p>
    <w:p w:rsidR="002858EC" w:rsidRPr="002858EC" w:rsidRDefault="002858EC" w:rsidP="002858EC">
      <w:pPr>
        <w:pStyle w:val="a6"/>
        <w:spacing w:after="0" w:line="360" w:lineRule="auto"/>
        <w:ind w:left="0"/>
        <w:jc w:val="center"/>
        <w:rPr>
          <w:rFonts w:ascii="Times New Roman" w:hAnsi="Times New Roman"/>
          <w:b/>
          <w:bCs/>
          <w:color w:val="000000"/>
          <w:sz w:val="28"/>
          <w:szCs w:val="28"/>
          <w:lang w:val="uk-UA"/>
        </w:rPr>
      </w:pPr>
      <w:r w:rsidRPr="002858EC">
        <w:rPr>
          <w:rFonts w:ascii="Times New Roman" w:hAnsi="Times New Roman"/>
          <w:b/>
          <w:bCs/>
          <w:color w:val="000000"/>
          <w:sz w:val="28"/>
          <w:szCs w:val="28"/>
          <w:lang w:val="uk-UA"/>
        </w:rPr>
        <w:lastRenderedPageBreak/>
        <w:t>ДОДАТОК Ш</w:t>
      </w:r>
    </w:p>
    <w:p w:rsidR="00435FDC" w:rsidRPr="002858EC" w:rsidRDefault="00EB5B4E" w:rsidP="002858EC">
      <w:pPr>
        <w:pStyle w:val="a6"/>
        <w:spacing w:after="0" w:line="360" w:lineRule="auto"/>
        <w:ind w:left="0"/>
        <w:jc w:val="center"/>
        <w:rPr>
          <w:rFonts w:ascii="Times New Roman" w:hAnsi="Times New Roman"/>
          <w:b/>
          <w:bCs/>
          <w:color w:val="000000"/>
          <w:sz w:val="28"/>
          <w:szCs w:val="28"/>
          <w:lang w:val="uk-UA"/>
        </w:rPr>
      </w:pPr>
      <w:r w:rsidRPr="002858EC">
        <w:rPr>
          <w:rFonts w:ascii="Times New Roman" w:hAnsi="Times New Roman"/>
          <w:b/>
          <w:bCs/>
          <w:color w:val="000000"/>
          <w:sz w:val="28"/>
          <w:szCs w:val="28"/>
          <w:lang w:val="uk-UA"/>
        </w:rPr>
        <w:t>Довідка про впровадження результатів дослідження (Astarta-Kyiv)</w:t>
      </w:r>
    </w:p>
    <w:p w:rsidR="00250A39" w:rsidRDefault="00250A39" w:rsidP="0056221B">
      <w:pPr>
        <w:pStyle w:val="a5"/>
        <w:spacing w:before="0" w:beforeAutospacing="0" w:after="0" w:afterAutospacing="0" w:line="360" w:lineRule="auto"/>
        <w:ind w:firstLine="709"/>
        <w:jc w:val="center"/>
        <w:rPr>
          <w:b/>
          <w:sz w:val="28"/>
          <w:szCs w:val="28"/>
          <w:lang w:val="uk-UA"/>
        </w:rPr>
      </w:pPr>
      <w:r>
        <w:rPr>
          <w:noProof/>
          <w:lang w:val="uk-UA" w:eastAsia="uk-UA"/>
        </w:rPr>
        <w:drawing>
          <wp:anchor distT="0" distB="0" distL="114300" distR="114300" simplePos="0" relativeHeight="251668992" behindDoc="0" locked="0" layoutInCell="1" allowOverlap="1" wp14:anchorId="307C3B4D" wp14:editId="28FBB67E">
            <wp:simplePos x="0" y="0"/>
            <wp:positionH relativeFrom="column">
              <wp:posOffset>-447675</wp:posOffset>
            </wp:positionH>
            <wp:positionV relativeFrom="paragraph">
              <wp:posOffset>99060</wp:posOffset>
            </wp:positionV>
            <wp:extent cx="6766560" cy="8991600"/>
            <wp:effectExtent l="0" t="0" r="0" b="0"/>
            <wp:wrapNone/>
            <wp:docPr id="511596804" name="Рисунок 511596804" descr="C:\Users\XPS\Desktop\Oleksandr1\Desktop\Саша\А ДИСЕР НОВ\Холод\Довідки\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XPS\Desktop\Oleksandr1\Desktop\Саша\А ДИСЕР НОВ\Холод\Довідки\media\image1.jpe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766560" cy="899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8EC" w:rsidRDefault="002858EC">
      <w:pPr>
        <w:keepNext/>
        <w:pageBreakBefore/>
        <w:jc w:val="center"/>
        <w:rPr>
          <w:rFonts w:ascii="Times New Roman" w:eastAsia="Times New Roman" w:hAnsi="Times New Roman"/>
          <w:b/>
          <w:sz w:val="28"/>
          <w:szCs w:val="28"/>
          <w:lang w:val="uk-UA"/>
        </w:rPr>
      </w:pPr>
      <w:r>
        <w:rPr>
          <w:rFonts w:ascii="Times New Roman" w:eastAsia="Times New Roman" w:hAnsi="Times New Roman"/>
          <w:b/>
          <w:sz w:val="28"/>
          <w:szCs w:val="28"/>
        </w:rPr>
        <w:lastRenderedPageBreak/>
        <w:t>ДОДАТОК Щ</w:t>
      </w:r>
    </w:p>
    <w:p w:rsidR="00435FDC" w:rsidRPr="002858EC" w:rsidRDefault="00EB5B4E" w:rsidP="002858EC">
      <w:pPr>
        <w:pStyle w:val="a6"/>
        <w:spacing w:after="0" w:line="360" w:lineRule="auto"/>
        <w:ind w:left="0"/>
        <w:jc w:val="center"/>
        <w:rPr>
          <w:rFonts w:ascii="Times New Roman" w:hAnsi="Times New Roman"/>
          <w:b/>
          <w:bCs/>
          <w:color w:val="000000"/>
          <w:sz w:val="28"/>
          <w:szCs w:val="28"/>
          <w:lang w:val="uk-UA"/>
        </w:rPr>
      </w:pPr>
      <w:r w:rsidRPr="002858EC">
        <w:rPr>
          <w:rFonts w:ascii="Times New Roman" w:hAnsi="Times New Roman"/>
          <w:b/>
          <w:bCs/>
          <w:color w:val="000000"/>
          <w:sz w:val="28"/>
          <w:szCs w:val="28"/>
          <w:lang w:val="uk-UA"/>
        </w:rPr>
        <w:t>Довідка про впровадження результатів дослідження (Kernel)</w:t>
      </w:r>
    </w:p>
    <w:p w:rsidR="00250A39" w:rsidRDefault="00DF768F" w:rsidP="0056221B">
      <w:pPr>
        <w:pStyle w:val="a5"/>
        <w:spacing w:before="0" w:beforeAutospacing="0" w:after="0" w:afterAutospacing="0" w:line="360" w:lineRule="auto"/>
        <w:ind w:firstLine="709"/>
        <w:jc w:val="center"/>
        <w:rPr>
          <w:b/>
          <w:sz w:val="28"/>
          <w:szCs w:val="28"/>
          <w:lang w:val="uk-UA"/>
        </w:rPr>
      </w:pPr>
      <w:r>
        <w:rPr>
          <w:noProof/>
          <w:lang w:val="uk-UA" w:eastAsia="uk-UA"/>
        </w:rPr>
        <w:drawing>
          <wp:anchor distT="0" distB="0" distL="114300" distR="114300" simplePos="0" relativeHeight="251670016" behindDoc="0" locked="0" layoutInCell="1" allowOverlap="1" wp14:anchorId="4860887F" wp14:editId="3A61403C">
            <wp:simplePos x="0" y="0"/>
            <wp:positionH relativeFrom="column">
              <wp:posOffset>-452755</wp:posOffset>
            </wp:positionH>
            <wp:positionV relativeFrom="paragraph">
              <wp:posOffset>148590</wp:posOffset>
            </wp:positionV>
            <wp:extent cx="6717665" cy="8397240"/>
            <wp:effectExtent l="0" t="0" r="6985" b="3810"/>
            <wp:wrapNone/>
            <wp:docPr id="511596806" name="Рисунок 511596806" descr="C:\Users\XPS\Desktop\Oleksandr1\Desktop\Саша\А ДИСЕР НОВ\Холод\Довідки\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XPS\Desktop\Oleksandr1\Desktop\Саша\А ДИСЕР НОВ\Холод\Довідки\media\image3.jpe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717665" cy="8397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8EC" w:rsidRDefault="002858EC" w:rsidP="002858EC">
      <w:pPr>
        <w:keepNext/>
        <w:pageBreakBefore/>
        <w:spacing w:after="0" w:line="240" w:lineRule="auto"/>
        <w:jc w:val="center"/>
        <w:rPr>
          <w:rFonts w:ascii="Times New Roman" w:eastAsia="Times New Roman" w:hAnsi="Times New Roman"/>
          <w:b/>
          <w:sz w:val="28"/>
          <w:szCs w:val="28"/>
          <w:lang w:val="uk-UA"/>
        </w:rPr>
      </w:pPr>
      <w:r>
        <w:rPr>
          <w:rFonts w:ascii="Times New Roman" w:eastAsia="Times New Roman" w:hAnsi="Times New Roman"/>
          <w:b/>
          <w:sz w:val="28"/>
          <w:szCs w:val="28"/>
        </w:rPr>
        <w:lastRenderedPageBreak/>
        <w:t>ДОДАТОК Ю</w:t>
      </w:r>
    </w:p>
    <w:p w:rsidR="00435FDC" w:rsidRPr="002858EC" w:rsidRDefault="00EB5B4E" w:rsidP="002858EC">
      <w:pPr>
        <w:pStyle w:val="a6"/>
        <w:spacing w:after="0" w:line="240" w:lineRule="auto"/>
        <w:ind w:left="0"/>
        <w:jc w:val="center"/>
        <w:rPr>
          <w:rFonts w:ascii="Times New Roman" w:hAnsi="Times New Roman"/>
          <w:b/>
          <w:bCs/>
          <w:color w:val="000000"/>
          <w:sz w:val="28"/>
          <w:szCs w:val="28"/>
          <w:lang w:val="uk-UA"/>
        </w:rPr>
      </w:pPr>
      <w:r w:rsidRPr="002858EC">
        <w:rPr>
          <w:rFonts w:ascii="Times New Roman" w:hAnsi="Times New Roman"/>
          <w:b/>
          <w:bCs/>
          <w:color w:val="000000"/>
          <w:sz w:val="28"/>
          <w:szCs w:val="28"/>
          <w:lang w:val="uk-UA"/>
        </w:rPr>
        <w:t>Довідка про впровадження результатів дослідження (МХП)</w:t>
      </w:r>
    </w:p>
    <w:p w:rsidR="00250A39" w:rsidRDefault="007A1BB3" w:rsidP="0056221B">
      <w:pPr>
        <w:pStyle w:val="a5"/>
        <w:spacing w:before="0" w:beforeAutospacing="0" w:after="0" w:afterAutospacing="0" w:line="360" w:lineRule="auto"/>
        <w:ind w:firstLine="709"/>
        <w:jc w:val="center"/>
        <w:rPr>
          <w:b/>
          <w:sz w:val="28"/>
          <w:szCs w:val="28"/>
          <w:lang w:val="uk-UA"/>
        </w:rPr>
      </w:pPr>
      <w:r>
        <w:rPr>
          <w:noProof/>
          <w:lang w:val="uk-UA" w:eastAsia="uk-UA"/>
        </w:rPr>
        <w:drawing>
          <wp:anchor distT="0" distB="0" distL="114300" distR="114300" simplePos="0" relativeHeight="251671040" behindDoc="0" locked="0" layoutInCell="1" allowOverlap="1" wp14:anchorId="1F36B9B0" wp14:editId="117E6424">
            <wp:simplePos x="0" y="0"/>
            <wp:positionH relativeFrom="column">
              <wp:posOffset>-767715</wp:posOffset>
            </wp:positionH>
            <wp:positionV relativeFrom="paragraph">
              <wp:posOffset>26670</wp:posOffset>
            </wp:positionV>
            <wp:extent cx="6934200" cy="9540240"/>
            <wp:effectExtent l="0" t="0" r="0" b="3810"/>
            <wp:wrapNone/>
            <wp:docPr id="511596807" name="Рисунок 511596807" descr="C:\Users\XPS\Desktop\Oleksandr1\Desktop\Саша\А ДИСЕР НОВ\Холод\Довідки\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XPS\Desktop\Oleksandr1\Desktop\Саша\А ДИСЕР НОВ\Холод\Довідки\media\image4.jpe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934200" cy="9540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58EC" w:rsidRDefault="002858EC">
      <w:pPr>
        <w:keepNext/>
        <w:pageBreakBefore/>
        <w:jc w:val="center"/>
        <w:rPr>
          <w:rFonts w:ascii="Times New Roman" w:eastAsia="Times New Roman" w:hAnsi="Times New Roman"/>
          <w:b/>
          <w:sz w:val="28"/>
          <w:szCs w:val="28"/>
          <w:lang w:val="uk-UA"/>
        </w:rPr>
      </w:pPr>
      <w:r>
        <w:rPr>
          <w:rFonts w:ascii="Times New Roman" w:eastAsia="Times New Roman" w:hAnsi="Times New Roman"/>
          <w:b/>
          <w:sz w:val="28"/>
          <w:szCs w:val="28"/>
        </w:rPr>
        <w:lastRenderedPageBreak/>
        <w:t>ДОДАТОК Я</w:t>
      </w:r>
    </w:p>
    <w:p w:rsidR="00435FDC" w:rsidRPr="002858EC" w:rsidRDefault="00EB5B4E" w:rsidP="002858EC">
      <w:pPr>
        <w:pStyle w:val="a6"/>
        <w:spacing w:after="0" w:line="240" w:lineRule="auto"/>
        <w:ind w:left="0"/>
        <w:jc w:val="center"/>
        <w:rPr>
          <w:rFonts w:ascii="Times New Roman" w:hAnsi="Times New Roman"/>
          <w:b/>
          <w:bCs/>
          <w:color w:val="000000"/>
          <w:sz w:val="28"/>
          <w:szCs w:val="28"/>
          <w:lang w:val="uk-UA"/>
        </w:rPr>
      </w:pPr>
      <w:r w:rsidRPr="002858EC">
        <w:rPr>
          <w:rFonts w:ascii="Times New Roman" w:hAnsi="Times New Roman"/>
          <w:b/>
          <w:bCs/>
          <w:color w:val="000000"/>
          <w:sz w:val="28"/>
          <w:szCs w:val="28"/>
          <w:lang w:val="uk-UA"/>
        </w:rPr>
        <w:t>Довідка про впровадження результатів дослідження (Асоціація науковців України)</w:t>
      </w:r>
    </w:p>
    <w:p w:rsidR="00250A39" w:rsidRDefault="00B44D67" w:rsidP="0056221B">
      <w:pPr>
        <w:pStyle w:val="a5"/>
        <w:spacing w:before="0" w:beforeAutospacing="0" w:after="0" w:afterAutospacing="0" w:line="360" w:lineRule="auto"/>
        <w:ind w:firstLine="709"/>
        <w:jc w:val="center"/>
        <w:rPr>
          <w:b/>
          <w:sz w:val="28"/>
          <w:szCs w:val="28"/>
          <w:lang w:val="uk-UA"/>
        </w:rPr>
      </w:pPr>
      <w:r>
        <w:rPr>
          <w:noProof/>
          <w:lang w:val="uk-UA" w:eastAsia="uk-UA"/>
        </w:rPr>
        <w:drawing>
          <wp:anchor distT="0" distB="0" distL="114300" distR="114300" simplePos="0" relativeHeight="251672064" behindDoc="0" locked="0" layoutInCell="1" allowOverlap="1" wp14:anchorId="280A2C96" wp14:editId="295D4432">
            <wp:simplePos x="0" y="0"/>
            <wp:positionH relativeFrom="column">
              <wp:posOffset>-699135</wp:posOffset>
            </wp:positionH>
            <wp:positionV relativeFrom="paragraph">
              <wp:posOffset>118110</wp:posOffset>
            </wp:positionV>
            <wp:extent cx="7056120" cy="8671560"/>
            <wp:effectExtent l="0" t="0" r="0" b="0"/>
            <wp:wrapNone/>
            <wp:docPr id="511596808" name="Рисунок 511596808" descr="C:\Users\XPS\Desktop\Oleksandr1\Desktop\Саша\А ДИСЕР НОВ\Холод\Довідки\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XPS\Desktop\Oleksandr1\Desktop\Саша\А ДИСЕР НОВ\Холод\Довідки\media\image2.jpe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056120" cy="867156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50A39" w:rsidSect="00C4058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FFE" w:rsidRDefault="00F87FFE" w:rsidP="002D52B9">
      <w:pPr>
        <w:spacing w:after="0" w:line="240" w:lineRule="auto"/>
      </w:pPr>
      <w:r>
        <w:separator/>
      </w:r>
    </w:p>
  </w:endnote>
  <w:endnote w:type="continuationSeparator" w:id="0">
    <w:p w:rsidR="00F87FFE" w:rsidRDefault="00F87FFE" w:rsidP="002D5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y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ptos">
    <w:altName w:val="Arial"/>
    <w:charset w:val="00"/>
    <w:family w:val="swiss"/>
    <w:pitch w:val="variable"/>
    <w:sig w:usb0="20000287" w:usb1="0000000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webkit-standard">
    <w:altName w:val="Cambria"/>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FFE" w:rsidRDefault="00F87FFE" w:rsidP="002D52B9">
      <w:pPr>
        <w:spacing w:after="0" w:line="240" w:lineRule="auto"/>
      </w:pPr>
      <w:r>
        <w:separator/>
      </w:r>
    </w:p>
  </w:footnote>
  <w:footnote w:type="continuationSeparator" w:id="0">
    <w:p w:rsidR="00F87FFE" w:rsidRDefault="00F87FFE" w:rsidP="002D52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3335574"/>
      <w:docPartObj>
        <w:docPartGallery w:val="Page Numbers (Top of Page)"/>
        <w:docPartUnique/>
      </w:docPartObj>
    </w:sdtPr>
    <w:sdtEndPr>
      <w:rPr>
        <w:rFonts w:ascii="Times New Roman" w:hAnsi="Times New Roman"/>
        <w:sz w:val="24"/>
        <w:szCs w:val="24"/>
      </w:rPr>
    </w:sdtEndPr>
    <w:sdtContent>
      <w:p w:rsidR="00EB5B4E" w:rsidRPr="003E104E" w:rsidRDefault="00EB5B4E">
        <w:pPr>
          <w:pStyle w:val="af9"/>
          <w:jc w:val="right"/>
          <w:rPr>
            <w:rFonts w:ascii="Times New Roman" w:hAnsi="Times New Roman"/>
            <w:sz w:val="24"/>
            <w:szCs w:val="24"/>
          </w:rPr>
        </w:pPr>
        <w:r w:rsidRPr="003E104E">
          <w:rPr>
            <w:rFonts w:ascii="Times New Roman" w:hAnsi="Times New Roman"/>
            <w:sz w:val="24"/>
            <w:szCs w:val="24"/>
          </w:rPr>
          <w:fldChar w:fldCharType="begin"/>
        </w:r>
        <w:r w:rsidRPr="003E104E">
          <w:rPr>
            <w:rFonts w:ascii="Times New Roman" w:hAnsi="Times New Roman"/>
            <w:sz w:val="24"/>
            <w:szCs w:val="24"/>
          </w:rPr>
          <w:instrText>PAGE   \* MERGEFORMAT</w:instrText>
        </w:r>
        <w:r w:rsidRPr="003E104E">
          <w:rPr>
            <w:rFonts w:ascii="Times New Roman" w:hAnsi="Times New Roman"/>
            <w:sz w:val="24"/>
            <w:szCs w:val="24"/>
          </w:rPr>
          <w:fldChar w:fldCharType="separate"/>
        </w:r>
        <w:r w:rsidR="00C92370">
          <w:rPr>
            <w:rFonts w:ascii="Times New Roman" w:hAnsi="Times New Roman"/>
            <w:noProof/>
            <w:sz w:val="24"/>
            <w:szCs w:val="24"/>
          </w:rPr>
          <w:t>14</w:t>
        </w:r>
        <w:r w:rsidRPr="003E104E">
          <w:rPr>
            <w:rFonts w:ascii="Times New Roman" w:hAnsi="Times New Roman"/>
            <w:sz w:val="24"/>
            <w:szCs w:val="24"/>
          </w:rPr>
          <w:fldChar w:fldCharType="end"/>
        </w:r>
      </w:p>
    </w:sdtContent>
  </w:sdt>
  <w:p w:rsidR="00EB5B4E" w:rsidRDefault="00EB5B4E">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E4F27"/>
    <w:multiLevelType w:val="hybridMultilevel"/>
    <w:tmpl w:val="D8641F08"/>
    <w:lvl w:ilvl="0" w:tplc="626AD7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6B714F"/>
    <w:multiLevelType w:val="multilevel"/>
    <w:tmpl w:val="5956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B06D5"/>
    <w:multiLevelType w:val="multilevel"/>
    <w:tmpl w:val="A7028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8D1E98"/>
    <w:multiLevelType w:val="multilevel"/>
    <w:tmpl w:val="E4D0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C23319"/>
    <w:multiLevelType w:val="multilevel"/>
    <w:tmpl w:val="E4D0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530BA"/>
    <w:multiLevelType w:val="multilevel"/>
    <w:tmpl w:val="5C1274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AA39A4"/>
    <w:multiLevelType w:val="hybridMultilevel"/>
    <w:tmpl w:val="BE041512"/>
    <w:lvl w:ilvl="0" w:tplc="9A788E80">
      <w:numFmt w:val="bullet"/>
      <w:pStyle w:val="a"/>
      <w:lvlText w:val="-"/>
      <w:lvlJc w:val="left"/>
      <w:pPr>
        <w:ind w:left="1429" w:hanging="360"/>
      </w:pPr>
      <w:rPr>
        <w:rFonts w:ascii="Cyr" w:hAnsi="Cyr" w:cs="Cyr"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1ECC3B11"/>
    <w:multiLevelType w:val="multilevel"/>
    <w:tmpl w:val="9856C7B2"/>
    <w:lvl w:ilvl="0">
      <w:start w:val="1"/>
      <w:numFmt w:val="decimal"/>
      <w:lvlText w:val="%1."/>
      <w:lvlJc w:val="left"/>
      <w:pPr>
        <w:tabs>
          <w:tab w:val="num" w:pos="0"/>
        </w:tabs>
        <w:ind w:left="2061" w:hanging="360"/>
      </w:pPr>
      <w:rPr>
        <w:rFonts w:ascii="Times New Roman" w:hAnsi="Times New Roman" w:cs="Times New Roman"/>
        <w:b w:val="0"/>
        <w:i w:val="0"/>
        <w:sz w:val="28"/>
        <w:szCs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20602B35"/>
    <w:multiLevelType w:val="multilevel"/>
    <w:tmpl w:val="8D06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27438B"/>
    <w:multiLevelType w:val="multilevel"/>
    <w:tmpl w:val="B6A2E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097EC2"/>
    <w:multiLevelType w:val="multilevel"/>
    <w:tmpl w:val="457E8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437986"/>
    <w:multiLevelType w:val="hybridMultilevel"/>
    <w:tmpl w:val="A468DB1E"/>
    <w:lvl w:ilvl="0" w:tplc="DDD6DD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6DF372C"/>
    <w:multiLevelType w:val="multilevel"/>
    <w:tmpl w:val="BC102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95774A"/>
    <w:multiLevelType w:val="multilevel"/>
    <w:tmpl w:val="329CD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8E4311"/>
    <w:multiLevelType w:val="multilevel"/>
    <w:tmpl w:val="E4D0C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D672B9"/>
    <w:multiLevelType w:val="multilevel"/>
    <w:tmpl w:val="D3A8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937784"/>
    <w:multiLevelType w:val="hybridMultilevel"/>
    <w:tmpl w:val="32DEDC9E"/>
    <w:lvl w:ilvl="0" w:tplc="87D452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5632AD6"/>
    <w:multiLevelType w:val="multilevel"/>
    <w:tmpl w:val="F80ED438"/>
    <w:lvl w:ilvl="0">
      <w:start w:val="8"/>
      <w:numFmt w:val="bullet"/>
      <w:lvlText w:val=""/>
      <w:lvlJc w:val="left"/>
      <w:pPr>
        <w:ind w:left="720" w:hanging="360"/>
      </w:pPr>
      <w:rPr>
        <w:rFonts w:ascii="Times New Roman" w:eastAsia="Times New Roman" w:hAnsi="Times New Roman" w:cs="Times New Roman"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C966B58"/>
    <w:multiLevelType w:val="multilevel"/>
    <w:tmpl w:val="320EC098"/>
    <w:lvl w:ilvl="0">
      <w:start w:val="4"/>
      <w:numFmt w:val="bullet"/>
      <w:lvlText w:val="-"/>
      <w:lvlJc w:val="left"/>
      <w:pPr>
        <w:tabs>
          <w:tab w:val="num" w:pos="720"/>
        </w:tabs>
        <w:ind w:left="720" w:hanging="360"/>
      </w:pPr>
      <w:rPr>
        <w:rFonts w:ascii="Times New Roman" w:eastAsia="Times New Roman" w:hAnsi="Times New Roman" w:cs="Times New Roman" w:hint="default"/>
        <w:color w:val="auto"/>
        <w:sz w:val="28"/>
        <w:szCs w:val="28"/>
      </w:rPr>
    </w:lvl>
    <w:lvl w:ilvl="1">
      <w:start w:val="1"/>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00E6F83"/>
    <w:multiLevelType w:val="multilevel"/>
    <w:tmpl w:val="95DA74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A14E02"/>
    <w:multiLevelType w:val="multilevel"/>
    <w:tmpl w:val="C7D0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4F5542"/>
    <w:multiLevelType w:val="hybridMultilevel"/>
    <w:tmpl w:val="E072F23A"/>
    <w:lvl w:ilvl="0" w:tplc="712E64D2">
      <w:start w:val="1"/>
      <w:numFmt w:val="bullet"/>
      <w:lvlText w:val=""/>
      <w:lvlJc w:val="left"/>
      <w:pPr>
        <w:ind w:left="928"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nsid w:val="54311F58"/>
    <w:multiLevelType w:val="multilevel"/>
    <w:tmpl w:val="43DC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5607D1"/>
    <w:multiLevelType w:val="multilevel"/>
    <w:tmpl w:val="246A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FD7551"/>
    <w:multiLevelType w:val="multilevel"/>
    <w:tmpl w:val="EB548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0574F5"/>
    <w:multiLevelType w:val="multilevel"/>
    <w:tmpl w:val="5ED8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135F70"/>
    <w:multiLevelType w:val="multilevel"/>
    <w:tmpl w:val="0980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957DA2"/>
    <w:multiLevelType w:val="multilevel"/>
    <w:tmpl w:val="0304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11639CF"/>
    <w:multiLevelType w:val="multilevel"/>
    <w:tmpl w:val="E5627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5F20D5"/>
    <w:multiLevelType w:val="hybridMultilevel"/>
    <w:tmpl w:val="9F8652A6"/>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0">
    <w:nsid w:val="75C3096D"/>
    <w:multiLevelType w:val="multilevel"/>
    <w:tmpl w:val="B57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646DA8"/>
    <w:multiLevelType w:val="hybridMultilevel"/>
    <w:tmpl w:val="0E1CCAEE"/>
    <w:lvl w:ilvl="0" w:tplc="6804ED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DEA4F10"/>
    <w:multiLevelType w:val="multilevel"/>
    <w:tmpl w:val="C3D69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9"/>
  </w:num>
  <w:num w:numId="3">
    <w:abstractNumId w:val="13"/>
  </w:num>
  <w:num w:numId="4">
    <w:abstractNumId w:val="30"/>
  </w:num>
  <w:num w:numId="5">
    <w:abstractNumId w:val="2"/>
  </w:num>
  <w:num w:numId="6">
    <w:abstractNumId w:val="1"/>
  </w:num>
  <w:num w:numId="7">
    <w:abstractNumId w:val="32"/>
  </w:num>
  <w:num w:numId="8">
    <w:abstractNumId w:val="12"/>
  </w:num>
  <w:num w:numId="9">
    <w:abstractNumId w:val="20"/>
  </w:num>
  <w:num w:numId="10">
    <w:abstractNumId w:val="19"/>
  </w:num>
  <w:num w:numId="11">
    <w:abstractNumId w:val="15"/>
  </w:num>
  <w:num w:numId="12">
    <w:abstractNumId w:val="24"/>
  </w:num>
  <w:num w:numId="13">
    <w:abstractNumId w:val="31"/>
  </w:num>
  <w:num w:numId="14">
    <w:abstractNumId w:val="0"/>
  </w:num>
  <w:num w:numId="15">
    <w:abstractNumId w:val="3"/>
  </w:num>
  <w:num w:numId="16">
    <w:abstractNumId w:val="4"/>
  </w:num>
  <w:num w:numId="17">
    <w:abstractNumId w:val="5"/>
  </w:num>
  <w:num w:numId="18">
    <w:abstractNumId w:val="27"/>
  </w:num>
  <w:num w:numId="19">
    <w:abstractNumId w:val="23"/>
  </w:num>
  <w:num w:numId="20">
    <w:abstractNumId w:val="26"/>
  </w:num>
  <w:num w:numId="21">
    <w:abstractNumId w:val="9"/>
  </w:num>
  <w:num w:numId="22">
    <w:abstractNumId w:val="28"/>
  </w:num>
  <w:num w:numId="23">
    <w:abstractNumId w:val="10"/>
  </w:num>
  <w:num w:numId="24">
    <w:abstractNumId w:val="25"/>
  </w:num>
  <w:num w:numId="25">
    <w:abstractNumId w:val="22"/>
  </w:num>
  <w:num w:numId="26">
    <w:abstractNumId w:val="8"/>
  </w:num>
  <w:num w:numId="27">
    <w:abstractNumId w:val="17"/>
  </w:num>
  <w:num w:numId="28">
    <w:abstractNumId w:val="14"/>
  </w:num>
  <w:num w:numId="29">
    <w:abstractNumId w:val="16"/>
  </w:num>
  <w:num w:numId="30">
    <w:abstractNumId w:val="21"/>
  </w:num>
  <w:num w:numId="31">
    <w:abstractNumId w:val="6"/>
  </w:num>
  <w:num w:numId="32">
    <w:abstractNumId w:val="18"/>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0C0"/>
    <w:rsid w:val="000001BB"/>
    <w:rsid w:val="00012FCD"/>
    <w:rsid w:val="000252F2"/>
    <w:rsid w:val="00027384"/>
    <w:rsid w:val="000330D9"/>
    <w:rsid w:val="00044B86"/>
    <w:rsid w:val="00051D43"/>
    <w:rsid w:val="0006744F"/>
    <w:rsid w:val="00071E8A"/>
    <w:rsid w:val="00081F20"/>
    <w:rsid w:val="000840C2"/>
    <w:rsid w:val="000A5361"/>
    <w:rsid w:val="000A7675"/>
    <w:rsid w:val="000C1F33"/>
    <w:rsid w:val="000C3066"/>
    <w:rsid w:val="000C4611"/>
    <w:rsid w:val="000D0803"/>
    <w:rsid w:val="000E3D0D"/>
    <w:rsid w:val="000F51EE"/>
    <w:rsid w:val="000F596F"/>
    <w:rsid w:val="000F5E2E"/>
    <w:rsid w:val="00103781"/>
    <w:rsid w:val="001118E4"/>
    <w:rsid w:val="00116012"/>
    <w:rsid w:val="00116DD6"/>
    <w:rsid w:val="001216D5"/>
    <w:rsid w:val="00123C18"/>
    <w:rsid w:val="00130466"/>
    <w:rsid w:val="00141608"/>
    <w:rsid w:val="00154AA6"/>
    <w:rsid w:val="001626EF"/>
    <w:rsid w:val="00164184"/>
    <w:rsid w:val="00165833"/>
    <w:rsid w:val="00182827"/>
    <w:rsid w:val="00185674"/>
    <w:rsid w:val="001878F2"/>
    <w:rsid w:val="00193263"/>
    <w:rsid w:val="001A3665"/>
    <w:rsid w:val="001E0D01"/>
    <w:rsid w:val="001E49EA"/>
    <w:rsid w:val="001E5EE5"/>
    <w:rsid w:val="001F3BFF"/>
    <w:rsid w:val="00212E70"/>
    <w:rsid w:val="002251B8"/>
    <w:rsid w:val="00235B44"/>
    <w:rsid w:val="00245A16"/>
    <w:rsid w:val="00250A39"/>
    <w:rsid w:val="00254C06"/>
    <w:rsid w:val="00255B62"/>
    <w:rsid w:val="00266DB7"/>
    <w:rsid w:val="00271089"/>
    <w:rsid w:val="002802EB"/>
    <w:rsid w:val="00280531"/>
    <w:rsid w:val="0028347A"/>
    <w:rsid w:val="0028441D"/>
    <w:rsid w:val="0028566A"/>
    <w:rsid w:val="002858EC"/>
    <w:rsid w:val="002874E3"/>
    <w:rsid w:val="0029479F"/>
    <w:rsid w:val="002A16E4"/>
    <w:rsid w:val="002B4307"/>
    <w:rsid w:val="002C2FE5"/>
    <w:rsid w:val="002D52B9"/>
    <w:rsid w:val="002D6DE0"/>
    <w:rsid w:val="002E518E"/>
    <w:rsid w:val="002E5FD1"/>
    <w:rsid w:val="002E6843"/>
    <w:rsid w:val="002F2AA1"/>
    <w:rsid w:val="002F389C"/>
    <w:rsid w:val="00301B61"/>
    <w:rsid w:val="00311901"/>
    <w:rsid w:val="00313DFE"/>
    <w:rsid w:val="00313EB1"/>
    <w:rsid w:val="003157CD"/>
    <w:rsid w:val="003240EE"/>
    <w:rsid w:val="00336F0C"/>
    <w:rsid w:val="003440B9"/>
    <w:rsid w:val="00363C28"/>
    <w:rsid w:val="0037158C"/>
    <w:rsid w:val="00386301"/>
    <w:rsid w:val="00386FA6"/>
    <w:rsid w:val="00387BA4"/>
    <w:rsid w:val="003A407E"/>
    <w:rsid w:val="003B1D99"/>
    <w:rsid w:val="003C0A2F"/>
    <w:rsid w:val="003C64E3"/>
    <w:rsid w:val="003E0048"/>
    <w:rsid w:val="003E104E"/>
    <w:rsid w:val="003E3100"/>
    <w:rsid w:val="003F02B7"/>
    <w:rsid w:val="003F7635"/>
    <w:rsid w:val="003F7D43"/>
    <w:rsid w:val="004009DE"/>
    <w:rsid w:val="00400BAB"/>
    <w:rsid w:val="00404829"/>
    <w:rsid w:val="0041587E"/>
    <w:rsid w:val="00420030"/>
    <w:rsid w:val="0042018E"/>
    <w:rsid w:val="00435FDC"/>
    <w:rsid w:val="00437A5B"/>
    <w:rsid w:val="004556EF"/>
    <w:rsid w:val="004574F6"/>
    <w:rsid w:val="00466589"/>
    <w:rsid w:val="00470EF2"/>
    <w:rsid w:val="0047195D"/>
    <w:rsid w:val="004805E1"/>
    <w:rsid w:val="00485339"/>
    <w:rsid w:val="004865ED"/>
    <w:rsid w:val="004938C8"/>
    <w:rsid w:val="004A2679"/>
    <w:rsid w:val="004C1519"/>
    <w:rsid w:val="004C5906"/>
    <w:rsid w:val="004E2404"/>
    <w:rsid w:val="00507537"/>
    <w:rsid w:val="00512EF4"/>
    <w:rsid w:val="0051796A"/>
    <w:rsid w:val="0053161D"/>
    <w:rsid w:val="005332E4"/>
    <w:rsid w:val="005357D2"/>
    <w:rsid w:val="00542804"/>
    <w:rsid w:val="0055241F"/>
    <w:rsid w:val="00553D52"/>
    <w:rsid w:val="0055571B"/>
    <w:rsid w:val="00555828"/>
    <w:rsid w:val="00555AA3"/>
    <w:rsid w:val="0056221B"/>
    <w:rsid w:val="00566A83"/>
    <w:rsid w:val="005670E0"/>
    <w:rsid w:val="005714C9"/>
    <w:rsid w:val="005754CA"/>
    <w:rsid w:val="00576347"/>
    <w:rsid w:val="005849B8"/>
    <w:rsid w:val="00586507"/>
    <w:rsid w:val="00597868"/>
    <w:rsid w:val="005B7042"/>
    <w:rsid w:val="005C38DA"/>
    <w:rsid w:val="005E20A1"/>
    <w:rsid w:val="005E3BDD"/>
    <w:rsid w:val="006003BB"/>
    <w:rsid w:val="0060362D"/>
    <w:rsid w:val="00611A1F"/>
    <w:rsid w:val="00616D87"/>
    <w:rsid w:val="00625D39"/>
    <w:rsid w:val="00625F6D"/>
    <w:rsid w:val="00640012"/>
    <w:rsid w:val="00653E12"/>
    <w:rsid w:val="00661975"/>
    <w:rsid w:val="006633CD"/>
    <w:rsid w:val="00665717"/>
    <w:rsid w:val="0066756D"/>
    <w:rsid w:val="00671574"/>
    <w:rsid w:val="00674AF0"/>
    <w:rsid w:val="00683F74"/>
    <w:rsid w:val="00690FB4"/>
    <w:rsid w:val="00692178"/>
    <w:rsid w:val="006A180B"/>
    <w:rsid w:val="006A2BE5"/>
    <w:rsid w:val="006A576F"/>
    <w:rsid w:val="006D176D"/>
    <w:rsid w:val="006D4845"/>
    <w:rsid w:val="006E2EE7"/>
    <w:rsid w:val="006E5544"/>
    <w:rsid w:val="006F1C7D"/>
    <w:rsid w:val="006F455B"/>
    <w:rsid w:val="00705025"/>
    <w:rsid w:val="00711E9F"/>
    <w:rsid w:val="00726AED"/>
    <w:rsid w:val="00734992"/>
    <w:rsid w:val="00736C88"/>
    <w:rsid w:val="00746059"/>
    <w:rsid w:val="00747FD1"/>
    <w:rsid w:val="00752B04"/>
    <w:rsid w:val="00757F8C"/>
    <w:rsid w:val="00762D8C"/>
    <w:rsid w:val="0076457F"/>
    <w:rsid w:val="007658AB"/>
    <w:rsid w:val="007668BD"/>
    <w:rsid w:val="00766B79"/>
    <w:rsid w:val="00766D37"/>
    <w:rsid w:val="00771D6F"/>
    <w:rsid w:val="007872CE"/>
    <w:rsid w:val="00792D83"/>
    <w:rsid w:val="007A1A33"/>
    <w:rsid w:val="007A1BB3"/>
    <w:rsid w:val="007A76D4"/>
    <w:rsid w:val="007E6D6F"/>
    <w:rsid w:val="007E7D4D"/>
    <w:rsid w:val="00816BAD"/>
    <w:rsid w:val="00850EA3"/>
    <w:rsid w:val="00872207"/>
    <w:rsid w:val="0089286D"/>
    <w:rsid w:val="00895197"/>
    <w:rsid w:val="008A2761"/>
    <w:rsid w:val="008A7B5E"/>
    <w:rsid w:val="008B6793"/>
    <w:rsid w:val="008E1967"/>
    <w:rsid w:val="008E52A5"/>
    <w:rsid w:val="00901715"/>
    <w:rsid w:val="00912C73"/>
    <w:rsid w:val="009309D4"/>
    <w:rsid w:val="009332D9"/>
    <w:rsid w:val="00957323"/>
    <w:rsid w:val="00957AC1"/>
    <w:rsid w:val="009666DD"/>
    <w:rsid w:val="00977333"/>
    <w:rsid w:val="009809C9"/>
    <w:rsid w:val="009956E4"/>
    <w:rsid w:val="009A30C0"/>
    <w:rsid w:val="009A3A4E"/>
    <w:rsid w:val="009B3342"/>
    <w:rsid w:val="009C19A3"/>
    <w:rsid w:val="009C1CD7"/>
    <w:rsid w:val="009C275C"/>
    <w:rsid w:val="009C55E7"/>
    <w:rsid w:val="009D5260"/>
    <w:rsid w:val="009D5DD0"/>
    <w:rsid w:val="009D657A"/>
    <w:rsid w:val="009E2A1F"/>
    <w:rsid w:val="009E2C13"/>
    <w:rsid w:val="00A0574A"/>
    <w:rsid w:val="00A20734"/>
    <w:rsid w:val="00A36732"/>
    <w:rsid w:val="00A435D0"/>
    <w:rsid w:val="00A43831"/>
    <w:rsid w:val="00A716FF"/>
    <w:rsid w:val="00A7388F"/>
    <w:rsid w:val="00A85A37"/>
    <w:rsid w:val="00AB42E3"/>
    <w:rsid w:val="00AB4E9D"/>
    <w:rsid w:val="00AC6949"/>
    <w:rsid w:val="00AD08E1"/>
    <w:rsid w:val="00AD0D2A"/>
    <w:rsid w:val="00AD194F"/>
    <w:rsid w:val="00AD4095"/>
    <w:rsid w:val="00AD44E3"/>
    <w:rsid w:val="00AF1864"/>
    <w:rsid w:val="00AF22D2"/>
    <w:rsid w:val="00AF230A"/>
    <w:rsid w:val="00AF7F70"/>
    <w:rsid w:val="00B04791"/>
    <w:rsid w:val="00B23F24"/>
    <w:rsid w:val="00B303EC"/>
    <w:rsid w:val="00B37265"/>
    <w:rsid w:val="00B4420B"/>
    <w:rsid w:val="00B44D67"/>
    <w:rsid w:val="00B50FC9"/>
    <w:rsid w:val="00B6394D"/>
    <w:rsid w:val="00B8520C"/>
    <w:rsid w:val="00BA79D2"/>
    <w:rsid w:val="00BB0AFB"/>
    <w:rsid w:val="00BC0268"/>
    <w:rsid w:val="00BE5A3A"/>
    <w:rsid w:val="00C32176"/>
    <w:rsid w:val="00C335F4"/>
    <w:rsid w:val="00C350D5"/>
    <w:rsid w:val="00C40589"/>
    <w:rsid w:val="00C5528D"/>
    <w:rsid w:val="00C55FCE"/>
    <w:rsid w:val="00C85EA8"/>
    <w:rsid w:val="00C90E9F"/>
    <w:rsid w:val="00C92370"/>
    <w:rsid w:val="00C94451"/>
    <w:rsid w:val="00C97763"/>
    <w:rsid w:val="00CB6B34"/>
    <w:rsid w:val="00CC7847"/>
    <w:rsid w:val="00CD3C0D"/>
    <w:rsid w:val="00CD52EF"/>
    <w:rsid w:val="00CE1302"/>
    <w:rsid w:val="00CE7F94"/>
    <w:rsid w:val="00CF3CD3"/>
    <w:rsid w:val="00D1329F"/>
    <w:rsid w:val="00D1704E"/>
    <w:rsid w:val="00D2288F"/>
    <w:rsid w:val="00D34AC1"/>
    <w:rsid w:val="00D41FDF"/>
    <w:rsid w:val="00D4702B"/>
    <w:rsid w:val="00D54B5D"/>
    <w:rsid w:val="00D54B7C"/>
    <w:rsid w:val="00D61264"/>
    <w:rsid w:val="00D61FC4"/>
    <w:rsid w:val="00D638FA"/>
    <w:rsid w:val="00D838FE"/>
    <w:rsid w:val="00D912C4"/>
    <w:rsid w:val="00D9777D"/>
    <w:rsid w:val="00DA0FC9"/>
    <w:rsid w:val="00DB1F48"/>
    <w:rsid w:val="00DB6BE4"/>
    <w:rsid w:val="00DD3DEB"/>
    <w:rsid w:val="00DD56C3"/>
    <w:rsid w:val="00DE02ED"/>
    <w:rsid w:val="00DF768F"/>
    <w:rsid w:val="00E04561"/>
    <w:rsid w:val="00E06145"/>
    <w:rsid w:val="00E12ED3"/>
    <w:rsid w:val="00E218DA"/>
    <w:rsid w:val="00E238D8"/>
    <w:rsid w:val="00E37AB2"/>
    <w:rsid w:val="00E4054C"/>
    <w:rsid w:val="00E531C2"/>
    <w:rsid w:val="00E577D5"/>
    <w:rsid w:val="00E736B0"/>
    <w:rsid w:val="00E75AEB"/>
    <w:rsid w:val="00E87C11"/>
    <w:rsid w:val="00E9336A"/>
    <w:rsid w:val="00E943D3"/>
    <w:rsid w:val="00EB5B4E"/>
    <w:rsid w:val="00EB7644"/>
    <w:rsid w:val="00ED04DE"/>
    <w:rsid w:val="00ED459C"/>
    <w:rsid w:val="00EE026D"/>
    <w:rsid w:val="00EF4DD3"/>
    <w:rsid w:val="00F24B97"/>
    <w:rsid w:val="00F27AAA"/>
    <w:rsid w:val="00F346C3"/>
    <w:rsid w:val="00F55801"/>
    <w:rsid w:val="00F71E08"/>
    <w:rsid w:val="00F87FFE"/>
    <w:rsid w:val="00F965C6"/>
    <w:rsid w:val="00FB3C2D"/>
    <w:rsid w:val="00FC1A38"/>
    <w:rsid w:val="00FC3719"/>
    <w:rsid w:val="00FC4A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030"/>
    <w:pPr>
      <w:spacing w:after="160" w:line="259" w:lineRule="auto"/>
    </w:pPr>
    <w:rPr>
      <w:sz w:val="22"/>
      <w:szCs w:val="22"/>
      <w:lang w:val="ru-RU" w:eastAsia="en-US"/>
    </w:rPr>
  </w:style>
  <w:style w:type="paragraph" w:styleId="1">
    <w:name w:val="heading 1"/>
    <w:basedOn w:val="a0"/>
    <w:next w:val="a0"/>
    <w:link w:val="10"/>
    <w:uiPriority w:val="9"/>
    <w:qFormat/>
    <w:rsid w:val="00B37265"/>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2">
    <w:name w:val="heading 2"/>
    <w:basedOn w:val="a0"/>
    <w:next w:val="a0"/>
    <w:link w:val="20"/>
    <w:uiPriority w:val="9"/>
    <w:unhideWhenUsed/>
    <w:qFormat/>
    <w:rsid w:val="00B37265"/>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3">
    <w:name w:val="heading 3"/>
    <w:basedOn w:val="a0"/>
    <w:next w:val="a0"/>
    <w:link w:val="30"/>
    <w:uiPriority w:val="9"/>
    <w:unhideWhenUsed/>
    <w:qFormat/>
    <w:rsid w:val="00B37265"/>
    <w:pPr>
      <w:keepNext/>
      <w:keepLines/>
      <w:spacing w:before="160" w:after="80" w:line="278"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4">
    <w:name w:val="heading 4"/>
    <w:basedOn w:val="a0"/>
    <w:next w:val="a0"/>
    <w:link w:val="40"/>
    <w:uiPriority w:val="9"/>
    <w:unhideWhenUsed/>
    <w:qFormat/>
    <w:rsid w:val="00EB7644"/>
    <w:pPr>
      <w:keepNext/>
      <w:spacing w:before="240" w:after="60"/>
      <w:outlineLvl w:val="3"/>
    </w:pPr>
    <w:rPr>
      <w:rFonts w:eastAsia="Times New Roman"/>
      <w:b/>
      <w:bCs/>
      <w:sz w:val="28"/>
      <w:szCs w:val="28"/>
    </w:rPr>
  </w:style>
  <w:style w:type="paragraph" w:styleId="5">
    <w:name w:val="heading 5"/>
    <w:basedOn w:val="a0"/>
    <w:next w:val="a0"/>
    <w:link w:val="50"/>
    <w:uiPriority w:val="9"/>
    <w:semiHidden/>
    <w:unhideWhenUsed/>
    <w:qFormat/>
    <w:rsid w:val="00B37265"/>
    <w:pPr>
      <w:keepNext/>
      <w:keepLines/>
      <w:spacing w:before="80" w:after="40" w:line="278" w:lineRule="auto"/>
      <w:outlineLvl w:val="4"/>
    </w:pPr>
    <w:rPr>
      <w:rFonts w:asciiTheme="minorHAnsi" w:eastAsiaTheme="majorEastAsia" w:hAnsiTheme="minorHAnsi" w:cstheme="majorBidi"/>
      <w:color w:val="365F91" w:themeColor="accent1" w:themeShade="BF"/>
      <w:kern w:val="2"/>
      <w:sz w:val="24"/>
      <w:szCs w:val="24"/>
      <w14:ligatures w14:val="standardContextual"/>
    </w:rPr>
  </w:style>
  <w:style w:type="paragraph" w:styleId="6">
    <w:name w:val="heading 6"/>
    <w:basedOn w:val="a0"/>
    <w:next w:val="a0"/>
    <w:link w:val="60"/>
    <w:uiPriority w:val="9"/>
    <w:semiHidden/>
    <w:unhideWhenUsed/>
    <w:qFormat/>
    <w:rsid w:val="00B37265"/>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0"/>
    <w:next w:val="a0"/>
    <w:link w:val="70"/>
    <w:uiPriority w:val="9"/>
    <w:semiHidden/>
    <w:unhideWhenUsed/>
    <w:qFormat/>
    <w:rsid w:val="00B37265"/>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0"/>
    <w:next w:val="a0"/>
    <w:link w:val="80"/>
    <w:uiPriority w:val="9"/>
    <w:semiHidden/>
    <w:unhideWhenUsed/>
    <w:qFormat/>
    <w:rsid w:val="00C335F4"/>
    <w:pPr>
      <w:spacing w:before="240" w:after="60"/>
      <w:outlineLvl w:val="7"/>
    </w:pPr>
    <w:rPr>
      <w:rFonts w:eastAsia="Times New Roman"/>
      <w:i/>
      <w:iCs/>
      <w:sz w:val="24"/>
      <w:szCs w:val="24"/>
    </w:rPr>
  </w:style>
  <w:style w:type="paragraph" w:styleId="9">
    <w:name w:val="heading 9"/>
    <w:basedOn w:val="a0"/>
    <w:next w:val="a0"/>
    <w:link w:val="90"/>
    <w:uiPriority w:val="9"/>
    <w:semiHidden/>
    <w:unhideWhenUsed/>
    <w:qFormat/>
    <w:rsid w:val="00B37265"/>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37265"/>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customStyle="1" w:styleId="20">
    <w:name w:val="Заголовок 2 Знак"/>
    <w:basedOn w:val="a1"/>
    <w:link w:val="2"/>
    <w:uiPriority w:val="9"/>
    <w:rsid w:val="00B37265"/>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30">
    <w:name w:val="Заголовок 3 Знак"/>
    <w:basedOn w:val="a1"/>
    <w:link w:val="3"/>
    <w:uiPriority w:val="9"/>
    <w:rsid w:val="00B37265"/>
    <w:rPr>
      <w:rFonts w:asciiTheme="minorHAnsi" w:eastAsiaTheme="majorEastAsia" w:hAnsiTheme="minorHAnsi" w:cstheme="majorBidi"/>
      <w:color w:val="365F91" w:themeColor="accent1" w:themeShade="BF"/>
      <w:kern w:val="2"/>
      <w:sz w:val="28"/>
      <w:szCs w:val="28"/>
      <w:lang w:eastAsia="en-US"/>
      <w14:ligatures w14:val="standardContextual"/>
    </w:rPr>
  </w:style>
  <w:style w:type="character" w:customStyle="1" w:styleId="40">
    <w:name w:val="Заголовок 4 Знак"/>
    <w:link w:val="4"/>
    <w:uiPriority w:val="9"/>
    <w:rsid w:val="00EB7644"/>
    <w:rPr>
      <w:rFonts w:ascii="Calibri" w:eastAsia="Times New Roman" w:hAnsi="Calibri" w:cs="Times New Roman"/>
      <w:b/>
      <w:bCs/>
      <w:sz w:val="28"/>
      <w:szCs w:val="28"/>
      <w:lang w:eastAsia="en-US"/>
    </w:rPr>
  </w:style>
  <w:style w:type="character" w:customStyle="1" w:styleId="50">
    <w:name w:val="Заголовок 5 Знак"/>
    <w:basedOn w:val="a1"/>
    <w:link w:val="5"/>
    <w:uiPriority w:val="9"/>
    <w:semiHidden/>
    <w:rsid w:val="00B37265"/>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80">
    <w:name w:val="Заголовок 8 Знак"/>
    <w:link w:val="8"/>
    <w:uiPriority w:val="9"/>
    <w:semiHidden/>
    <w:rsid w:val="00C335F4"/>
    <w:rPr>
      <w:rFonts w:eastAsia="Times New Roman"/>
      <w:i/>
      <w:iCs/>
      <w:sz w:val="24"/>
      <w:szCs w:val="24"/>
      <w:lang w:eastAsia="en-US"/>
    </w:rPr>
  </w:style>
  <w:style w:type="table" w:styleId="a4">
    <w:name w:val="Table Grid"/>
    <w:basedOn w:val="a2"/>
    <w:uiPriority w:val="39"/>
    <w:rsid w:val="00DB6B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aliases w:val="docy,v5,3354,baiaagaaboqcaaadaqqaaavacqaaaaaaaaaaaaaaaaaaaaaaaaaaaaaaaaaaaaaaaaaaaaaaaaaaaaaaaaaaaaaaaaaaaaaaaaaaaaaaaaaaaaaaaaaaaaaaaaaaaaaaaaaaaaaaaaaaaaaaaaaaaaaaaaaaaaaaaaaaaaaaaaaaaaaaaaaaaaaaaaaaaaaaaaaaaaaaaaaaaaaaaaaaaaaaaaaaaaaaaaaaaaaa"/>
    <w:rsid w:val="00766D37"/>
  </w:style>
  <w:style w:type="paragraph" w:styleId="a5">
    <w:name w:val="Normal (Web)"/>
    <w:basedOn w:val="a0"/>
    <w:uiPriority w:val="99"/>
    <w:unhideWhenUsed/>
    <w:rsid w:val="002A16E4"/>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0"/>
    <w:uiPriority w:val="34"/>
    <w:qFormat/>
    <w:rsid w:val="006633CD"/>
    <w:pPr>
      <w:ind w:left="720"/>
      <w:contextualSpacing/>
    </w:pPr>
  </w:style>
  <w:style w:type="paragraph" w:customStyle="1" w:styleId="11">
    <w:name w:val="Заголовок1"/>
    <w:basedOn w:val="a0"/>
    <w:link w:val="a7"/>
    <w:qFormat/>
    <w:rsid w:val="00C335F4"/>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7">
    <w:name w:val="Заголовок Знак"/>
    <w:link w:val="11"/>
    <w:uiPriority w:val="10"/>
    <w:rsid w:val="00C335F4"/>
    <w:rPr>
      <w:rFonts w:ascii="Times New Roman" w:eastAsia="Times New Roman" w:hAnsi="Times New Roman"/>
      <w:sz w:val="24"/>
      <w:szCs w:val="24"/>
      <w:lang w:val="uk-UA" w:eastAsia="uk-UA"/>
    </w:rPr>
  </w:style>
  <w:style w:type="paragraph" w:customStyle="1" w:styleId="Default">
    <w:name w:val="Default"/>
    <w:rsid w:val="00C335F4"/>
    <w:pPr>
      <w:autoSpaceDE w:val="0"/>
      <w:autoSpaceDN w:val="0"/>
      <w:adjustRightInd w:val="0"/>
    </w:pPr>
    <w:rPr>
      <w:rFonts w:ascii="Times New Roman" w:hAnsi="Times New Roman"/>
      <w:color w:val="000000"/>
      <w:sz w:val="24"/>
      <w:szCs w:val="24"/>
      <w:lang w:val="ru-RU" w:eastAsia="ru-RU"/>
    </w:rPr>
  </w:style>
  <w:style w:type="character" w:customStyle="1" w:styleId="a8">
    <w:name w:val="Основной текст_"/>
    <w:link w:val="41"/>
    <w:qFormat/>
    <w:rsid w:val="00C335F4"/>
    <w:rPr>
      <w:rFonts w:ascii="Times New Roman" w:eastAsia="Times New Roman" w:hAnsi="Times New Roman"/>
      <w:sz w:val="28"/>
      <w:szCs w:val="28"/>
      <w:shd w:val="clear" w:color="auto" w:fill="FFFFFF"/>
    </w:rPr>
  </w:style>
  <w:style w:type="paragraph" w:customStyle="1" w:styleId="41">
    <w:name w:val="Основной текст4"/>
    <w:basedOn w:val="a0"/>
    <w:link w:val="a8"/>
    <w:rsid w:val="00C335F4"/>
    <w:pPr>
      <w:widowControl w:val="0"/>
      <w:shd w:val="clear" w:color="auto" w:fill="FFFFFF"/>
      <w:spacing w:before="60" w:after="0" w:line="298" w:lineRule="exact"/>
      <w:jc w:val="both"/>
    </w:pPr>
    <w:rPr>
      <w:rFonts w:ascii="Times New Roman" w:eastAsia="Times New Roman" w:hAnsi="Times New Roman"/>
      <w:sz w:val="28"/>
      <w:szCs w:val="28"/>
      <w:lang w:eastAsia="ru-RU"/>
    </w:rPr>
  </w:style>
  <w:style w:type="character" w:customStyle="1" w:styleId="60">
    <w:name w:val="Заголовок 6 Знак"/>
    <w:basedOn w:val="a1"/>
    <w:link w:val="6"/>
    <w:uiPriority w:val="9"/>
    <w:semiHidden/>
    <w:rsid w:val="00B37265"/>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70">
    <w:name w:val="Заголовок 7 Знак"/>
    <w:basedOn w:val="a1"/>
    <w:link w:val="7"/>
    <w:uiPriority w:val="9"/>
    <w:semiHidden/>
    <w:rsid w:val="00B37265"/>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90">
    <w:name w:val="Заголовок 9 Знак"/>
    <w:basedOn w:val="a1"/>
    <w:link w:val="9"/>
    <w:uiPriority w:val="9"/>
    <w:semiHidden/>
    <w:rsid w:val="00B37265"/>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a9">
    <w:name w:val="Title"/>
    <w:basedOn w:val="a0"/>
    <w:next w:val="a0"/>
    <w:link w:val="aa"/>
    <w:qFormat/>
    <w:rsid w:val="00B3726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12">
    <w:name w:val="Заголовок Знак1"/>
    <w:basedOn w:val="a1"/>
    <w:rsid w:val="00B37265"/>
    <w:rPr>
      <w:rFonts w:asciiTheme="majorHAnsi" w:eastAsiaTheme="majorEastAsia" w:hAnsiTheme="majorHAnsi" w:cstheme="majorBidi"/>
      <w:spacing w:val="-10"/>
      <w:kern w:val="28"/>
      <w:sz w:val="56"/>
      <w:szCs w:val="56"/>
      <w:lang w:val="ru-RU" w:eastAsia="en-US"/>
    </w:rPr>
  </w:style>
  <w:style w:type="paragraph" w:styleId="ab">
    <w:name w:val="Subtitle"/>
    <w:basedOn w:val="a0"/>
    <w:next w:val="a0"/>
    <w:link w:val="ac"/>
    <w:uiPriority w:val="11"/>
    <w:qFormat/>
    <w:rsid w:val="00B37265"/>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c">
    <w:name w:val="Подзаголовок Знак"/>
    <w:basedOn w:val="a1"/>
    <w:link w:val="ab"/>
    <w:uiPriority w:val="11"/>
    <w:rsid w:val="00B37265"/>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21">
    <w:name w:val="Quote"/>
    <w:basedOn w:val="a0"/>
    <w:next w:val="a0"/>
    <w:link w:val="22"/>
    <w:uiPriority w:val="29"/>
    <w:qFormat/>
    <w:rsid w:val="00B37265"/>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22">
    <w:name w:val="Цитата 2 Знак"/>
    <w:basedOn w:val="a1"/>
    <w:link w:val="21"/>
    <w:uiPriority w:val="29"/>
    <w:rsid w:val="00B37265"/>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ad">
    <w:name w:val="Intense Emphasis"/>
    <w:basedOn w:val="a1"/>
    <w:uiPriority w:val="21"/>
    <w:qFormat/>
    <w:rsid w:val="00B37265"/>
    <w:rPr>
      <w:i/>
      <w:iCs/>
      <w:color w:val="365F91" w:themeColor="accent1" w:themeShade="BF"/>
    </w:rPr>
  </w:style>
  <w:style w:type="paragraph" w:styleId="ae">
    <w:name w:val="Intense Quote"/>
    <w:basedOn w:val="a0"/>
    <w:next w:val="a0"/>
    <w:link w:val="af"/>
    <w:uiPriority w:val="30"/>
    <w:qFormat/>
    <w:rsid w:val="00B37265"/>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af">
    <w:name w:val="Выделенная цитата Знак"/>
    <w:basedOn w:val="a1"/>
    <w:link w:val="ae"/>
    <w:uiPriority w:val="30"/>
    <w:rsid w:val="00B37265"/>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af0">
    <w:name w:val="Intense Reference"/>
    <w:basedOn w:val="a1"/>
    <w:uiPriority w:val="32"/>
    <w:qFormat/>
    <w:rsid w:val="00B37265"/>
    <w:rPr>
      <w:b/>
      <w:bCs/>
      <w:smallCaps/>
      <w:color w:val="365F91" w:themeColor="accent1" w:themeShade="BF"/>
      <w:spacing w:val="5"/>
    </w:rPr>
  </w:style>
  <w:style w:type="character" w:customStyle="1" w:styleId="apple-converted-space">
    <w:name w:val="apple-converted-space"/>
    <w:basedOn w:val="a1"/>
    <w:rsid w:val="00B37265"/>
  </w:style>
  <w:style w:type="character" w:customStyle="1" w:styleId="citation-118">
    <w:name w:val="citation-118"/>
    <w:basedOn w:val="a1"/>
    <w:rsid w:val="00B37265"/>
  </w:style>
  <w:style w:type="character" w:customStyle="1" w:styleId="citation-117">
    <w:name w:val="citation-117"/>
    <w:basedOn w:val="a1"/>
    <w:rsid w:val="00B37265"/>
  </w:style>
  <w:style w:type="character" w:customStyle="1" w:styleId="citation-116">
    <w:name w:val="citation-116"/>
    <w:basedOn w:val="a1"/>
    <w:rsid w:val="00B37265"/>
  </w:style>
  <w:style w:type="character" w:customStyle="1" w:styleId="citation-115">
    <w:name w:val="citation-115"/>
    <w:basedOn w:val="a1"/>
    <w:rsid w:val="00B37265"/>
  </w:style>
  <w:style w:type="character" w:styleId="af1">
    <w:name w:val="Strong"/>
    <w:basedOn w:val="a1"/>
    <w:uiPriority w:val="22"/>
    <w:qFormat/>
    <w:rsid w:val="00B37265"/>
    <w:rPr>
      <w:b/>
      <w:bCs/>
    </w:rPr>
  </w:style>
  <w:style w:type="character" w:styleId="af2">
    <w:name w:val="Emphasis"/>
    <w:basedOn w:val="a1"/>
    <w:uiPriority w:val="20"/>
    <w:qFormat/>
    <w:rsid w:val="00B37265"/>
    <w:rPr>
      <w:i/>
      <w:iCs/>
    </w:rPr>
  </w:style>
  <w:style w:type="character" w:customStyle="1" w:styleId="citation-394">
    <w:name w:val="citation-394"/>
    <w:basedOn w:val="a1"/>
    <w:rsid w:val="00B37265"/>
  </w:style>
  <w:style w:type="character" w:customStyle="1" w:styleId="citation-393">
    <w:name w:val="citation-393"/>
    <w:basedOn w:val="a1"/>
    <w:rsid w:val="00B37265"/>
  </w:style>
  <w:style w:type="character" w:customStyle="1" w:styleId="citation-392">
    <w:name w:val="citation-392"/>
    <w:basedOn w:val="a1"/>
    <w:rsid w:val="00B37265"/>
  </w:style>
  <w:style w:type="character" w:customStyle="1" w:styleId="citation-670">
    <w:name w:val="citation-670"/>
    <w:basedOn w:val="a1"/>
    <w:rsid w:val="00B37265"/>
  </w:style>
  <w:style w:type="character" w:customStyle="1" w:styleId="citation-758">
    <w:name w:val="citation-758"/>
    <w:basedOn w:val="a1"/>
    <w:rsid w:val="00B37265"/>
  </w:style>
  <w:style w:type="character" w:customStyle="1" w:styleId="citation-757">
    <w:name w:val="citation-757"/>
    <w:basedOn w:val="a1"/>
    <w:rsid w:val="00B37265"/>
  </w:style>
  <w:style w:type="character" w:customStyle="1" w:styleId="button-label">
    <w:name w:val="button-label"/>
    <w:basedOn w:val="a1"/>
    <w:rsid w:val="00B37265"/>
  </w:style>
  <w:style w:type="character" w:customStyle="1" w:styleId="whitespace-normal">
    <w:name w:val="whitespace-normal"/>
    <w:basedOn w:val="a1"/>
    <w:rsid w:val="00B37265"/>
  </w:style>
  <w:style w:type="paragraph" w:customStyle="1" w:styleId="a">
    <w:name w:val="Дефіс"/>
    <w:basedOn w:val="a0"/>
    <w:link w:val="af3"/>
    <w:qFormat/>
    <w:rsid w:val="00E12ED3"/>
    <w:pPr>
      <w:numPr>
        <w:numId w:val="31"/>
      </w:numPr>
      <w:tabs>
        <w:tab w:val="left" w:pos="993"/>
      </w:tabs>
      <w:spacing w:after="0" w:line="360" w:lineRule="auto"/>
      <w:jc w:val="both"/>
    </w:pPr>
    <w:rPr>
      <w:rFonts w:ascii="Times New Roman" w:eastAsia="Times New Roman" w:hAnsi="Times New Roman"/>
      <w:snapToGrid w:val="0"/>
      <w:sz w:val="28"/>
      <w:szCs w:val="28"/>
      <w:lang w:val="uk-UA" w:eastAsia="ru-RU"/>
    </w:rPr>
  </w:style>
  <w:style w:type="character" w:customStyle="1" w:styleId="af3">
    <w:name w:val="Дефіс Знак"/>
    <w:link w:val="a"/>
    <w:rsid w:val="00E12ED3"/>
    <w:rPr>
      <w:rFonts w:ascii="Times New Roman" w:eastAsia="Times New Roman" w:hAnsi="Times New Roman"/>
      <w:snapToGrid w:val="0"/>
      <w:sz w:val="28"/>
      <w:szCs w:val="28"/>
      <w:lang w:eastAsia="ru-RU"/>
    </w:rPr>
  </w:style>
  <w:style w:type="character" w:customStyle="1" w:styleId="citation-1203">
    <w:name w:val="citation-1203"/>
    <w:rsid w:val="00625F6D"/>
  </w:style>
  <w:style w:type="character" w:customStyle="1" w:styleId="citation-1202">
    <w:name w:val="citation-1202"/>
    <w:rsid w:val="00625F6D"/>
  </w:style>
  <w:style w:type="character" w:customStyle="1" w:styleId="citation-1201">
    <w:name w:val="citation-1201"/>
    <w:rsid w:val="00625F6D"/>
  </w:style>
  <w:style w:type="character" w:customStyle="1" w:styleId="citation-1200">
    <w:name w:val="citation-1200"/>
    <w:rsid w:val="00625F6D"/>
  </w:style>
  <w:style w:type="character" w:customStyle="1" w:styleId="af4">
    <w:name w:val="Основной текст Знак"/>
    <w:basedOn w:val="a1"/>
    <w:link w:val="af5"/>
    <w:qFormat/>
    <w:rsid w:val="00B23F24"/>
    <w:rPr>
      <w:rFonts w:ascii="Times New Roman" w:eastAsia="Times New Roman" w:hAnsi="Times New Roman"/>
      <w:sz w:val="28"/>
      <w:lang w:eastAsia="ru-RU"/>
    </w:rPr>
  </w:style>
  <w:style w:type="character" w:customStyle="1" w:styleId="aa">
    <w:name w:val="Название Знак"/>
    <w:basedOn w:val="a1"/>
    <w:link w:val="a9"/>
    <w:qFormat/>
    <w:rsid w:val="00B23F24"/>
    <w:rPr>
      <w:rFonts w:asciiTheme="majorHAnsi" w:eastAsiaTheme="majorEastAsia" w:hAnsiTheme="majorHAnsi" w:cstheme="majorBidi"/>
      <w:spacing w:val="-10"/>
      <w:kern w:val="28"/>
      <w:sz w:val="56"/>
      <w:szCs w:val="56"/>
      <w:lang w:val="ru-RU" w:eastAsia="en-US"/>
      <w14:ligatures w14:val="standardContextual"/>
    </w:rPr>
  </w:style>
  <w:style w:type="paragraph" w:styleId="af5">
    <w:name w:val="Body Text"/>
    <w:basedOn w:val="a0"/>
    <w:link w:val="af4"/>
    <w:rsid w:val="00B23F24"/>
    <w:pPr>
      <w:suppressAutoHyphens/>
      <w:spacing w:after="0" w:line="360" w:lineRule="auto"/>
    </w:pPr>
    <w:rPr>
      <w:rFonts w:ascii="Times New Roman" w:eastAsia="Times New Roman" w:hAnsi="Times New Roman"/>
      <w:sz w:val="28"/>
      <w:szCs w:val="20"/>
      <w:lang w:val="uk-UA" w:eastAsia="ru-RU"/>
    </w:rPr>
  </w:style>
  <w:style w:type="character" w:customStyle="1" w:styleId="13">
    <w:name w:val="Основной текст Знак1"/>
    <w:basedOn w:val="a1"/>
    <w:uiPriority w:val="99"/>
    <w:semiHidden/>
    <w:rsid w:val="00B23F24"/>
    <w:rPr>
      <w:sz w:val="22"/>
      <w:szCs w:val="22"/>
      <w:lang w:val="ru-RU" w:eastAsia="en-US"/>
    </w:rPr>
  </w:style>
  <w:style w:type="character" w:customStyle="1" w:styleId="rynqvb">
    <w:name w:val="rynqvb"/>
    <w:basedOn w:val="a1"/>
    <w:qFormat/>
    <w:rsid w:val="00B23F24"/>
  </w:style>
  <w:style w:type="character" w:styleId="af6">
    <w:name w:val="Hyperlink"/>
    <w:uiPriority w:val="99"/>
    <w:unhideWhenUsed/>
    <w:rsid w:val="003C64E3"/>
    <w:rPr>
      <w:color w:val="0563C1"/>
      <w:u w:val="single"/>
    </w:rPr>
  </w:style>
  <w:style w:type="paragraph" w:styleId="af7">
    <w:name w:val="Balloon Text"/>
    <w:basedOn w:val="a0"/>
    <w:link w:val="af8"/>
    <w:uiPriority w:val="99"/>
    <w:semiHidden/>
    <w:unhideWhenUsed/>
    <w:rsid w:val="00665717"/>
    <w:pPr>
      <w:spacing w:after="0" w:line="240" w:lineRule="auto"/>
    </w:pPr>
    <w:rPr>
      <w:rFonts w:ascii="Tahoma" w:hAnsi="Tahoma" w:cs="Tahoma"/>
      <w:sz w:val="16"/>
      <w:szCs w:val="16"/>
    </w:rPr>
  </w:style>
  <w:style w:type="character" w:customStyle="1" w:styleId="af8">
    <w:name w:val="Текст выноски Знак"/>
    <w:basedOn w:val="a1"/>
    <w:link w:val="af7"/>
    <w:uiPriority w:val="99"/>
    <w:semiHidden/>
    <w:rsid w:val="00665717"/>
    <w:rPr>
      <w:rFonts w:ascii="Tahoma" w:hAnsi="Tahoma" w:cs="Tahoma"/>
      <w:sz w:val="16"/>
      <w:szCs w:val="16"/>
      <w:lang w:val="ru-RU" w:eastAsia="en-US"/>
    </w:rPr>
  </w:style>
  <w:style w:type="paragraph" w:customStyle="1" w:styleId="ds-markdown-paragraph">
    <w:name w:val="ds-markdown-paragraph"/>
    <w:basedOn w:val="a0"/>
    <w:rsid w:val="009A3A4E"/>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9">
    <w:name w:val="header"/>
    <w:basedOn w:val="a0"/>
    <w:link w:val="afa"/>
    <w:uiPriority w:val="99"/>
    <w:unhideWhenUsed/>
    <w:rsid w:val="002D52B9"/>
    <w:pPr>
      <w:tabs>
        <w:tab w:val="center" w:pos="4819"/>
        <w:tab w:val="right" w:pos="9639"/>
      </w:tabs>
      <w:spacing w:after="0" w:line="240" w:lineRule="auto"/>
    </w:pPr>
  </w:style>
  <w:style w:type="character" w:customStyle="1" w:styleId="afa">
    <w:name w:val="Верхний колонтитул Знак"/>
    <w:basedOn w:val="a1"/>
    <w:link w:val="af9"/>
    <w:uiPriority w:val="99"/>
    <w:rsid w:val="002D52B9"/>
    <w:rPr>
      <w:sz w:val="22"/>
      <w:szCs w:val="22"/>
      <w:lang w:val="ru-RU" w:eastAsia="en-US"/>
    </w:rPr>
  </w:style>
  <w:style w:type="paragraph" w:styleId="afb">
    <w:name w:val="footer"/>
    <w:basedOn w:val="a0"/>
    <w:link w:val="afc"/>
    <w:uiPriority w:val="99"/>
    <w:unhideWhenUsed/>
    <w:rsid w:val="002D52B9"/>
    <w:pPr>
      <w:tabs>
        <w:tab w:val="center" w:pos="4819"/>
        <w:tab w:val="right" w:pos="9639"/>
      </w:tabs>
      <w:spacing w:after="0" w:line="240" w:lineRule="auto"/>
    </w:pPr>
  </w:style>
  <w:style w:type="character" w:customStyle="1" w:styleId="afc">
    <w:name w:val="Нижний колонтитул Знак"/>
    <w:basedOn w:val="a1"/>
    <w:link w:val="afb"/>
    <w:uiPriority w:val="99"/>
    <w:rsid w:val="002D52B9"/>
    <w:rPr>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0030"/>
    <w:pPr>
      <w:spacing w:after="160" w:line="259" w:lineRule="auto"/>
    </w:pPr>
    <w:rPr>
      <w:sz w:val="22"/>
      <w:szCs w:val="22"/>
      <w:lang w:val="ru-RU" w:eastAsia="en-US"/>
    </w:rPr>
  </w:style>
  <w:style w:type="paragraph" w:styleId="1">
    <w:name w:val="heading 1"/>
    <w:basedOn w:val="a0"/>
    <w:next w:val="a0"/>
    <w:link w:val="10"/>
    <w:uiPriority w:val="9"/>
    <w:qFormat/>
    <w:rsid w:val="00B37265"/>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14:ligatures w14:val="standardContextual"/>
    </w:rPr>
  </w:style>
  <w:style w:type="paragraph" w:styleId="2">
    <w:name w:val="heading 2"/>
    <w:basedOn w:val="a0"/>
    <w:next w:val="a0"/>
    <w:link w:val="20"/>
    <w:uiPriority w:val="9"/>
    <w:unhideWhenUsed/>
    <w:qFormat/>
    <w:rsid w:val="00B37265"/>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paragraph" w:styleId="3">
    <w:name w:val="heading 3"/>
    <w:basedOn w:val="a0"/>
    <w:next w:val="a0"/>
    <w:link w:val="30"/>
    <w:uiPriority w:val="9"/>
    <w:unhideWhenUsed/>
    <w:qFormat/>
    <w:rsid w:val="00B37265"/>
    <w:pPr>
      <w:keepNext/>
      <w:keepLines/>
      <w:spacing w:before="160" w:after="80" w:line="278" w:lineRule="auto"/>
      <w:outlineLvl w:val="2"/>
    </w:pPr>
    <w:rPr>
      <w:rFonts w:asciiTheme="minorHAnsi" w:eastAsiaTheme="majorEastAsia" w:hAnsiTheme="minorHAnsi" w:cstheme="majorBidi"/>
      <w:color w:val="365F91" w:themeColor="accent1" w:themeShade="BF"/>
      <w:kern w:val="2"/>
      <w:sz w:val="28"/>
      <w:szCs w:val="28"/>
      <w14:ligatures w14:val="standardContextual"/>
    </w:rPr>
  </w:style>
  <w:style w:type="paragraph" w:styleId="4">
    <w:name w:val="heading 4"/>
    <w:basedOn w:val="a0"/>
    <w:next w:val="a0"/>
    <w:link w:val="40"/>
    <w:uiPriority w:val="9"/>
    <w:unhideWhenUsed/>
    <w:qFormat/>
    <w:rsid w:val="00EB7644"/>
    <w:pPr>
      <w:keepNext/>
      <w:spacing w:before="240" w:after="60"/>
      <w:outlineLvl w:val="3"/>
    </w:pPr>
    <w:rPr>
      <w:rFonts w:eastAsia="Times New Roman"/>
      <w:b/>
      <w:bCs/>
      <w:sz w:val="28"/>
      <w:szCs w:val="28"/>
    </w:rPr>
  </w:style>
  <w:style w:type="paragraph" w:styleId="5">
    <w:name w:val="heading 5"/>
    <w:basedOn w:val="a0"/>
    <w:next w:val="a0"/>
    <w:link w:val="50"/>
    <w:uiPriority w:val="9"/>
    <w:semiHidden/>
    <w:unhideWhenUsed/>
    <w:qFormat/>
    <w:rsid w:val="00B37265"/>
    <w:pPr>
      <w:keepNext/>
      <w:keepLines/>
      <w:spacing w:before="80" w:after="40" w:line="278" w:lineRule="auto"/>
      <w:outlineLvl w:val="4"/>
    </w:pPr>
    <w:rPr>
      <w:rFonts w:asciiTheme="minorHAnsi" w:eastAsiaTheme="majorEastAsia" w:hAnsiTheme="minorHAnsi" w:cstheme="majorBidi"/>
      <w:color w:val="365F91" w:themeColor="accent1" w:themeShade="BF"/>
      <w:kern w:val="2"/>
      <w:sz w:val="24"/>
      <w:szCs w:val="24"/>
      <w14:ligatures w14:val="standardContextual"/>
    </w:rPr>
  </w:style>
  <w:style w:type="paragraph" w:styleId="6">
    <w:name w:val="heading 6"/>
    <w:basedOn w:val="a0"/>
    <w:next w:val="a0"/>
    <w:link w:val="60"/>
    <w:uiPriority w:val="9"/>
    <w:semiHidden/>
    <w:unhideWhenUsed/>
    <w:qFormat/>
    <w:rsid w:val="00B37265"/>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7">
    <w:name w:val="heading 7"/>
    <w:basedOn w:val="a0"/>
    <w:next w:val="a0"/>
    <w:link w:val="70"/>
    <w:uiPriority w:val="9"/>
    <w:semiHidden/>
    <w:unhideWhenUsed/>
    <w:qFormat/>
    <w:rsid w:val="00B37265"/>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0"/>
    <w:next w:val="a0"/>
    <w:link w:val="80"/>
    <w:uiPriority w:val="9"/>
    <w:semiHidden/>
    <w:unhideWhenUsed/>
    <w:qFormat/>
    <w:rsid w:val="00C335F4"/>
    <w:pPr>
      <w:spacing w:before="240" w:after="60"/>
      <w:outlineLvl w:val="7"/>
    </w:pPr>
    <w:rPr>
      <w:rFonts w:eastAsia="Times New Roman"/>
      <w:i/>
      <w:iCs/>
      <w:sz w:val="24"/>
      <w:szCs w:val="24"/>
    </w:rPr>
  </w:style>
  <w:style w:type="paragraph" w:styleId="9">
    <w:name w:val="heading 9"/>
    <w:basedOn w:val="a0"/>
    <w:next w:val="a0"/>
    <w:link w:val="90"/>
    <w:uiPriority w:val="9"/>
    <w:semiHidden/>
    <w:unhideWhenUsed/>
    <w:qFormat/>
    <w:rsid w:val="00B37265"/>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B37265"/>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customStyle="1" w:styleId="20">
    <w:name w:val="Заголовок 2 Знак"/>
    <w:basedOn w:val="a1"/>
    <w:link w:val="2"/>
    <w:uiPriority w:val="9"/>
    <w:rsid w:val="00B37265"/>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30">
    <w:name w:val="Заголовок 3 Знак"/>
    <w:basedOn w:val="a1"/>
    <w:link w:val="3"/>
    <w:uiPriority w:val="9"/>
    <w:rsid w:val="00B37265"/>
    <w:rPr>
      <w:rFonts w:asciiTheme="minorHAnsi" w:eastAsiaTheme="majorEastAsia" w:hAnsiTheme="minorHAnsi" w:cstheme="majorBidi"/>
      <w:color w:val="365F91" w:themeColor="accent1" w:themeShade="BF"/>
      <w:kern w:val="2"/>
      <w:sz w:val="28"/>
      <w:szCs w:val="28"/>
      <w:lang w:eastAsia="en-US"/>
      <w14:ligatures w14:val="standardContextual"/>
    </w:rPr>
  </w:style>
  <w:style w:type="character" w:customStyle="1" w:styleId="40">
    <w:name w:val="Заголовок 4 Знак"/>
    <w:link w:val="4"/>
    <w:uiPriority w:val="9"/>
    <w:rsid w:val="00EB7644"/>
    <w:rPr>
      <w:rFonts w:ascii="Calibri" w:eastAsia="Times New Roman" w:hAnsi="Calibri" w:cs="Times New Roman"/>
      <w:b/>
      <w:bCs/>
      <w:sz w:val="28"/>
      <w:szCs w:val="28"/>
      <w:lang w:eastAsia="en-US"/>
    </w:rPr>
  </w:style>
  <w:style w:type="character" w:customStyle="1" w:styleId="50">
    <w:name w:val="Заголовок 5 Знак"/>
    <w:basedOn w:val="a1"/>
    <w:link w:val="5"/>
    <w:uiPriority w:val="9"/>
    <w:semiHidden/>
    <w:rsid w:val="00B37265"/>
    <w:rPr>
      <w:rFonts w:asciiTheme="minorHAnsi" w:eastAsiaTheme="majorEastAsia" w:hAnsiTheme="minorHAnsi" w:cstheme="majorBidi"/>
      <w:color w:val="365F91" w:themeColor="accent1" w:themeShade="BF"/>
      <w:kern w:val="2"/>
      <w:sz w:val="24"/>
      <w:szCs w:val="24"/>
      <w:lang w:eastAsia="en-US"/>
      <w14:ligatures w14:val="standardContextual"/>
    </w:rPr>
  </w:style>
  <w:style w:type="character" w:customStyle="1" w:styleId="80">
    <w:name w:val="Заголовок 8 Знак"/>
    <w:link w:val="8"/>
    <w:uiPriority w:val="9"/>
    <w:semiHidden/>
    <w:rsid w:val="00C335F4"/>
    <w:rPr>
      <w:rFonts w:eastAsia="Times New Roman"/>
      <w:i/>
      <w:iCs/>
      <w:sz w:val="24"/>
      <w:szCs w:val="24"/>
      <w:lang w:eastAsia="en-US"/>
    </w:rPr>
  </w:style>
  <w:style w:type="table" w:styleId="a4">
    <w:name w:val="Table Grid"/>
    <w:basedOn w:val="a2"/>
    <w:uiPriority w:val="39"/>
    <w:rsid w:val="00DB6B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data">
    <w:name w:val="docdata"/>
    <w:aliases w:val="docy,v5,3354,baiaagaaboqcaaadaqqaaavacqaaaaaaaaaaaaaaaaaaaaaaaaaaaaaaaaaaaaaaaaaaaaaaaaaaaaaaaaaaaaaaaaaaaaaaaaaaaaaaaaaaaaaaaaaaaaaaaaaaaaaaaaaaaaaaaaaaaaaaaaaaaaaaaaaaaaaaaaaaaaaaaaaaaaaaaaaaaaaaaaaaaaaaaaaaaaaaaaaaaaaaaaaaaaaaaaaaaaaaaaaaaaaa"/>
    <w:rsid w:val="00766D37"/>
  </w:style>
  <w:style w:type="paragraph" w:styleId="a5">
    <w:name w:val="Normal (Web)"/>
    <w:basedOn w:val="a0"/>
    <w:uiPriority w:val="99"/>
    <w:unhideWhenUsed/>
    <w:rsid w:val="002A16E4"/>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0"/>
    <w:uiPriority w:val="34"/>
    <w:qFormat/>
    <w:rsid w:val="006633CD"/>
    <w:pPr>
      <w:ind w:left="720"/>
      <w:contextualSpacing/>
    </w:pPr>
  </w:style>
  <w:style w:type="paragraph" w:customStyle="1" w:styleId="11">
    <w:name w:val="Заголовок1"/>
    <w:basedOn w:val="a0"/>
    <w:link w:val="a7"/>
    <w:qFormat/>
    <w:rsid w:val="00C335F4"/>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7">
    <w:name w:val="Заголовок Знак"/>
    <w:link w:val="11"/>
    <w:uiPriority w:val="10"/>
    <w:rsid w:val="00C335F4"/>
    <w:rPr>
      <w:rFonts w:ascii="Times New Roman" w:eastAsia="Times New Roman" w:hAnsi="Times New Roman"/>
      <w:sz w:val="24"/>
      <w:szCs w:val="24"/>
      <w:lang w:val="uk-UA" w:eastAsia="uk-UA"/>
    </w:rPr>
  </w:style>
  <w:style w:type="paragraph" w:customStyle="1" w:styleId="Default">
    <w:name w:val="Default"/>
    <w:rsid w:val="00C335F4"/>
    <w:pPr>
      <w:autoSpaceDE w:val="0"/>
      <w:autoSpaceDN w:val="0"/>
      <w:adjustRightInd w:val="0"/>
    </w:pPr>
    <w:rPr>
      <w:rFonts w:ascii="Times New Roman" w:hAnsi="Times New Roman"/>
      <w:color w:val="000000"/>
      <w:sz w:val="24"/>
      <w:szCs w:val="24"/>
      <w:lang w:val="ru-RU" w:eastAsia="ru-RU"/>
    </w:rPr>
  </w:style>
  <w:style w:type="character" w:customStyle="1" w:styleId="a8">
    <w:name w:val="Основной текст_"/>
    <w:link w:val="41"/>
    <w:qFormat/>
    <w:rsid w:val="00C335F4"/>
    <w:rPr>
      <w:rFonts w:ascii="Times New Roman" w:eastAsia="Times New Roman" w:hAnsi="Times New Roman"/>
      <w:sz w:val="28"/>
      <w:szCs w:val="28"/>
      <w:shd w:val="clear" w:color="auto" w:fill="FFFFFF"/>
    </w:rPr>
  </w:style>
  <w:style w:type="paragraph" w:customStyle="1" w:styleId="41">
    <w:name w:val="Основной текст4"/>
    <w:basedOn w:val="a0"/>
    <w:link w:val="a8"/>
    <w:rsid w:val="00C335F4"/>
    <w:pPr>
      <w:widowControl w:val="0"/>
      <w:shd w:val="clear" w:color="auto" w:fill="FFFFFF"/>
      <w:spacing w:before="60" w:after="0" w:line="298" w:lineRule="exact"/>
      <w:jc w:val="both"/>
    </w:pPr>
    <w:rPr>
      <w:rFonts w:ascii="Times New Roman" w:eastAsia="Times New Roman" w:hAnsi="Times New Roman"/>
      <w:sz w:val="28"/>
      <w:szCs w:val="28"/>
      <w:lang w:eastAsia="ru-RU"/>
    </w:rPr>
  </w:style>
  <w:style w:type="character" w:customStyle="1" w:styleId="60">
    <w:name w:val="Заголовок 6 Знак"/>
    <w:basedOn w:val="a1"/>
    <w:link w:val="6"/>
    <w:uiPriority w:val="9"/>
    <w:semiHidden/>
    <w:rsid w:val="00B37265"/>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70">
    <w:name w:val="Заголовок 7 Знак"/>
    <w:basedOn w:val="a1"/>
    <w:link w:val="7"/>
    <w:uiPriority w:val="9"/>
    <w:semiHidden/>
    <w:rsid w:val="00B37265"/>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90">
    <w:name w:val="Заголовок 9 Знак"/>
    <w:basedOn w:val="a1"/>
    <w:link w:val="9"/>
    <w:uiPriority w:val="9"/>
    <w:semiHidden/>
    <w:rsid w:val="00B37265"/>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a9">
    <w:name w:val="Title"/>
    <w:basedOn w:val="a0"/>
    <w:next w:val="a0"/>
    <w:link w:val="aa"/>
    <w:qFormat/>
    <w:rsid w:val="00B3726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12">
    <w:name w:val="Заголовок Знак1"/>
    <w:basedOn w:val="a1"/>
    <w:rsid w:val="00B37265"/>
    <w:rPr>
      <w:rFonts w:asciiTheme="majorHAnsi" w:eastAsiaTheme="majorEastAsia" w:hAnsiTheme="majorHAnsi" w:cstheme="majorBidi"/>
      <w:spacing w:val="-10"/>
      <w:kern w:val="28"/>
      <w:sz w:val="56"/>
      <w:szCs w:val="56"/>
      <w:lang w:val="ru-RU" w:eastAsia="en-US"/>
    </w:rPr>
  </w:style>
  <w:style w:type="paragraph" w:styleId="ab">
    <w:name w:val="Subtitle"/>
    <w:basedOn w:val="a0"/>
    <w:next w:val="a0"/>
    <w:link w:val="ac"/>
    <w:uiPriority w:val="11"/>
    <w:qFormat/>
    <w:rsid w:val="00B37265"/>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c">
    <w:name w:val="Подзаголовок Знак"/>
    <w:basedOn w:val="a1"/>
    <w:link w:val="ab"/>
    <w:uiPriority w:val="11"/>
    <w:rsid w:val="00B37265"/>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21">
    <w:name w:val="Quote"/>
    <w:basedOn w:val="a0"/>
    <w:next w:val="a0"/>
    <w:link w:val="22"/>
    <w:uiPriority w:val="29"/>
    <w:qFormat/>
    <w:rsid w:val="00B37265"/>
    <w:pPr>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22">
    <w:name w:val="Цитата 2 Знак"/>
    <w:basedOn w:val="a1"/>
    <w:link w:val="21"/>
    <w:uiPriority w:val="29"/>
    <w:rsid w:val="00B37265"/>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ad">
    <w:name w:val="Intense Emphasis"/>
    <w:basedOn w:val="a1"/>
    <w:uiPriority w:val="21"/>
    <w:qFormat/>
    <w:rsid w:val="00B37265"/>
    <w:rPr>
      <w:i/>
      <w:iCs/>
      <w:color w:val="365F91" w:themeColor="accent1" w:themeShade="BF"/>
    </w:rPr>
  </w:style>
  <w:style w:type="paragraph" w:styleId="ae">
    <w:name w:val="Intense Quote"/>
    <w:basedOn w:val="a0"/>
    <w:next w:val="a0"/>
    <w:link w:val="af"/>
    <w:uiPriority w:val="30"/>
    <w:qFormat/>
    <w:rsid w:val="00B37265"/>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14:ligatures w14:val="standardContextual"/>
    </w:rPr>
  </w:style>
  <w:style w:type="character" w:customStyle="1" w:styleId="af">
    <w:name w:val="Выделенная цитата Знак"/>
    <w:basedOn w:val="a1"/>
    <w:link w:val="ae"/>
    <w:uiPriority w:val="30"/>
    <w:rsid w:val="00B37265"/>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af0">
    <w:name w:val="Intense Reference"/>
    <w:basedOn w:val="a1"/>
    <w:uiPriority w:val="32"/>
    <w:qFormat/>
    <w:rsid w:val="00B37265"/>
    <w:rPr>
      <w:b/>
      <w:bCs/>
      <w:smallCaps/>
      <w:color w:val="365F91" w:themeColor="accent1" w:themeShade="BF"/>
      <w:spacing w:val="5"/>
    </w:rPr>
  </w:style>
  <w:style w:type="character" w:customStyle="1" w:styleId="apple-converted-space">
    <w:name w:val="apple-converted-space"/>
    <w:basedOn w:val="a1"/>
    <w:rsid w:val="00B37265"/>
  </w:style>
  <w:style w:type="character" w:customStyle="1" w:styleId="citation-118">
    <w:name w:val="citation-118"/>
    <w:basedOn w:val="a1"/>
    <w:rsid w:val="00B37265"/>
  </w:style>
  <w:style w:type="character" w:customStyle="1" w:styleId="citation-117">
    <w:name w:val="citation-117"/>
    <w:basedOn w:val="a1"/>
    <w:rsid w:val="00B37265"/>
  </w:style>
  <w:style w:type="character" w:customStyle="1" w:styleId="citation-116">
    <w:name w:val="citation-116"/>
    <w:basedOn w:val="a1"/>
    <w:rsid w:val="00B37265"/>
  </w:style>
  <w:style w:type="character" w:customStyle="1" w:styleId="citation-115">
    <w:name w:val="citation-115"/>
    <w:basedOn w:val="a1"/>
    <w:rsid w:val="00B37265"/>
  </w:style>
  <w:style w:type="character" w:styleId="af1">
    <w:name w:val="Strong"/>
    <w:basedOn w:val="a1"/>
    <w:uiPriority w:val="22"/>
    <w:qFormat/>
    <w:rsid w:val="00B37265"/>
    <w:rPr>
      <w:b/>
      <w:bCs/>
    </w:rPr>
  </w:style>
  <w:style w:type="character" w:styleId="af2">
    <w:name w:val="Emphasis"/>
    <w:basedOn w:val="a1"/>
    <w:uiPriority w:val="20"/>
    <w:qFormat/>
    <w:rsid w:val="00B37265"/>
    <w:rPr>
      <w:i/>
      <w:iCs/>
    </w:rPr>
  </w:style>
  <w:style w:type="character" w:customStyle="1" w:styleId="citation-394">
    <w:name w:val="citation-394"/>
    <w:basedOn w:val="a1"/>
    <w:rsid w:val="00B37265"/>
  </w:style>
  <w:style w:type="character" w:customStyle="1" w:styleId="citation-393">
    <w:name w:val="citation-393"/>
    <w:basedOn w:val="a1"/>
    <w:rsid w:val="00B37265"/>
  </w:style>
  <w:style w:type="character" w:customStyle="1" w:styleId="citation-392">
    <w:name w:val="citation-392"/>
    <w:basedOn w:val="a1"/>
    <w:rsid w:val="00B37265"/>
  </w:style>
  <w:style w:type="character" w:customStyle="1" w:styleId="citation-670">
    <w:name w:val="citation-670"/>
    <w:basedOn w:val="a1"/>
    <w:rsid w:val="00B37265"/>
  </w:style>
  <w:style w:type="character" w:customStyle="1" w:styleId="citation-758">
    <w:name w:val="citation-758"/>
    <w:basedOn w:val="a1"/>
    <w:rsid w:val="00B37265"/>
  </w:style>
  <w:style w:type="character" w:customStyle="1" w:styleId="citation-757">
    <w:name w:val="citation-757"/>
    <w:basedOn w:val="a1"/>
    <w:rsid w:val="00B37265"/>
  </w:style>
  <w:style w:type="character" w:customStyle="1" w:styleId="button-label">
    <w:name w:val="button-label"/>
    <w:basedOn w:val="a1"/>
    <w:rsid w:val="00B37265"/>
  </w:style>
  <w:style w:type="character" w:customStyle="1" w:styleId="whitespace-normal">
    <w:name w:val="whitespace-normal"/>
    <w:basedOn w:val="a1"/>
    <w:rsid w:val="00B37265"/>
  </w:style>
  <w:style w:type="paragraph" w:customStyle="1" w:styleId="a">
    <w:name w:val="Дефіс"/>
    <w:basedOn w:val="a0"/>
    <w:link w:val="af3"/>
    <w:qFormat/>
    <w:rsid w:val="00E12ED3"/>
    <w:pPr>
      <w:numPr>
        <w:numId w:val="31"/>
      </w:numPr>
      <w:tabs>
        <w:tab w:val="left" w:pos="993"/>
      </w:tabs>
      <w:spacing w:after="0" w:line="360" w:lineRule="auto"/>
      <w:jc w:val="both"/>
    </w:pPr>
    <w:rPr>
      <w:rFonts w:ascii="Times New Roman" w:eastAsia="Times New Roman" w:hAnsi="Times New Roman"/>
      <w:snapToGrid w:val="0"/>
      <w:sz w:val="28"/>
      <w:szCs w:val="28"/>
      <w:lang w:val="uk-UA" w:eastAsia="ru-RU"/>
    </w:rPr>
  </w:style>
  <w:style w:type="character" w:customStyle="1" w:styleId="af3">
    <w:name w:val="Дефіс Знак"/>
    <w:link w:val="a"/>
    <w:rsid w:val="00E12ED3"/>
    <w:rPr>
      <w:rFonts w:ascii="Times New Roman" w:eastAsia="Times New Roman" w:hAnsi="Times New Roman"/>
      <w:snapToGrid w:val="0"/>
      <w:sz w:val="28"/>
      <w:szCs w:val="28"/>
      <w:lang w:eastAsia="ru-RU"/>
    </w:rPr>
  </w:style>
  <w:style w:type="character" w:customStyle="1" w:styleId="citation-1203">
    <w:name w:val="citation-1203"/>
    <w:rsid w:val="00625F6D"/>
  </w:style>
  <w:style w:type="character" w:customStyle="1" w:styleId="citation-1202">
    <w:name w:val="citation-1202"/>
    <w:rsid w:val="00625F6D"/>
  </w:style>
  <w:style w:type="character" w:customStyle="1" w:styleId="citation-1201">
    <w:name w:val="citation-1201"/>
    <w:rsid w:val="00625F6D"/>
  </w:style>
  <w:style w:type="character" w:customStyle="1" w:styleId="citation-1200">
    <w:name w:val="citation-1200"/>
    <w:rsid w:val="00625F6D"/>
  </w:style>
  <w:style w:type="character" w:customStyle="1" w:styleId="af4">
    <w:name w:val="Основной текст Знак"/>
    <w:basedOn w:val="a1"/>
    <w:link w:val="af5"/>
    <w:qFormat/>
    <w:rsid w:val="00B23F24"/>
    <w:rPr>
      <w:rFonts w:ascii="Times New Roman" w:eastAsia="Times New Roman" w:hAnsi="Times New Roman"/>
      <w:sz w:val="28"/>
      <w:lang w:eastAsia="ru-RU"/>
    </w:rPr>
  </w:style>
  <w:style w:type="character" w:customStyle="1" w:styleId="aa">
    <w:name w:val="Название Знак"/>
    <w:basedOn w:val="a1"/>
    <w:link w:val="a9"/>
    <w:qFormat/>
    <w:rsid w:val="00B23F24"/>
    <w:rPr>
      <w:rFonts w:asciiTheme="majorHAnsi" w:eastAsiaTheme="majorEastAsia" w:hAnsiTheme="majorHAnsi" w:cstheme="majorBidi"/>
      <w:spacing w:val="-10"/>
      <w:kern w:val="28"/>
      <w:sz w:val="56"/>
      <w:szCs w:val="56"/>
      <w:lang w:val="ru-RU" w:eastAsia="en-US"/>
      <w14:ligatures w14:val="standardContextual"/>
    </w:rPr>
  </w:style>
  <w:style w:type="paragraph" w:styleId="af5">
    <w:name w:val="Body Text"/>
    <w:basedOn w:val="a0"/>
    <w:link w:val="af4"/>
    <w:rsid w:val="00B23F24"/>
    <w:pPr>
      <w:suppressAutoHyphens/>
      <w:spacing w:after="0" w:line="360" w:lineRule="auto"/>
    </w:pPr>
    <w:rPr>
      <w:rFonts w:ascii="Times New Roman" w:eastAsia="Times New Roman" w:hAnsi="Times New Roman"/>
      <w:sz w:val="28"/>
      <w:szCs w:val="20"/>
      <w:lang w:val="uk-UA" w:eastAsia="ru-RU"/>
    </w:rPr>
  </w:style>
  <w:style w:type="character" w:customStyle="1" w:styleId="13">
    <w:name w:val="Основной текст Знак1"/>
    <w:basedOn w:val="a1"/>
    <w:uiPriority w:val="99"/>
    <w:semiHidden/>
    <w:rsid w:val="00B23F24"/>
    <w:rPr>
      <w:sz w:val="22"/>
      <w:szCs w:val="22"/>
      <w:lang w:val="ru-RU" w:eastAsia="en-US"/>
    </w:rPr>
  </w:style>
  <w:style w:type="character" w:customStyle="1" w:styleId="rynqvb">
    <w:name w:val="rynqvb"/>
    <w:basedOn w:val="a1"/>
    <w:qFormat/>
    <w:rsid w:val="00B23F24"/>
  </w:style>
  <w:style w:type="character" w:styleId="af6">
    <w:name w:val="Hyperlink"/>
    <w:uiPriority w:val="99"/>
    <w:unhideWhenUsed/>
    <w:rsid w:val="003C64E3"/>
    <w:rPr>
      <w:color w:val="0563C1"/>
      <w:u w:val="single"/>
    </w:rPr>
  </w:style>
  <w:style w:type="paragraph" w:styleId="af7">
    <w:name w:val="Balloon Text"/>
    <w:basedOn w:val="a0"/>
    <w:link w:val="af8"/>
    <w:uiPriority w:val="99"/>
    <w:semiHidden/>
    <w:unhideWhenUsed/>
    <w:rsid w:val="00665717"/>
    <w:pPr>
      <w:spacing w:after="0" w:line="240" w:lineRule="auto"/>
    </w:pPr>
    <w:rPr>
      <w:rFonts w:ascii="Tahoma" w:hAnsi="Tahoma" w:cs="Tahoma"/>
      <w:sz w:val="16"/>
      <w:szCs w:val="16"/>
    </w:rPr>
  </w:style>
  <w:style w:type="character" w:customStyle="1" w:styleId="af8">
    <w:name w:val="Текст выноски Знак"/>
    <w:basedOn w:val="a1"/>
    <w:link w:val="af7"/>
    <w:uiPriority w:val="99"/>
    <w:semiHidden/>
    <w:rsid w:val="00665717"/>
    <w:rPr>
      <w:rFonts w:ascii="Tahoma" w:hAnsi="Tahoma" w:cs="Tahoma"/>
      <w:sz w:val="16"/>
      <w:szCs w:val="16"/>
      <w:lang w:val="ru-RU" w:eastAsia="en-US"/>
    </w:rPr>
  </w:style>
  <w:style w:type="paragraph" w:customStyle="1" w:styleId="ds-markdown-paragraph">
    <w:name w:val="ds-markdown-paragraph"/>
    <w:basedOn w:val="a0"/>
    <w:rsid w:val="009A3A4E"/>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9">
    <w:name w:val="header"/>
    <w:basedOn w:val="a0"/>
    <w:link w:val="afa"/>
    <w:uiPriority w:val="99"/>
    <w:unhideWhenUsed/>
    <w:rsid w:val="002D52B9"/>
    <w:pPr>
      <w:tabs>
        <w:tab w:val="center" w:pos="4819"/>
        <w:tab w:val="right" w:pos="9639"/>
      </w:tabs>
      <w:spacing w:after="0" w:line="240" w:lineRule="auto"/>
    </w:pPr>
  </w:style>
  <w:style w:type="character" w:customStyle="1" w:styleId="afa">
    <w:name w:val="Верхний колонтитул Знак"/>
    <w:basedOn w:val="a1"/>
    <w:link w:val="af9"/>
    <w:uiPriority w:val="99"/>
    <w:rsid w:val="002D52B9"/>
    <w:rPr>
      <w:sz w:val="22"/>
      <w:szCs w:val="22"/>
      <w:lang w:val="ru-RU" w:eastAsia="en-US"/>
    </w:rPr>
  </w:style>
  <w:style w:type="paragraph" w:styleId="afb">
    <w:name w:val="footer"/>
    <w:basedOn w:val="a0"/>
    <w:link w:val="afc"/>
    <w:uiPriority w:val="99"/>
    <w:unhideWhenUsed/>
    <w:rsid w:val="002D52B9"/>
    <w:pPr>
      <w:tabs>
        <w:tab w:val="center" w:pos="4819"/>
        <w:tab w:val="right" w:pos="9639"/>
      </w:tabs>
      <w:spacing w:after="0" w:line="240" w:lineRule="auto"/>
    </w:pPr>
  </w:style>
  <w:style w:type="character" w:customStyle="1" w:styleId="afc">
    <w:name w:val="Нижний колонтитул Знак"/>
    <w:basedOn w:val="a1"/>
    <w:link w:val="afb"/>
    <w:uiPriority w:val="99"/>
    <w:rsid w:val="002D52B9"/>
    <w:rPr>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3404">
      <w:bodyDiv w:val="1"/>
      <w:marLeft w:val="0"/>
      <w:marRight w:val="0"/>
      <w:marTop w:val="0"/>
      <w:marBottom w:val="0"/>
      <w:divBdr>
        <w:top w:val="none" w:sz="0" w:space="0" w:color="auto"/>
        <w:left w:val="none" w:sz="0" w:space="0" w:color="auto"/>
        <w:bottom w:val="none" w:sz="0" w:space="0" w:color="auto"/>
        <w:right w:val="none" w:sz="0" w:space="0" w:color="auto"/>
      </w:divBdr>
    </w:div>
    <w:div w:id="150058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doi.org/10.12958/1817-3772-2023-1(71)-98-105" TargetMode="External"/><Relationship Id="rId39" Type="http://schemas.openxmlformats.org/officeDocument/2006/relationships/hyperlink" Target="https://doi.org/10.1016/j.bir.2022.11.006" TargetMode="External"/><Relationship Id="rId21" Type="http://schemas.openxmlformats.org/officeDocument/2006/relationships/chart" Target="charts/chart11.xml"/><Relationship Id="rId34" Type="http://schemas.openxmlformats.org/officeDocument/2006/relationships/hyperlink" Target="https://doi.org/10.32702/2306-6814.2024.2.56" TargetMode="External"/><Relationship Id="rId42" Type="http://schemas.openxmlformats.org/officeDocument/2006/relationships/hyperlink" Target="https://doi.org/10.3846/jbem.2024.23010" TargetMode="External"/><Relationship Id="rId47" Type="http://schemas.openxmlformats.org/officeDocument/2006/relationships/hyperlink" Target="https://doi.org/10.1002/bsd2.70026" TargetMode="External"/><Relationship Id="rId50" Type="http://schemas.openxmlformats.org/officeDocument/2006/relationships/hyperlink" Target="https://doi.org/10.48077/scihor.25(10).2022.107-118" TargetMode="External"/><Relationship Id="rId55" Type="http://schemas.openxmlformats.org/officeDocument/2006/relationships/image" Target="media/image5.png"/><Relationship Id="rId63" Type="http://schemas.openxmlformats.org/officeDocument/2006/relationships/image" Target="media/image10.png"/><Relationship Id="rId68" Type="http://schemas.openxmlformats.org/officeDocument/2006/relationships/image" Target="media/image15.jpeg"/><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https://doi.org/10.31499/2616-5236.4(33).2025.34554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hyperlink" Target="https://doi.org/10.32702/2307-2105.2025.5.41" TargetMode="External"/><Relationship Id="rId37" Type="http://schemas.openxmlformats.org/officeDocument/2006/relationships/hyperlink" Target="https://phes.com.ua/files/Conferences_21_01_26.pdf" TargetMode="External"/><Relationship Id="rId40" Type="http://schemas.openxmlformats.org/officeDocument/2006/relationships/hyperlink" Target="https://doi.org/10.1002/csr.2884" TargetMode="External"/><Relationship Id="rId45" Type="http://schemas.openxmlformats.org/officeDocument/2006/relationships/hyperlink" Target="https://doi.org/10.37394/23207.2024.21.27" TargetMode="External"/><Relationship Id="rId53" Type="http://schemas.openxmlformats.org/officeDocument/2006/relationships/image" Target="media/image3.png"/><Relationship Id="rId58" Type="http://schemas.openxmlformats.org/officeDocument/2006/relationships/chart" Target="charts/chart16.xml"/><Relationship Id="rId66" Type="http://schemas.openxmlformats.org/officeDocument/2006/relationships/image" Target="media/image13.jpeg"/><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hyperlink" Target="https://eapk.com.ua/uk/journals/tom-30-5-2023/investitsiyna-diyalnist-u-silskomu-gospodarstvi-ukrayini-pid-chas-viyni-novi-vikliki-ta-zagrozi" TargetMode="External"/><Relationship Id="rId36" Type="http://schemas.openxmlformats.org/officeDocument/2006/relationships/hyperlink" Target="https://doi.org/10.65237/3-2026-18" TargetMode="External"/><Relationship Id="rId49" Type="http://schemas.openxmlformats.org/officeDocument/2006/relationships/hyperlink" Target="https://doi.org/10.1108/MD-10-2023-1993" TargetMode="External"/><Relationship Id="rId57" Type="http://schemas.openxmlformats.org/officeDocument/2006/relationships/chart" Target="charts/chart15.xml"/><Relationship Id="rId61" Type="http://schemas.openxmlformats.org/officeDocument/2006/relationships/image" Target="media/image8.png"/><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hyperlink" Target="https://doi.org/10.32983/2222-4459-2026-3-503-512" TargetMode="External"/><Relationship Id="rId44" Type="http://schemas.openxmlformats.org/officeDocument/2006/relationships/hyperlink" Target="https://doi.org/10.12958/1817-3772-2024-4(78)-194-199" TargetMode="External"/><Relationship Id="rId52" Type="http://schemas.openxmlformats.org/officeDocument/2006/relationships/chart" Target="charts/chart14.xml"/><Relationship Id="rId60" Type="http://schemas.openxmlformats.org/officeDocument/2006/relationships/image" Target="media/image7.png"/><Relationship Id="rId65"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hyperlink" Target="https://phes.com.ua/ojs/index.php/www/uk/index"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hyperlink" Target="https://doi.org/10.31866/2616-7468.5.2.2022.270093" TargetMode="External"/><Relationship Id="rId30" Type="http://schemas.openxmlformats.org/officeDocument/2006/relationships/hyperlink" Target="https://doi.org/10.32702/2307-2105.2025.2.3" TargetMode="External"/><Relationship Id="rId35" Type="http://schemas.openxmlformats.org/officeDocument/2006/relationships/hyperlink" Target="https://phes.com.ua/files/conferences/Zbirnyk_Hainan_01-10-2026.pdf" TargetMode="External"/><Relationship Id="rId43" Type="http://schemas.openxmlformats.org/officeDocument/2006/relationships/hyperlink" Target="https://doi.org/10.1016/j.frl.2024.106639" TargetMode="External"/><Relationship Id="rId48" Type="http://schemas.openxmlformats.org/officeDocument/2006/relationships/hyperlink" Target="https://doi.org/10.1002/csr.2940" TargetMode="External"/><Relationship Id="rId56" Type="http://schemas.openxmlformats.org/officeDocument/2006/relationships/image" Target="media/image6.png"/><Relationship Id="rId64" Type="http://schemas.openxmlformats.org/officeDocument/2006/relationships/image" Target="media/image11.png"/><Relationship Id="rId69" Type="http://schemas.openxmlformats.org/officeDocument/2006/relationships/image" Target="media/image16.jpeg"/><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doi.org/10.65237/2336-3630-2026-1(1)-12" TargetMode="External"/><Relationship Id="rId33" Type="http://schemas.openxmlformats.org/officeDocument/2006/relationships/hyperlink" Target="http://www.ukrstat.gov.ua" TargetMode="External"/><Relationship Id="rId38" Type="http://schemas.openxmlformats.org/officeDocument/2006/relationships/hyperlink" Target="https://doi.org/10.1016/j.jimonfin.2022.102785" TargetMode="External"/><Relationship Id="rId46" Type="http://schemas.openxmlformats.org/officeDocument/2006/relationships/hyperlink" Target="https://doi.org/10.18778/1508-2008.26.15" TargetMode="External"/><Relationship Id="rId59" Type="http://schemas.openxmlformats.org/officeDocument/2006/relationships/chart" Target="charts/chart17.xml"/><Relationship Id="rId67" Type="http://schemas.openxmlformats.org/officeDocument/2006/relationships/image" Target="media/image14.jpeg"/><Relationship Id="rId20" Type="http://schemas.openxmlformats.org/officeDocument/2006/relationships/chart" Target="charts/chart10.xml"/><Relationship Id="rId41" Type="http://schemas.openxmlformats.org/officeDocument/2006/relationships/hyperlink" Target="https://doi.org/10.1111/ajfs.12379" TargetMode="External"/><Relationship Id="rId54" Type="http://schemas.openxmlformats.org/officeDocument/2006/relationships/image" Target="media/image4.png"/><Relationship Id="rId62" Type="http://schemas.openxmlformats.org/officeDocument/2006/relationships/image" Target="media/image9.png"/><Relationship Id="rId7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111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1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1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1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1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1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111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Excel91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Excel101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Excel111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Excel12111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_____Microsoft_Excel131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_____Microsoft_Excel114.xlsx"/></Relationships>
</file>

<file path=word/charts/_rels/chart15.xml.rels><?xml version="1.0" encoding="UTF-8" standalone="yes"?>
<Relationships xmlns="http://schemas.openxmlformats.org/package/2006/relationships"><Relationship Id="rId1" Type="http://schemas.openxmlformats.org/officeDocument/2006/relationships/oleObject" Target="file:///\\Users\anastasialezina\Desktop\&#1088;&#1080;&#1089;.2.18-2.23.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Users\anastasialezina\Desktop\&#1088;&#1080;&#1089;.2.18-2.23.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Users\anastasialezina\Desktop\&#1088;&#1080;&#1089;.2.18-2.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 р.</c:v>
                </c:pt>
              </c:strCache>
            </c:strRef>
          </c:tx>
          <c:spPr>
            <a:solidFill>
              <a:schemeClr val="accent5">
                <a:shade val="53000"/>
              </a:schemeClr>
            </a:solidFill>
            <a:ln>
              <a:noFill/>
            </a:ln>
            <a:effectLst/>
            <a:sp3d/>
          </c:spPr>
          <c:invertIfNegative val="0"/>
          <c:dLbls>
            <c:dLbl>
              <c:idx val="1"/>
              <c:layout>
                <c:manualLayout>
                  <c:x val="-7.8465562336530084E-2"/>
                  <c:y val="-1.322095521401421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2A1-4DA7-B2A7-2E0F75060744}"/>
                </c:ext>
              </c:extLst>
            </c:dLbl>
            <c:dLbl>
              <c:idx val="3"/>
              <c:layout>
                <c:manualLayout>
                  <c:x val="-1.3077593722755094E-2"/>
                  <c:y val="-1.983143282102125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2A1-4DA7-B2A7-2E0F75060744}"/>
                </c:ext>
              </c:extLst>
            </c:dLbl>
            <c:dLbl>
              <c:idx val="4"/>
              <c:layout>
                <c:manualLayout>
                  <c:x val="-1.9616390584132521E-2"/>
                  <c:y val="-3.30523880350355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2A1-4DA7-B2A7-2E0F75060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Живі тварини; продукти тваринного походження</c:v>
                </c:pt>
                <c:pt idx="1">
                  <c:v>Продукти рослинного походження</c:v>
                </c:pt>
                <c:pt idx="2">
                  <c:v>Жири та олії тваринного або рослинного походження</c:v>
                </c:pt>
                <c:pt idx="3">
                  <c:v>Готові харчові продукти</c:v>
                </c:pt>
                <c:pt idx="4">
                  <c:v>Шкури необроблені, шкіра вичинена</c:v>
                </c:pt>
              </c:strCache>
            </c:strRef>
          </c:cat>
          <c:val>
            <c:numRef>
              <c:f>Лист1!$B$2:$B$6</c:f>
              <c:numCache>
                <c:formatCode>General</c:formatCode>
                <c:ptCount val="5"/>
                <c:pt idx="0">
                  <c:v>1290.5</c:v>
                </c:pt>
                <c:pt idx="1">
                  <c:v>11820.4</c:v>
                </c:pt>
                <c:pt idx="2">
                  <c:v>5310</c:v>
                </c:pt>
                <c:pt idx="3">
                  <c:v>3120.8</c:v>
                </c:pt>
                <c:pt idx="4">
                  <c:v>120.5</c:v>
                </c:pt>
              </c:numCache>
            </c:numRef>
          </c:val>
          <c:extLst xmlns:c16r2="http://schemas.microsoft.com/office/drawing/2015/06/chart">
            <c:ext xmlns:c16="http://schemas.microsoft.com/office/drawing/2014/chart" uri="{C3380CC4-5D6E-409C-BE32-E72D297353CC}">
              <c16:uniqueId val="{00000003-92A1-4DA7-B2A7-2E0F75060744}"/>
            </c:ext>
          </c:extLst>
        </c:ser>
        <c:ser>
          <c:idx val="1"/>
          <c:order val="1"/>
          <c:tx>
            <c:strRef>
              <c:f>Лист1!$C$1</c:f>
              <c:strCache>
                <c:ptCount val="1"/>
                <c:pt idx="0">
                  <c:v>2022 р.</c:v>
                </c:pt>
              </c:strCache>
            </c:strRef>
          </c:tx>
          <c:spPr>
            <a:solidFill>
              <a:schemeClr val="accent5">
                <a:shade val="76000"/>
              </a:schemeClr>
            </a:solidFill>
            <a:ln>
              <a:noFill/>
            </a:ln>
            <a:effectLst/>
            <a:sp3d/>
          </c:spPr>
          <c:invertIfNegative val="0"/>
          <c:dLbls>
            <c:dLbl>
              <c:idx val="0"/>
              <c:layout>
                <c:manualLayout>
                  <c:x val="-2.1795989537925022E-2"/>
                  <c:y val="-3.96628656420426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2A1-4DA7-B2A7-2E0F75060744}"/>
                </c:ext>
              </c:extLst>
            </c:dLbl>
            <c:dLbl>
              <c:idx val="1"/>
              <c:layout>
                <c:manualLayout>
                  <c:x val="-6.5387968613775063E-2"/>
                  <c:y val="-2.974714923153199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92A1-4DA7-B2A7-2E0F75060744}"/>
                </c:ext>
              </c:extLst>
            </c:dLbl>
            <c:dLbl>
              <c:idx val="2"/>
              <c:layout>
                <c:manualLayout>
                  <c:x val="-2.6155187445510025E-2"/>
                  <c:y val="-4.296810444554625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92A1-4DA7-B2A7-2E0F75060744}"/>
                </c:ext>
              </c:extLst>
            </c:dLbl>
            <c:dLbl>
              <c:idx val="3"/>
              <c:layout>
                <c:manualLayout>
                  <c:x val="2.179598953792502E-3"/>
                  <c:y val="-1.9831432821021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92A1-4DA7-B2A7-2E0F75060744}"/>
                </c:ext>
              </c:extLst>
            </c:dLbl>
            <c:dLbl>
              <c:idx val="4"/>
              <c:layout>
                <c:manualLayout>
                  <c:x val="-1.7436791630340176E-2"/>
                  <c:y val="-9.254668649809948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92A1-4DA7-B2A7-2E0F75060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Живі тварини; продукти тваринного походження</c:v>
                </c:pt>
                <c:pt idx="1">
                  <c:v>Продукти рослинного походження</c:v>
                </c:pt>
                <c:pt idx="2">
                  <c:v>Жири та олії тваринного або рослинного походження</c:v>
                </c:pt>
                <c:pt idx="3">
                  <c:v>Готові харчові продукти</c:v>
                </c:pt>
                <c:pt idx="4">
                  <c:v>Шкури необроблені, шкіра вичинена</c:v>
                </c:pt>
              </c:strCache>
            </c:strRef>
          </c:cat>
          <c:val>
            <c:numRef>
              <c:f>Лист1!$C$2:$C$6</c:f>
              <c:numCache>
                <c:formatCode>General</c:formatCode>
                <c:ptCount val="5"/>
                <c:pt idx="0">
                  <c:v>1471.8</c:v>
                </c:pt>
                <c:pt idx="1">
                  <c:v>13472.2</c:v>
                </c:pt>
                <c:pt idx="2">
                  <c:v>5948.6</c:v>
                </c:pt>
                <c:pt idx="3">
                  <c:v>2496.9</c:v>
                </c:pt>
                <c:pt idx="4">
                  <c:v>104.5</c:v>
                </c:pt>
              </c:numCache>
            </c:numRef>
          </c:val>
          <c:extLst xmlns:c16r2="http://schemas.microsoft.com/office/drawing/2015/06/chart">
            <c:ext xmlns:c16="http://schemas.microsoft.com/office/drawing/2014/chart" uri="{C3380CC4-5D6E-409C-BE32-E72D297353CC}">
              <c16:uniqueId val="{00000009-92A1-4DA7-B2A7-2E0F75060744}"/>
            </c:ext>
          </c:extLst>
        </c:ser>
        <c:ser>
          <c:idx val="2"/>
          <c:order val="2"/>
          <c:tx>
            <c:strRef>
              <c:f>Лист1!$D$1</c:f>
              <c:strCache>
                <c:ptCount val="1"/>
                <c:pt idx="0">
                  <c:v>2023 р.</c:v>
                </c:pt>
              </c:strCache>
            </c:strRef>
          </c:tx>
          <c:spPr>
            <a:solidFill>
              <a:schemeClr val="accent5"/>
            </a:solidFill>
            <a:ln>
              <a:noFill/>
            </a:ln>
            <a:effectLst/>
            <a:sp3d/>
          </c:spPr>
          <c:invertIfNegative val="0"/>
          <c:dLbls>
            <c:dLbl>
              <c:idx val="0"/>
              <c:layout>
                <c:manualLayout>
                  <c:x val="-2.6155187445510045E-2"/>
                  <c:y val="-7.271525367707816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92A1-4DA7-B2A7-2E0F75060744}"/>
                </c:ext>
              </c:extLst>
            </c:dLbl>
            <c:dLbl>
              <c:idx val="1"/>
              <c:layout>
                <c:manualLayout>
                  <c:x val="-2.1795989537925419E-3"/>
                  <c:y val="-8.92414476945959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92A1-4DA7-B2A7-2E0F75060744}"/>
                </c:ext>
              </c:extLst>
            </c:dLbl>
            <c:dLbl>
              <c:idx val="2"/>
              <c:layout>
                <c:manualLayout>
                  <c:x val="2.179598953792502E-3"/>
                  <c:y val="-1.983143282102137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92A1-4DA7-B2A7-2E0F75060744}"/>
                </c:ext>
              </c:extLst>
            </c:dLbl>
            <c:dLbl>
              <c:idx val="3"/>
              <c:layout>
                <c:manualLayout>
                  <c:x val="-2.8334786399302529E-2"/>
                  <c:y val="-4.29681044455461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92A1-4DA7-B2A7-2E0F75060744}"/>
                </c:ext>
              </c:extLst>
            </c:dLbl>
            <c:dLbl>
              <c:idx val="4"/>
              <c:layout>
                <c:manualLayout>
                  <c:x val="-1.3077593722755174E-2"/>
                  <c:y val="-4.29681044455461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92A1-4DA7-B2A7-2E0F75060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Живі тварини; продукти тваринного походження</c:v>
                </c:pt>
                <c:pt idx="1">
                  <c:v>Продукти рослинного походження</c:v>
                </c:pt>
                <c:pt idx="2">
                  <c:v>Жири та олії тваринного або рослинного походження</c:v>
                </c:pt>
                <c:pt idx="3">
                  <c:v>Готові харчові продукти</c:v>
                </c:pt>
                <c:pt idx="4">
                  <c:v>Шкури необроблені, шкіра вичинена</c:v>
                </c:pt>
              </c:strCache>
            </c:strRef>
          </c:cat>
          <c:val>
            <c:numRef>
              <c:f>Лист1!$D$2:$D$6</c:f>
              <c:numCache>
                <c:formatCode>General</c:formatCode>
                <c:ptCount val="5"/>
                <c:pt idx="0">
                  <c:v>1382.2</c:v>
                </c:pt>
                <c:pt idx="1">
                  <c:v>11717</c:v>
                </c:pt>
                <c:pt idx="2">
                  <c:v>5649.1</c:v>
                </c:pt>
                <c:pt idx="3">
                  <c:v>3271.8</c:v>
                </c:pt>
                <c:pt idx="4">
                  <c:v>104.8</c:v>
                </c:pt>
              </c:numCache>
            </c:numRef>
          </c:val>
          <c:extLst xmlns:c16r2="http://schemas.microsoft.com/office/drawing/2015/06/chart">
            <c:ext xmlns:c16="http://schemas.microsoft.com/office/drawing/2014/chart" uri="{C3380CC4-5D6E-409C-BE32-E72D297353CC}">
              <c16:uniqueId val="{0000000F-92A1-4DA7-B2A7-2E0F75060744}"/>
            </c:ext>
          </c:extLst>
        </c:ser>
        <c:ser>
          <c:idx val="3"/>
          <c:order val="3"/>
          <c:tx>
            <c:strRef>
              <c:f>Лист1!$E$1</c:f>
              <c:strCache>
                <c:ptCount val="1"/>
                <c:pt idx="0">
                  <c:v>2024 р.</c:v>
                </c:pt>
              </c:strCache>
            </c:strRef>
          </c:tx>
          <c:spPr>
            <a:solidFill>
              <a:schemeClr val="accent5">
                <a:tint val="77000"/>
              </a:schemeClr>
            </a:solidFill>
            <a:ln>
              <a:noFill/>
            </a:ln>
            <a:effectLst/>
            <a:sp3d/>
          </c:spPr>
          <c:invertIfNegative val="0"/>
          <c:dLbls>
            <c:dLbl>
              <c:idx val="0"/>
              <c:layout>
                <c:manualLayout>
                  <c:x val="0"/>
                  <c:y val="-9.585192530160303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92A1-4DA7-B2A7-2E0F75060744}"/>
                </c:ext>
              </c:extLst>
            </c:dLbl>
            <c:dLbl>
              <c:idx val="1"/>
              <c:layout>
                <c:manualLayout>
                  <c:x val="-2.8334786399302488E-2"/>
                  <c:y val="-5.94942984630639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92A1-4DA7-B2A7-2E0F75060744}"/>
                </c:ext>
              </c:extLst>
            </c:dLbl>
            <c:dLbl>
              <c:idx val="2"/>
              <c:layout>
                <c:manualLayout>
                  <c:x val="-4.3591979075850041E-3"/>
                  <c:y val="-5.949429846306401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92A1-4DA7-B2A7-2E0F75060744}"/>
                </c:ext>
              </c:extLst>
            </c:dLbl>
            <c:dLbl>
              <c:idx val="3"/>
              <c:layout>
                <c:manualLayout>
                  <c:x val="-2.1795989537925823E-3"/>
                  <c:y val="-3.635762683853908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92A1-4DA7-B2A7-2E0F75060744}"/>
                </c:ext>
              </c:extLst>
            </c:dLbl>
            <c:dLbl>
              <c:idx val="4"/>
              <c:layout>
                <c:manualLayout>
                  <c:x val="0"/>
                  <c:y val="-5.94942984630639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92A1-4DA7-B2A7-2E0F75060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Живі тварини; продукти тваринного походження</c:v>
                </c:pt>
                <c:pt idx="1">
                  <c:v>Продукти рослинного походження</c:v>
                </c:pt>
                <c:pt idx="2">
                  <c:v>Жири та олії тваринного або рослинного походження</c:v>
                </c:pt>
                <c:pt idx="3">
                  <c:v>Готові харчові продукти</c:v>
                </c:pt>
                <c:pt idx="4">
                  <c:v>Шкури необроблені, шкіра вичинена</c:v>
                </c:pt>
              </c:strCache>
            </c:strRef>
          </c:cat>
          <c:val>
            <c:numRef>
              <c:f>Лист1!$E$2:$E$6</c:f>
              <c:numCache>
                <c:formatCode>General</c:formatCode>
                <c:ptCount val="5"/>
                <c:pt idx="0">
                  <c:v>1643.5</c:v>
                </c:pt>
                <c:pt idx="1">
                  <c:v>13527.6</c:v>
                </c:pt>
                <c:pt idx="2">
                  <c:v>5756.4</c:v>
                </c:pt>
                <c:pt idx="3">
                  <c:v>3755.7</c:v>
                </c:pt>
                <c:pt idx="4">
                  <c:v>105.5</c:v>
                </c:pt>
              </c:numCache>
            </c:numRef>
          </c:val>
          <c:extLst xmlns:c16r2="http://schemas.microsoft.com/office/drawing/2015/06/chart">
            <c:ext xmlns:c16="http://schemas.microsoft.com/office/drawing/2014/chart" uri="{C3380CC4-5D6E-409C-BE32-E72D297353CC}">
              <c16:uniqueId val="{00000015-92A1-4DA7-B2A7-2E0F75060744}"/>
            </c:ext>
          </c:extLst>
        </c:ser>
        <c:ser>
          <c:idx val="4"/>
          <c:order val="4"/>
          <c:tx>
            <c:strRef>
              <c:f>Лист1!$F$1</c:f>
              <c:strCache>
                <c:ptCount val="1"/>
                <c:pt idx="0">
                  <c:v>2025 р. </c:v>
                </c:pt>
              </c:strCache>
            </c:strRef>
          </c:tx>
          <c:spPr>
            <a:solidFill>
              <a:schemeClr val="accent5">
                <a:tint val="54000"/>
              </a:schemeClr>
            </a:solidFill>
            <a:ln>
              <a:noFill/>
            </a:ln>
            <a:effectLst/>
            <a:sp3d/>
          </c:spPr>
          <c:invertIfNegative val="0"/>
          <c:dLbls>
            <c:dLbl>
              <c:idx val="0"/>
              <c:layout>
                <c:manualLayout>
                  <c:x val="6.5387968613775061E-3"/>
                  <c:y val="-0.1222938357296314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92A1-4DA7-B2A7-2E0F75060744}"/>
                </c:ext>
              </c:extLst>
            </c:dLbl>
            <c:dLbl>
              <c:idx val="1"/>
              <c:layout>
                <c:manualLayout>
                  <c:x val="5.2310374891020049E-2"/>
                  <c:y val="-1.9831432821021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92A1-4DA7-B2A7-2E0F75060744}"/>
                </c:ext>
              </c:extLst>
            </c:dLbl>
            <c:dLbl>
              <c:idx val="2"/>
              <c:layout>
                <c:manualLayout>
                  <c:x val="3.7053182214472374E-2"/>
                  <c:y val="-7.271525367707816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8-92A1-4DA7-B2A7-2E0F75060744}"/>
                </c:ext>
              </c:extLst>
            </c:dLbl>
            <c:dLbl>
              <c:idx val="3"/>
              <c:layout>
                <c:manualLayout>
                  <c:x val="1.3077593722755012E-2"/>
                  <c:y val="-5.94942984630639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9-92A1-4DA7-B2A7-2E0F75060744}"/>
                </c:ext>
              </c:extLst>
            </c:dLbl>
            <c:dLbl>
              <c:idx val="4"/>
              <c:layout>
                <c:manualLayout>
                  <c:x val="3.2693984306887532E-2"/>
                  <c:y val="-7.602049248058172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A-92A1-4DA7-B2A7-2E0F750607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Живі тварини; продукти тваринного походження</c:v>
                </c:pt>
                <c:pt idx="1">
                  <c:v>Продукти рослинного походження</c:v>
                </c:pt>
                <c:pt idx="2">
                  <c:v>Жири та олії тваринного або рослинного походження</c:v>
                </c:pt>
                <c:pt idx="3">
                  <c:v>Готові харчові продукти</c:v>
                </c:pt>
                <c:pt idx="4">
                  <c:v>Шкури необроблені, шкіра вичинена</c:v>
                </c:pt>
              </c:strCache>
            </c:strRef>
          </c:cat>
          <c:val>
            <c:numRef>
              <c:f>Лист1!$F$2:$F$6</c:f>
              <c:numCache>
                <c:formatCode>General</c:formatCode>
                <c:ptCount val="5"/>
                <c:pt idx="0">
                  <c:v>1790</c:v>
                </c:pt>
                <c:pt idx="1">
                  <c:v>14200</c:v>
                </c:pt>
                <c:pt idx="2">
                  <c:v>6100</c:v>
                </c:pt>
                <c:pt idx="3">
                  <c:v>4150</c:v>
                </c:pt>
                <c:pt idx="4">
                  <c:v>110</c:v>
                </c:pt>
              </c:numCache>
            </c:numRef>
          </c:val>
          <c:extLst xmlns:c16r2="http://schemas.microsoft.com/office/drawing/2015/06/chart">
            <c:ext xmlns:c16="http://schemas.microsoft.com/office/drawing/2014/chart" uri="{C3380CC4-5D6E-409C-BE32-E72D297353CC}">
              <c16:uniqueId val="{0000001B-92A1-4DA7-B2A7-2E0F75060744}"/>
            </c:ext>
          </c:extLst>
        </c:ser>
        <c:dLbls>
          <c:showLegendKey val="0"/>
          <c:showVal val="1"/>
          <c:showCatName val="0"/>
          <c:showSerName val="0"/>
          <c:showPercent val="0"/>
          <c:showBubbleSize val="0"/>
        </c:dLbls>
        <c:gapWidth val="150"/>
        <c:shape val="box"/>
        <c:axId val="536267008"/>
        <c:axId val="536297472"/>
        <c:axId val="0"/>
      </c:bar3DChart>
      <c:catAx>
        <c:axId val="536267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536297472"/>
        <c:crosses val="autoZero"/>
        <c:auto val="1"/>
        <c:lblAlgn val="ctr"/>
        <c:lblOffset val="100"/>
        <c:noMultiLvlLbl val="0"/>
      </c:catAx>
      <c:valAx>
        <c:axId val="536297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536267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Продажи</c:v>
                </c:pt>
              </c:strCache>
            </c:strRef>
          </c:tx>
          <c:dPt>
            <c:idx val="0"/>
            <c:bubble3D val="0"/>
            <c:spPr>
              <a:solidFill>
                <a:schemeClr val="accent5">
                  <a:shade val="53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A873-42C5-B649-B478CDEDBDA9}"/>
              </c:ext>
            </c:extLst>
          </c:dPt>
          <c:dPt>
            <c:idx val="1"/>
            <c:bubble3D val="0"/>
            <c:spPr>
              <a:solidFill>
                <a:schemeClr val="accent5">
                  <a:shade val="76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A873-42C5-B649-B478CDEDBDA9}"/>
              </c:ext>
            </c:extLst>
          </c:dPt>
          <c:dPt>
            <c:idx val="2"/>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A873-42C5-B649-B478CDEDBDA9}"/>
              </c:ext>
            </c:extLst>
          </c:dPt>
          <c:dPt>
            <c:idx val="3"/>
            <c:bubble3D val="0"/>
            <c:spPr>
              <a:solidFill>
                <a:schemeClr val="accent5">
                  <a:tint val="77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A873-42C5-B649-B478CDEDBDA9}"/>
              </c:ext>
            </c:extLst>
          </c:dPt>
          <c:dPt>
            <c:idx val="4"/>
            <c:bubble3D val="0"/>
            <c:spPr>
              <a:solidFill>
                <a:schemeClr val="accent5">
                  <a:tint val="54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A873-42C5-B649-B478CDEDBDA9}"/>
              </c:ext>
            </c:extLst>
          </c:dPt>
          <c:dLbls>
            <c:dLbl>
              <c:idx val="1"/>
              <c:layout>
                <c:manualLayout>
                  <c:x val="8.0080080080080079E-2"/>
                  <c:y val="0.1555555555555554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873-42C5-B649-B478CDEDBDA9}"/>
                </c:ext>
              </c:extLst>
            </c:dLbl>
            <c:dLbl>
              <c:idx val="2"/>
              <c:layout>
                <c:manualLayout>
                  <c:x val="-0.16250966627169602"/>
                  <c:y val="0.18809536307961505"/>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873-42C5-B649-B478CDEDBDA9}"/>
                </c:ext>
              </c:extLst>
            </c:dLbl>
            <c:dLbl>
              <c:idx val="3"/>
              <c:layout>
                <c:manualLayout>
                  <c:x val="-0.14681348014681347"/>
                  <c:y val="-2.2222222222222223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14634091659463488"/>
                      <c:h val="0.232165791776028"/>
                    </c:manualLayout>
                  </c15:layout>
                </c:ext>
                <c:ext xmlns:c16="http://schemas.microsoft.com/office/drawing/2014/chart" uri="{C3380CC4-5D6E-409C-BE32-E72D297353CC}">
                  <c16:uniqueId val="{00000007-A873-42C5-B649-B478CDEDBDA9}"/>
                </c:ext>
              </c:extLst>
            </c:dLbl>
            <c:dLbl>
              <c:idx val="4"/>
              <c:layout>
                <c:manualLayout>
                  <c:x val="0.1490379268157046"/>
                  <c:y val="-5.5555555555555552E-2"/>
                </c:manualLayout>
              </c:layout>
              <c:dLblPos val="bestFi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A873-42C5-B649-B478CDEDBDA9}"/>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ext>
            </c:extLst>
          </c:dLbls>
          <c:cat>
            <c:strRef>
              <c:f>Лист1!$A$2:$A$6</c:f>
              <c:strCache>
                <c:ptCount val="5"/>
                <c:pt idx="0">
                  <c:v>Сільськогосподарська техніка</c:v>
                </c:pt>
                <c:pt idx="1">
                  <c:v>Сховища та елеватори</c:v>
                </c:pt>
                <c:pt idx="2">
                  <c:v>Тваринницькі ферми</c:v>
                </c:pt>
                <c:pt idx="3">
                  <c:v>Багаторічні насадження</c:v>
                </c:pt>
                <c:pt idx="4">
                  <c:v>Готова продукція та ЗЗР</c:v>
                </c:pt>
              </c:strCache>
            </c:strRef>
          </c:cat>
          <c:val>
            <c:numRef>
              <c:f>Лист1!$B$2:$B$6</c:f>
              <c:numCache>
                <c:formatCode>General</c:formatCode>
                <c:ptCount val="5"/>
                <c:pt idx="0">
                  <c:v>56.36</c:v>
                </c:pt>
                <c:pt idx="1">
                  <c:v>17.27</c:v>
                </c:pt>
                <c:pt idx="2">
                  <c:v>3.18</c:v>
                </c:pt>
                <c:pt idx="3">
                  <c:v>4.09</c:v>
                </c:pt>
                <c:pt idx="4">
                  <c:v>19.09</c:v>
                </c:pt>
              </c:numCache>
            </c:numRef>
          </c:val>
          <c:extLst xmlns:c16r2="http://schemas.microsoft.com/office/drawing/2015/06/chart">
            <c:ext xmlns:c16="http://schemas.microsoft.com/office/drawing/2014/chart" uri="{C3380CC4-5D6E-409C-BE32-E72D297353CC}">
              <c16:uniqueId val="{0000000A-A873-42C5-B649-B478CDEDBDA9}"/>
            </c:ext>
          </c:extLst>
        </c:ser>
        <c:dLbls>
          <c:showLegendKey val="0"/>
          <c:showVal val="0"/>
          <c:showCatName val="0"/>
          <c:showSerName val="0"/>
          <c:showPercent val="0"/>
          <c:showBubbleSize val="0"/>
          <c:showLeaderLines val="0"/>
        </c:dLbls>
      </c:pie3DChart>
      <c:spPr>
        <a:noFill/>
        <a:ln>
          <a:noFill/>
        </a:ln>
        <a:effectLst/>
      </c:spPr>
    </c:plotArea>
    <c:legend>
      <c:legendPos val="t"/>
      <c:layout>
        <c:manualLayout>
          <c:xMode val="edge"/>
          <c:yMode val="edge"/>
          <c:x val="0"/>
          <c:y val="3.3333333333333333E-2"/>
          <c:w val="1"/>
          <c:h val="0.292553805774278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22.5</c:v>
                </c:pt>
                <c:pt idx="1">
                  <c:v>26.4</c:v>
                </c:pt>
                <c:pt idx="2">
                  <c:v>32.4</c:v>
                </c:pt>
              </c:numCache>
            </c:numRef>
          </c:val>
          <c:extLst xmlns:c16r2="http://schemas.microsoft.com/office/drawing/2015/06/chart">
            <c:ext xmlns:c16="http://schemas.microsoft.com/office/drawing/2014/chart" uri="{C3380CC4-5D6E-409C-BE32-E72D297353CC}">
              <c16:uniqueId val="{00000000-9A39-4728-9C9E-0168DEFF3B6B}"/>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10.199999999999999</c:v>
                </c:pt>
                <c:pt idx="1">
                  <c:v>15.6</c:v>
                </c:pt>
                <c:pt idx="2">
                  <c:v>24.1</c:v>
                </c:pt>
              </c:numCache>
            </c:numRef>
          </c:val>
          <c:extLst xmlns:c16r2="http://schemas.microsoft.com/office/drawing/2015/06/chart">
            <c:ext xmlns:c16="http://schemas.microsoft.com/office/drawing/2014/chart" uri="{C3380CC4-5D6E-409C-BE32-E72D297353CC}">
              <c16:uniqueId val="{00000001-9A39-4728-9C9E-0168DEFF3B6B}"/>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16.8</c:v>
                </c:pt>
                <c:pt idx="1">
                  <c:v>21.2</c:v>
                </c:pt>
                <c:pt idx="2">
                  <c:v>28.5</c:v>
                </c:pt>
              </c:numCache>
            </c:numRef>
          </c:val>
          <c:extLst xmlns:c16r2="http://schemas.microsoft.com/office/drawing/2015/06/chart">
            <c:ext xmlns:c16="http://schemas.microsoft.com/office/drawing/2014/chart" uri="{C3380CC4-5D6E-409C-BE32-E72D297353CC}">
              <c16:uniqueId val="{00000002-9A39-4728-9C9E-0168DEFF3B6B}"/>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18.5</c:v>
                </c:pt>
                <c:pt idx="1">
                  <c:v>23</c:v>
                </c:pt>
                <c:pt idx="2">
                  <c:v>29.2</c:v>
                </c:pt>
              </c:numCache>
            </c:numRef>
          </c:val>
          <c:extLst xmlns:c16r2="http://schemas.microsoft.com/office/drawing/2015/06/chart">
            <c:ext xmlns:c16="http://schemas.microsoft.com/office/drawing/2014/chart" uri="{C3380CC4-5D6E-409C-BE32-E72D297353CC}">
              <c16:uniqueId val="{00000003-9A39-4728-9C9E-0168DEFF3B6B}"/>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Лист1!$F$2:$F$4</c:f>
              <c:numCache>
                <c:formatCode>General</c:formatCode>
                <c:ptCount val="3"/>
                <c:pt idx="0">
                  <c:v>19.399999999999999</c:v>
                </c:pt>
                <c:pt idx="1">
                  <c:v>24.5</c:v>
                </c:pt>
                <c:pt idx="2">
                  <c:v>30.5</c:v>
                </c:pt>
              </c:numCache>
            </c:numRef>
          </c:val>
          <c:extLst xmlns:c16r2="http://schemas.microsoft.com/office/drawing/2015/06/chart">
            <c:ext xmlns:c16="http://schemas.microsoft.com/office/drawing/2014/chart" uri="{C3380CC4-5D6E-409C-BE32-E72D297353CC}">
              <c16:uniqueId val="{00000004-9A39-4728-9C9E-0168DEFF3B6B}"/>
            </c:ext>
          </c:extLst>
        </c:ser>
        <c:dLbls>
          <c:showLegendKey val="0"/>
          <c:showVal val="0"/>
          <c:showCatName val="0"/>
          <c:showSerName val="0"/>
          <c:showPercent val="0"/>
          <c:showBubbleSize val="0"/>
        </c:dLbls>
        <c:gapWidth val="150"/>
        <c:shape val="box"/>
        <c:axId val="305700864"/>
        <c:axId val="305702400"/>
        <c:axId val="0"/>
      </c:bar3DChart>
      <c:catAx>
        <c:axId val="3057008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5702400"/>
        <c:crosses val="autoZero"/>
        <c:auto val="1"/>
        <c:lblAlgn val="ctr"/>
        <c:lblOffset val="100"/>
        <c:noMultiLvlLbl val="0"/>
      </c:catAx>
      <c:valAx>
        <c:axId val="30570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570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14.8</c:v>
                </c:pt>
                <c:pt idx="1">
                  <c:v>18.2</c:v>
                </c:pt>
                <c:pt idx="2">
                  <c:v>22.8</c:v>
                </c:pt>
              </c:numCache>
            </c:numRef>
          </c:val>
          <c:extLst xmlns:c16r2="http://schemas.microsoft.com/office/drawing/2015/06/chart">
            <c:ext xmlns:c16="http://schemas.microsoft.com/office/drawing/2014/chart" uri="{C3380CC4-5D6E-409C-BE32-E72D297353CC}">
              <c16:uniqueId val="{00000000-7633-4806-82E4-34BA40B62D11}"/>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4.5</c:v>
                </c:pt>
                <c:pt idx="1">
                  <c:v>8.4</c:v>
                </c:pt>
                <c:pt idx="2">
                  <c:v>14.6</c:v>
                </c:pt>
              </c:numCache>
            </c:numRef>
          </c:val>
          <c:extLst xmlns:c16r2="http://schemas.microsoft.com/office/drawing/2015/06/chart">
            <c:ext xmlns:c16="http://schemas.microsoft.com/office/drawing/2014/chart" uri="{C3380CC4-5D6E-409C-BE32-E72D297353CC}">
              <c16:uniqueId val="{00000001-7633-4806-82E4-34BA40B62D11}"/>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9.1999999999999993</c:v>
                </c:pt>
                <c:pt idx="1">
                  <c:v>14.5</c:v>
                </c:pt>
                <c:pt idx="2">
                  <c:v>19.399999999999999</c:v>
                </c:pt>
              </c:numCache>
            </c:numRef>
          </c:val>
          <c:extLst xmlns:c16r2="http://schemas.microsoft.com/office/drawing/2015/06/chart">
            <c:ext xmlns:c16="http://schemas.microsoft.com/office/drawing/2014/chart" uri="{C3380CC4-5D6E-409C-BE32-E72D297353CC}">
              <c16:uniqueId val="{00000002-7633-4806-82E4-34BA40B62D11}"/>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10.5</c:v>
                </c:pt>
                <c:pt idx="1">
                  <c:v>16.2</c:v>
                </c:pt>
                <c:pt idx="2">
                  <c:v>20.5</c:v>
                </c:pt>
              </c:numCache>
            </c:numRef>
          </c:val>
          <c:extLst xmlns:c16r2="http://schemas.microsoft.com/office/drawing/2015/06/chart">
            <c:ext xmlns:c16="http://schemas.microsoft.com/office/drawing/2014/chart" uri="{C3380CC4-5D6E-409C-BE32-E72D297353CC}">
              <c16:uniqueId val="{00000003-7633-4806-82E4-34BA40B62D11}"/>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Лист1!$F$2:$F$4</c:f>
              <c:numCache>
                <c:formatCode>General</c:formatCode>
                <c:ptCount val="3"/>
                <c:pt idx="0">
                  <c:v>11.2</c:v>
                </c:pt>
                <c:pt idx="1">
                  <c:v>17.399999999999999</c:v>
                </c:pt>
                <c:pt idx="2">
                  <c:v>21.8</c:v>
                </c:pt>
              </c:numCache>
            </c:numRef>
          </c:val>
          <c:extLst xmlns:c16r2="http://schemas.microsoft.com/office/drawing/2015/06/chart">
            <c:ext xmlns:c16="http://schemas.microsoft.com/office/drawing/2014/chart" uri="{C3380CC4-5D6E-409C-BE32-E72D297353CC}">
              <c16:uniqueId val="{00000004-7633-4806-82E4-34BA40B62D11}"/>
            </c:ext>
          </c:extLst>
        </c:ser>
        <c:dLbls>
          <c:showLegendKey val="0"/>
          <c:showVal val="0"/>
          <c:showCatName val="0"/>
          <c:showSerName val="0"/>
          <c:showPercent val="0"/>
          <c:showBubbleSize val="0"/>
        </c:dLbls>
        <c:gapWidth val="150"/>
        <c:shape val="box"/>
        <c:axId val="250324096"/>
        <c:axId val="250325632"/>
        <c:axId val="0"/>
      </c:bar3DChart>
      <c:catAx>
        <c:axId val="2503240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250325632"/>
        <c:crosses val="autoZero"/>
        <c:auto val="1"/>
        <c:lblAlgn val="ctr"/>
        <c:lblOffset val="100"/>
        <c:noMultiLvlLbl val="0"/>
      </c:catAx>
      <c:valAx>
        <c:axId val="250325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250324096"/>
        <c:crosses val="autoZero"/>
        <c:crossBetween val="between"/>
      </c:valAx>
      <c:spPr>
        <a:noFill/>
        <a:ln>
          <a:noFill/>
        </a:ln>
        <a:effectLst/>
      </c:spPr>
    </c:plotArea>
    <c:legend>
      <c:legendPos val="b"/>
      <c:layout>
        <c:manualLayout>
          <c:xMode val="edge"/>
          <c:yMode val="edge"/>
          <c:x val="0.28399758516423979"/>
          <c:y val="0.88669956674577355"/>
          <c:w val="0.43623061693115417"/>
          <c:h val="9.335588167100474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12.11</c:v>
                </c:pt>
                <c:pt idx="1">
                  <c:v>16.600000000000001</c:v>
                </c:pt>
                <c:pt idx="2">
                  <c:v>27.1</c:v>
                </c:pt>
              </c:numCache>
            </c:numRef>
          </c:val>
          <c:extLst xmlns:c16r2="http://schemas.microsoft.com/office/drawing/2015/06/chart">
            <c:ext xmlns:c16="http://schemas.microsoft.com/office/drawing/2014/chart" uri="{C3380CC4-5D6E-409C-BE32-E72D297353CC}">
              <c16:uniqueId val="{00000000-7F7C-4369-A2C0-5644F7CD39BC}"/>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2.8</c:v>
                </c:pt>
                <c:pt idx="1">
                  <c:v>-0.8</c:v>
                </c:pt>
                <c:pt idx="2">
                  <c:v>13</c:v>
                </c:pt>
              </c:numCache>
            </c:numRef>
          </c:val>
          <c:extLst xmlns:c16r2="http://schemas.microsoft.com/office/drawing/2015/06/chart">
            <c:ext xmlns:c16="http://schemas.microsoft.com/office/drawing/2014/chart" uri="{C3380CC4-5D6E-409C-BE32-E72D297353CC}">
              <c16:uniqueId val="{00000001-7F7C-4369-A2C0-5644F7CD39BC}"/>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8.6999999999999993</c:v>
                </c:pt>
                <c:pt idx="1">
                  <c:v>1.5</c:v>
                </c:pt>
                <c:pt idx="2">
                  <c:v>15</c:v>
                </c:pt>
              </c:numCache>
            </c:numRef>
          </c:val>
          <c:extLst xmlns:c16r2="http://schemas.microsoft.com/office/drawing/2015/06/chart">
            <c:ext xmlns:c16="http://schemas.microsoft.com/office/drawing/2014/chart" uri="{C3380CC4-5D6E-409C-BE32-E72D297353CC}">
              <c16:uniqueId val="{00000002-7F7C-4369-A2C0-5644F7CD39BC}"/>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9.1</c:v>
                </c:pt>
                <c:pt idx="1">
                  <c:v>5</c:v>
                </c:pt>
                <c:pt idx="2">
                  <c:v>15.2</c:v>
                </c:pt>
              </c:numCache>
            </c:numRef>
          </c:val>
          <c:extLst xmlns:c16r2="http://schemas.microsoft.com/office/drawing/2015/06/chart">
            <c:ext xmlns:c16="http://schemas.microsoft.com/office/drawing/2014/chart" uri="{C3380CC4-5D6E-409C-BE32-E72D297353CC}">
              <c16:uniqueId val="{00000003-7F7C-4369-A2C0-5644F7CD39BC}"/>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Лист1!$F$2:$F$4</c:f>
              <c:numCache>
                <c:formatCode>General</c:formatCode>
                <c:ptCount val="3"/>
                <c:pt idx="0">
                  <c:v>9.5</c:v>
                </c:pt>
                <c:pt idx="1">
                  <c:v>7.2</c:v>
                </c:pt>
                <c:pt idx="2">
                  <c:v>15.6</c:v>
                </c:pt>
              </c:numCache>
            </c:numRef>
          </c:val>
          <c:extLst xmlns:c16r2="http://schemas.microsoft.com/office/drawing/2015/06/chart">
            <c:ext xmlns:c16="http://schemas.microsoft.com/office/drawing/2014/chart" uri="{C3380CC4-5D6E-409C-BE32-E72D297353CC}">
              <c16:uniqueId val="{00000004-7F7C-4369-A2C0-5644F7CD39BC}"/>
            </c:ext>
          </c:extLst>
        </c:ser>
        <c:dLbls>
          <c:showLegendKey val="0"/>
          <c:showVal val="0"/>
          <c:showCatName val="0"/>
          <c:showSerName val="0"/>
          <c:showPercent val="0"/>
          <c:showBubbleSize val="0"/>
        </c:dLbls>
        <c:gapWidth val="150"/>
        <c:shape val="box"/>
        <c:axId val="262011136"/>
        <c:axId val="536342528"/>
        <c:axId val="0"/>
      </c:bar3DChart>
      <c:catAx>
        <c:axId val="262011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536342528"/>
        <c:crosses val="autoZero"/>
        <c:auto val="1"/>
        <c:lblAlgn val="ctr"/>
        <c:lblOffset val="100"/>
        <c:noMultiLvlLbl val="0"/>
      </c:catAx>
      <c:valAx>
        <c:axId val="536342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262011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accent5">
                        <a:lumMod val="50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7.7</c:v>
                </c:pt>
                <c:pt idx="1">
                  <c:v>8.1999999999999993</c:v>
                </c:pt>
                <c:pt idx="2">
                  <c:v>9.6</c:v>
                </c:pt>
              </c:numCache>
            </c:numRef>
          </c:val>
          <c:extLst xmlns:c16r2="http://schemas.microsoft.com/office/drawing/2015/06/chart">
            <c:ext xmlns:c16="http://schemas.microsoft.com/office/drawing/2014/chart" uri="{C3380CC4-5D6E-409C-BE32-E72D297353CC}">
              <c16:uniqueId val="{00000000-B8D1-401D-8800-41BDD0D455DB}"/>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5.7</c:v>
                </c:pt>
                <c:pt idx="1">
                  <c:v>7.2</c:v>
                </c:pt>
                <c:pt idx="2">
                  <c:v>9.5</c:v>
                </c:pt>
              </c:numCache>
            </c:numRef>
          </c:val>
          <c:extLst xmlns:c16r2="http://schemas.microsoft.com/office/drawing/2015/06/chart">
            <c:ext xmlns:c16="http://schemas.microsoft.com/office/drawing/2014/chart" uri="{C3380CC4-5D6E-409C-BE32-E72D297353CC}">
              <c16:uniqueId val="{00000001-B8D1-401D-8800-41BDD0D455DB}"/>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7.6</c:v>
                </c:pt>
                <c:pt idx="1">
                  <c:v>6.7</c:v>
                </c:pt>
                <c:pt idx="2">
                  <c:v>9.1</c:v>
                </c:pt>
              </c:numCache>
            </c:numRef>
          </c:val>
          <c:extLst xmlns:c16r2="http://schemas.microsoft.com/office/drawing/2015/06/chart">
            <c:ext xmlns:c16="http://schemas.microsoft.com/office/drawing/2014/chart" uri="{C3380CC4-5D6E-409C-BE32-E72D297353CC}">
              <c16:uniqueId val="{00000002-B8D1-401D-8800-41BDD0D455DB}"/>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8</c:v>
                </c:pt>
                <c:pt idx="1">
                  <c:v>6.8</c:v>
                </c:pt>
                <c:pt idx="2">
                  <c:v>8.6999999999999993</c:v>
                </c:pt>
              </c:numCache>
            </c:numRef>
          </c:val>
          <c:extLst xmlns:c16r2="http://schemas.microsoft.com/office/drawing/2015/06/chart">
            <c:ext xmlns:c16="http://schemas.microsoft.com/office/drawing/2014/chart" uri="{C3380CC4-5D6E-409C-BE32-E72D297353CC}">
              <c16:uniqueId val="{00000003-B8D1-401D-8800-41BDD0D455DB}"/>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Лист1!$F$2:$F$4</c:f>
              <c:numCache>
                <c:formatCode>General</c:formatCode>
                <c:ptCount val="3"/>
                <c:pt idx="0">
                  <c:v>8.1999999999999993</c:v>
                </c:pt>
                <c:pt idx="1">
                  <c:v>7.1</c:v>
                </c:pt>
                <c:pt idx="2">
                  <c:v>8.6999999999999993</c:v>
                </c:pt>
              </c:numCache>
            </c:numRef>
          </c:val>
          <c:extLst xmlns:c16r2="http://schemas.microsoft.com/office/drawing/2015/06/chart">
            <c:ext xmlns:c16="http://schemas.microsoft.com/office/drawing/2014/chart" uri="{C3380CC4-5D6E-409C-BE32-E72D297353CC}">
              <c16:uniqueId val="{00000004-B8D1-401D-8800-41BDD0D455DB}"/>
            </c:ext>
          </c:extLst>
        </c:ser>
        <c:dLbls>
          <c:showLegendKey val="0"/>
          <c:showVal val="0"/>
          <c:showCatName val="0"/>
          <c:showSerName val="0"/>
          <c:showPercent val="0"/>
          <c:showBubbleSize val="0"/>
        </c:dLbls>
        <c:gapWidth val="150"/>
        <c:shape val="box"/>
        <c:axId val="303762816"/>
        <c:axId val="303780992"/>
        <c:axId val="0"/>
      </c:bar3DChart>
      <c:catAx>
        <c:axId val="3037628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3780992"/>
        <c:crosses val="autoZero"/>
        <c:auto val="1"/>
        <c:lblAlgn val="ctr"/>
        <c:lblOffset val="100"/>
        <c:noMultiLvlLbl val="0"/>
      </c:catAx>
      <c:valAx>
        <c:axId val="303780992"/>
        <c:scaling>
          <c:orientation val="minMax"/>
          <c:min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376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Лист1!$A$2:$A$5</c:f>
              <c:strCache>
                <c:ptCount val="4"/>
                <c:pt idx="0">
                  <c:v>Kernel (Net Debt/EBITDA)</c:v>
                </c:pt>
                <c:pt idx="1">
                  <c:v>МХП (Net Debt/EBITDA)</c:v>
                </c:pt>
                <c:pt idx="2">
                  <c:v>Astarta (Net Debt/EBITDA)</c:v>
                </c:pt>
                <c:pt idx="3">
                  <c:v>Коеф. поточної ліквідності</c:v>
                </c:pt>
              </c:strCache>
            </c:strRef>
          </c:cat>
          <c:val>
            <c:numRef>
              <c:f>Лист1!$B$2:$B$5</c:f>
              <c:numCache>
                <c:formatCode>General</c:formatCode>
                <c:ptCount val="4"/>
                <c:pt idx="0">
                  <c:v>1.8</c:v>
                </c:pt>
                <c:pt idx="1">
                  <c:v>2.2000000000000002</c:v>
                </c:pt>
                <c:pt idx="2">
                  <c:v>0.9</c:v>
                </c:pt>
                <c:pt idx="3">
                  <c:v>1.85</c:v>
                </c:pt>
              </c:numCache>
            </c:numRef>
          </c:val>
          <c:extLst xmlns:c16r2="http://schemas.microsoft.com/office/drawing/2015/06/chart">
            <c:ext xmlns:c16="http://schemas.microsoft.com/office/drawing/2014/chart" uri="{C3380CC4-5D6E-409C-BE32-E72D297353CC}">
              <c16:uniqueId val="{00000000-3B6E-400E-8981-ACA2B71919F4}"/>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Лист1!$A$2:$A$5</c:f>
              <c:strCache>
                <c:ptCount val="4"/>
                <c:pt idx="0">
                  <c:v>Kernel (Net Debt/EBITDA)</c:v>
                </c:pt>
                <c:pt idx="1">
                  <c:v>МХП (Net Debt/EBITDA)</c:v>
                </c:pt>
                <c:pt idx="2">
                  <c:v>Astarta (Net Debt/EBITDA)</c:v>
                </c:pt>
                <c:pt idx="3">
                  <c:v>Коеф. поточної ліквідності</c:v>
                </c:pt>
              </c:strCache>
            </c:strRef>
          </c:cat>
          <c:val>
            <c:numRef>
              <c:f>Лист1!$C$2:$C$5</c:f>
              <c:numCache>
                <c:formatCode>General</c:formatCode>
                <c:ptCount val="4"/>
                <c:pt idx="0">
                  <c:v>4.5</c:v>
                </c:pt>
                <c:pt idx="1">
                  <c:v>3.8</c:v>
                </c:pt>
                <c:pt idx="2">
                  <c:v>1.5</c:v>
                </c:pt>
                <c:pt idx="3">
                  <c:v>1.1499999999999999</c:v>
                </c:pt>
              </c:numCache>
            </c:numRef>
          </c:val>
          <c:extLst xmlns:c16r2="http://schemas.microsoft.com/office/drawing/2015/06/chart">
            <c:ext xmlns:c16="http://schemas.microsoft.com/office/drawing/2014/chart" uri="{C3380CC4-5D6E-409C-BE32-E72D297353CC}">
              <c16:uniqueId val="{00000001-3B6E-400E-8981-ACA2B71919F4}"/>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Лист1!$A$2:$A$5</c:f>
              <c:strCache>
                <c:ptCount val="4"/>
                <c:pt idx="0">
                  <c:v>Kernel (Net Debt/EBITDA)</c:v>
                </c:pt>
                <c:pt idx="1">
                  <c:v>МХП (Net Debt/EBITDA)</c:v>
                </c:pt>
                <c:pt idx="2">
                  <c:v>Astarta (Net Debt/EBITDA)</c:v>
                </c:pt>
                <c:pt idx="3">
                  <c:v>Коеф. поточної ліквідності</c:v>
                </c:pt>
              </c:strCache>
            </c:strRef>
          </c:cat>
          <c:val>
            <c:numRef>
              <c:f>Лист1!$D$2:$D$5</c:f>
              <c:numCache>
                <c:formatCode>General</c:formatCode>
                <c:ptCount val="4"/>
                <c:pt idx="0">
                  <c:v>2.8</c:v>
                </c:pt>
                <c:pt idx="1">
                  <c:v>2.5</c:v>
                </c:pt>
                <c:pt idx="2">
                  <c:v>1.2</c:v>
                </c:pt>
                <c:pt idx="3">
                  <c:v>1.42</c:v>
                </c:pt>
              </c:numCache>
            </c:numRef>
          </c:val>
          <c:extLst xmlns:c16r2="http://schemas.microsoft.com/office/drawing/2015/06/chart">
            <c:ext xmlns:c16="http://schemas.microsoft.com/office/drawing/2014/chart" uri="{C3380CC4-5D6E-409C-BE32-E72D297353CC}">
              <c16:uniqueId val="{00000002-3B6E-400E-8981-ACA2B71919F4}"/>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Лист1!$A$2:$A$5</c:f>
              <c:strCache>
                <c:ptCount val="4"/>
                <c:pt idx="0">
                  <c:v>Kernel (Net Debt/EBITDA)</c:v>
                </c:pt>
                <c:pt idx="1">
                  <c:v>МХП (Net Debt/EBITDA)</c:v>
                </c:pt>
                <c:pt idx="2">
                  <c:v>Astarta (Net Debt/EBITDA)</c:v>
                </c:pt>
                <c:pt idx="3">
                  <c:v>Коеф. поточної ліквідності</c:v>
                </c:pt>
              </c:strCache>
            </c:strRef>
          </c:cat>
          <c:val>
            <c:numRef>
              <c:f>Лист1!$E$2:$E$5</c:f>
              <c:numCache>
                <c:formatCode>General</c:formatCode>
                <c:ptCount val="4"/>
                <c:pt idx="0">
                  <c:v>2.2000000000000002</c:v>
                </c:pt>
                <c:pt idx="1">
                  <c:v>2.1</c:v>
                </c:pt>
                <c:pt idx="2">
                  <c:v>1.1000000000000001</c:v>
                </c:pt>
                <c:pt idx="3">
                  <c:v>1.55</c:v>
                </c:pt>
              </c:numCache>
            </c:numRef>
          </c:val>
          <c:extLst xmlns:c16r2="http://schemas.microsoft.com/office/drawing/2015/06/chart">
            <c:ext xmlns:c16="http://schemas.microsoft.com/office/drawing/2014/chart" uri="{C3380CC4-5D6E-409C-BE32-E72D297353CC}">
              <c16:uniqueId val="{00000003-3B6E-400E-8981-ACA2B71919F4}"/>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Лист1!$A$2:$A$5</c:f>
              <c:strCache>
                <c:ptCount val="4"/>
                <c:pt idx="0">
                  <c:v>Kernel (Net Debt/EBITDA)</c:v>
                </c:pt>
                <c:pt idx="1">
                  <c:v>МХП (Net Debt/EBITDA)</c:v>
                </c:pt>
                <c:pt idx="2">
                  <c:v>Astarta (Net Debt/EBITDA)</c:v>
                </c:pt>
                <c:pt idx="3">
                  <c:v>Коеф. поточної ліквідності</c:v>
                </c:pt>
              </c:strCache>
            </c:strRef>
          </c:cat>
          <c:val>
            <c:numRef>
              <c:f>Лист1!$F$2:$F$5</c:f>
              <c:numCache>
                <c:formatCode>General</c:formatCode>
                <c:ptCount val="4"/>
                <c:pt idx="0">
                  <c:v>1.9</c:v>
                </c:pt>
                <c:pt idx="1">
                  <c:v>1.8</c:v>
                </c:pt>
                <c:pt idx="2">
                  <c:v>0.9</c:v>
                </c:pt>
                <c:pt idx="3">
                  <c:v>1.65</c:v>
                </c:pt>
              </c:numCache>
            </c:numRef>
          </c:val>
          <c:extLst xmlns:c16r2="http://schemas.microsoft.com/office/drawing/2015/06/chart">
            <c:ext xmlns:c16="http://schemas.microsoft.com/office/drawing/2014/chart" uri="{C3380CC4-5D6E-409C-BE32-E72D297353CC}">
              <c16:uniqueId val="{00000004-3B6E-400E-8981-ACA2B71919F4}"/>
            </c:ext>
          </c:extLst>
        </c:ser>
        <c:dLbls>
          <c:showLegendKey val="0"/>
          <c:showVal val="0"/>
          <c:showCatName val="0"/>
          <c:showSerName val="0"/>
          <c:showPercent val="0"/>
          <c:showBubbleSize val="0"/>
        </c:dLbls>
        <c:gapWidth val="150"/>
        <c:shape val="box"/>
        <c:axId val="381047552"/>
        <c:axId val="381049088"/>
        <c:axId val="0"/>
      </c:bar3DChart>
      <c:catAx>
        <c:axId val="3810475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81049088"/>
        <c:crosses val="autoZero"/>
        <c:auto val="1"/>
        <c:lblAlgn val="ctr"/>
        <c:lblOffset val="100"/>
        <c:noMultiLvlLbl val="0"/>
      </c:catAx>
      <c:valAx>
        <c:axId val="381049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8104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Оборотність запасів</c:v>
                </c:pt>
                <c:pt idx="1">
                  <c:v>Оборотність дебіторської заборгованості</c:v>
                </c:pt>
                <c:pt idx="2">
                  <c:v>Операційний цикл</c:v>
                </c:pt>
              </c:strCache>
            </c:strRef>
          </c:cat>
          <c:val>
            <c:numRef>
              <c:f>Лист1!$B$2:$B$4</c:f>
              <c:numCache>
                <c:formatCode>General</c:formatCode>
                <c:ptCount val="3"/>
                <c:pt idx="0">
                  <c:v>115</c:v>
                </c:pt>
                <c:pt idx="1">
                  <c:v>42</c:v>
                </c:pt>
                <c:pt idx="2">
                  <c:v>157</c:v>
                </c:pt>
              </c:numCache>
            </c:numRef>
          </c:val>
          <c:extLst xmlns:c16r2="http://schemas.microsoft.com/office/drawing/2015/06/chart">
            <c:ext xmlns:c16="http://schemas.microsoft.com/office/drawing/2014/chart" uri="{C3380CC4-5D6E-409C-BE32-E72D297353CC}">
              <c16:uniqueId val="{00000000-6EDC-4B1C-94B0-33E2AD4CFC75}"/>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Оборотність запасів</c:v>
                </c:pt>
                <c:pt idx="1">
                  <c:v>Оборотність дебіторської заборгованості</c:v>
                </c:pt>
                <c:pt idx="2">
                  <c:v>Операційний цикл</c:v>
                </c:pt>
              </c:strCache>
            </c:strRef>
          </c:cat>
          <c:val>
            <c:numRef>
              <c:f>Лист1!$C$2:$C$4</c:f>
              <c:numCache>
                <c:formatCode>General</c:formatCode>
                <c:ptCount val="3"/>
                <c:pt idx="0">
                  <c:v>185</c:v>
                </c:pt>
                <c:pt idx="1">
                  <c:v>68</c:v>
                </c:pt>
                <c:pt idx="2">
                  <c:v>253</c:v>
                </c:pt>
              </c:numCache>
            </c:numRef>
          </c:val>
          <c:extLst xmlns:c16r2="http://schemas.microsoft.com/office/drawing/2015/06/chart">
            <c:ext xmlns:c16="http://schemas.microsoft.com/office/drawing/2014/chart" uri="{C3380CC4-5D6E-409C-BE32-E72D297353CC}">
              <c16:uniqueId val="{00000001-6EDC-4B1C-94B0-33E2AD4CFC75}"/>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Оборотність запасів</c:v>
                </c:pt>
                <c:pt idx="1">
                  <c:v>Оборотність дебіторської заборгованості</c:v>
                </c:pt>
                <c:pt idx="2">
                  <c:v>Операційний цикл</c:v>
                </c:pt>
              </c:strCache>
            </c:strRef>
          </c:cat>
          <c:val>
            <c:numRef>
              <c:f>Лист1!$D$2:$D$4</c:f>
              <c:numCache>
                <c:formatCode>General</c:formatCode>
                <c:ptCount val="3"/>
                <c:pt idx="0">
                  <c:v>145</c:v>
                </c:pt>
                <c:pt idx="1">
                  <c:v>55</c:v>
                </c:pt>
                <c:pt idx="2">
                  <c:v>200</c:v>
                </c:pt>
              </c:numCache>
            </c:numRef>
          </c:val>
          <c:extLst xmlns:c16r2="http://schemas.microsoft.com/office/drawing/2015/06/chart">
            <c:ext xmlns:c16="http://schemas.microsoft.com/office/drawing/2014/chart" uri="{C3380CC4-5D6E-409C-BE32-E72D297353CC}">
              <c16:uniqueId val="{00000002-6EDC-4B1C-94B0-33E2AD4CFC75}"/>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Оборотність запасів</c:v>
                </c:pt>
                <c:pt idx="1">
                  <c:v>Оборотність дебіторської заборгованості</c:v>
                </c:pt>
                <c:pt idx="2">
                  <c:v>Операційний цикл</c:v>
                </c:pt>
              </c:strCache>
            </c:strRef>
          </c:cat>
          <c:val>
            <c:numRef>
              <c:f>Лист1!$E$2:$E$4</c:f>
              <c:numCache>
                <c:formatCode>General</c:formatCode>
                <c:ptCount val="3"/>
                <c:pt idx="0">
                  <c:v>130</c:v>
                </c:pt>
                <c:pt idx="1">
                  <c:v>50</c:v>
                </c:pt>
                <c:pt idx="2">
                  <c:v>180</c:v>
                </c:pt>
              </c:numCache>
            </c:numRef>
          </c:val>
          <c:extLst xmlns:c16r2="http://schemas.microsoft.com/office/drawing/2015/06/chart">
            <c:ext xmlns:c16="http://schemas.microsoft.com/office/drawing/2014/chart" uri="{C3380CC4-5D6E-409C-BE32-E72D297353CC}">
              <c16:uniqueId val="{00000003-6EDC-4B1C-94B0-33E2AD4CFC75}"/>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Оборотність запасів</c:v>
                </c:pt>
                <c:pt idx="1">
                  <c:v>Оборотність дебіторської заборгованості</c:v>
                </c:pt>
                <c:pt idx="2">
                  <c:v>Операційний цикл</c:v>
                </c:pt>
              </c:strCache>
            </c:strRef>
          </c:cat>
          <c:val>
            <c:numRef>
              <c:f>Лист1!$F$2:$F$4</c:f>
              <c:numCache>
                <c:formatCode>General</c:formatCode>
                <c:ptCount val="3"/>
                <c:pt idx="0">
                  <c:v>120</c:v>
                </c:pt>
                <c:pt idx="1">
                  <c:v>45</c:v>
                </c:pt>
                <c:pt idx="2">
                  <c:v>165</c:v>
                </c:pt>
              </c:numCache>
            </c:numRef>
          </c:val>
          <c:extLst xmlns:c16r2="http://schemas.microsoft.com/office/drawing/2015/06/chart">
            <c:ext xmlns:c16="http://schemas.microsoft.com/office/drawing/2014/chart" uri="{C3380CC4-5D6E-409C-BE32-E72D297353CC}">
              <c16:uniqueId val="{00000004-6EDC-4B1C-94B0-33E2AD4CFC75}"/>
            </c:ext>
          </c:extLst>
        </c:ser>
        <c:dLbls>
          <c:showLegendKey val="0"/>
          <c:showVal val="0"/>
          <c:showCatName val="0"/>
          <c:showSerName val="0"/>
          <c:showPercent val="0"/>
          <c:showBubbleSize val="0"/>
        </c:dLbls>
        <c:gapWidth val="150"/>
        <c:shape val="box"/>
        <c:axId val="306247552"/>
        <c:axId val="306249088"/>
        <c:axId val="0"/>
      </c:bar3DChart>
      <c:catAx>
        <c:axId val="3062475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6249088"/>
        <c:crosses val="autoZero"/>
        <c:auto val="1"/>
        <c:lblAlgn val="ctr"/>
        <c:lblOffset val="100"/>
        <c:noMultiLvlLbl val="0"/>
      </c:catAx>
      <c:valAx>
        <c:axId val="306249088"/>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624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 </c:v>
                </c:pt>
                <c:pt idx="1">
                  <c:v>МХП</c:v>
                </c:pt>
                <c:pt idx="2">
                  <c:v>Astarta-Kyiv </c:v>
                </c:pt>
              </c:strCache>
            </c:strRef>
          </c:cat>
          <c:val>
            <c:numRef>
              <c:f>Лист1!$B$2:$B$4</c:f>
              <c:numCache>
                <c:formatCode>General</c:formatCode>
                <c:ptCount val="3"/>
                <c:pt idx="0">
                  <c:v>7120</c:v>
                </c:pt>
                <c:pt idx="1">
                  <c:v>4450</c:v>
                </c:pt>
                <c:pt idx="2">
                  <c:v>1280</c:v>
                </c:pt>
              </c:numCache>
            </c:numRef>
          </c:val>
          <c:extLst xmlns:c16r2="http://schemas.microsoft.com/office/drawing/2015/06/chart">
            <c:ext xmlns:c16="http://schemas.microsoft.com/office/drawing/2014/chart" uri="{C3380CC4-5D6E-409C-BE32-E72D297353CC}">
              <c16:uniqueId val="{00000000-995E-44CB-AAC4-CF63DF3E071D}"/>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 </c:v>
                </c:pt>
                <c:pt idx="1">
                  <c:v>МХП</c:v>
                </c:pt>
                <c:pt idx="2">
                  <c:v>Astarta-Kyiv </c:v>
                </c:pt>
              </c:strCache>
            </c:strRef>
          </c:cat>
          <c:val>
            <c:numRef>
              <c:f>Лист1!$C$2:$C$4</c:f>
              <c:numCache>
                <c:formatCode>General</c:formatCode>
                <c:ptCount val="3"/>
                <c:pt idx="0">
                  <c:v>2450</c:v>
                </c:pt>
                <c:pt idx="1">
                  <c:v>3200</c:v>
                </c:pt>
                <c:pt idx="2">
                  <c:v>920</c:v>
                </c:pt>
              </c:numCache>
            </c:numRef>
          </c:val>
          <c:extLst xmlns:c16r2="http://schemas.microsoft.com/office/drawing/2015/06/chart">
            <c:ext xmlns:c16="http://schemas.microsoft.com/office/drawing/2014/chart" uri="{C3380CC4-5D6E-409C-BE32-E72D297353CC}">
              <c16:uniqueId val="{00000001-995E-44CB-AAC4-CF63DF3E071D}"/>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 </c:v>
                </c:pt>
                <c:pt idx="1">
                  <c:v>МХП</c:v>
                </c:pt>
                <c:pt idx="2">
                  <c:v>Astarta-Kyiv </c:v>
                </c:pt>
              </c:strCache>
            </c:strRef>
          </c:cat>
          <c:val>
            <c:numRef>
              <c:f>Лист1!$D$2:$D$4</c:f>
              <c:numCache>
                <c:formatCode>General</c:formatCode>
                <c:ptCount val="3"/>
                <c:pt idx="0">
                  <c:v>3800</c:v>
                </c:pt>
                <c:pt idx="1">
                  <c:v>5100</c:v>
                </c:pt>
                <c:pt idx="2">
                  <c:v>1550</c:v>
                </c:pt>
              </c:numCache>
            </c:numRef>
          </c:val>
          <c:extLst xmlns:c16r2="http://schemas.microsoft.com/office/drawing/2015/06/chart">
            <c:ext xmlns:c16="http://schemas.microsoft.com/office/drawing/2014/chart" uri="{C3380CC4-5D6E-409C-BE32-E72D297353CC}">
              <c16:uniqueId val="{00000002-995E-44CB-AAC4-CF63DF3E071D}"/>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 </c:v>
                </c:pt>
                <c:pt idx="1">
                  <c:v>МХП</c:v>
                </c:pt>
                <c:pt idx="2">
                  <c:v>Astarta-Kyiv </c:v>
                </c:pt>
              </c:strCache>
            </c:strRef>
          </c:cat>
          <c:val>
            <c:numRef>
              <c:f>Лист1!$E$2:$E$4</c:f>
              <c:numCache>
                <c:formatCode>General</c:formatCode>
                <c:ptCount val="3"/>
                <c:pt idx="0">
                  <c:v>4600</c:v>
                </c:pt>
                <c:pt idx="1">
                  <c:v>5900</c:v>
                </c:pt>
                <c:pt idx="2">
                  <c:v>1780</c:v>
                </c:pt>
              </c:numCache>
            </c:numRef>
          </c:val>
          <c:extLst xmlns:c16r2="http://schemas.microsoft.com/office/drawing/2015/06/chart">
            <c:ext xmlns:c16="http://schemas.microsoft.com/office/drawing/2014/chart" uri="{C3380CC4-5D6E-409C-BE32-E72D297353CC}">
              <c16:uniqueId val="{00000003-995E-44CB-AAC4-CF63DF3E071D}"/>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 </c:v>
                </c:pt>
                <c:pt idx="1">
                  <c:v>МХП</c:v>
                </c:pt>
                <c:pt idx="2">
                  <c:v>Astarta-Kyiv </c:v>
                </c:pt>
              </c:strCache>
            </c:strRef>
          </c:cat>
          <c:val>
            <c:numRef>
              <c:f>Лист1!$F$2:$F$4</c:f>
              <c:numCache>
                <c:formatCode>General</c:formatCode>
                <c:ptCount val="3"/>
                <c:pt idx="0">
                  <c:v>5200</c:v>
                </c:pt>
                <c:pt idx="1">
                  <c:v>6450</c:v>
                </c:pt>
                <c:pt idx="2">
                  <c:v>1950</c:v>
                </c:pt>
              </c:numCache>
            </c:numRef>
          </c:val>
          <c:extLst xmlns:c16r2="http://schemas.microsoft.com/office/drawing/2015/06/chart">
            <c:ext xmlns:c16="http://schemas.microsoft.com/office/drawing/2014/chart" uri="{C3380CC4-5D6E-409C-BE32-E72D297353CC}">
              <c16:uniqueId val="{00000004-995E-44CB-AAC4-CF63DF3E071D}"/>
            </c:ext>
          </c:extLst>
        </c:ser>
        <c:dLbls>
          <c:showLegendKey val="0"/>
          <c:showVal val="0"/>
          <c:showCatName val="0"/>
          <c:showSerName val="0"/>
          <c:showPercent val="0"/>
          <c:showBubbleSize val="0"/>
        </c:dLbls>
        <c:gapWidth val="150"/>
        <c:shape val="box"/>
        <c:axId val="354507776"/>
        <c:axId val="354521856"/>
        <c:axId val="0"/>
      </c:bar3DChart>
      <c:catAx>
        <c:axId val="3545077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4521856"/>
        <c:crosses val="autoZero"/>
        <c:auto val="1"/>
        <c:lblAlgn val="ctr"/>
        <c:lblOffset val="100"/>
        <c:noMultiLvlLbl val="0"/>
      </c:catAx>
      <c:valAx>
        <c:axId val="354521856"/>
        <c:scaling>
          <c:orientation val="minMax"/>
          <c:min val="12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4507776"/>
        <c:crosses val="autoZero"/>
        <c:crossBetween val="between"/>
        <c:majorUnit val="2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Лист1!$B$1</c:f>
              <c:strCache>
                <c:ptCount val="1"/>
                <c:pt idx="0">
                  <c:v>Власні кошти (чистий прибуток, амортизація)</c:v>
                </c:pt>
              </c:strCache>
            </c:strRef>
          </c:tx>
          <c:spPr>
            <a:solidFill>
              <a:schemeClr val="accent5">
                <a:shade val="58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52</c:v>
                </c:pt>
                <c:pt idx="1">
                  <c:v>58</c:v>
                </c:pt>
                <c:pt idx="2">
                  <c:v>62</c:v>
                </c:pt>
              </c:numCache>
            </c:numRef>
          </c:val>
          <c:extLst xmlns:c16r2="http://schemas.microsoft.com/office/drawing/2015/06/chart">
            <c:ext xmlns:c16="http://schemas.microsoft.com/office/drawing/2014/chart" uri="{C3380CC4-5D6E-409C-BE32-E72D297353CC}">
              <c16:uniqueId val="{00000000-6107-41F5-AC5F-8506D7414562}"/>
            </c:ext>
          </c:extLst>
        </c:ser>
        <c:ser>
          <c:idx val="1"/>
          <c:order val="1"/>
          <c:tx>
            <c:strRef>
              <c:f>Лист1!$C$1</c:f>
              <c:strCache>
                <c:ptCount val="1"/>
                <c:pt idx="0">
                  <c:v>Міжнародні запозичення (EBRD, IFC, EIB)</c:v>
                </c:pt>
              </c:strCache>
            </c:strRef>
          </c:tx>
          <c:spPr>
            <a:solidFill>
              <a:schemeClr val="accent5">
                <a:shade val="8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30</c:v>
                </c:pt>
                <c:pt idx="1">
                  <c:v>25</c:v>
                </c:pt>
                <c:pt idx="2">
                  <c:v>32</c:v>
                </c:pt>
              </c:numCache>
            </c:numRef>
          </c:val>
          <c:extLst xmlns:c16r2="http://schemas.microsoft.com/office/drawing/2015/06/chart">
            <c:ext xmlns:c16="http://schemas.microsoft.com/office/drawing/2014/chart" uri="{C3380CC4-5D6E-409C-BE32-E72D297353CC}">
              <c16:uniqueId val="{00000001-6107-41F5-AC5F-8506D7414562}"/>
            </c:ext>
          </c:extLst>
        </c:ser>
        <c:ser>
          <c:idx val="2"/>
          <c:order val="2"/>
          <c:tx>
            <c:strRef>
              <c:f>Лист1!$D$1</c:f>
              <c:strCache>
                <c:ptCount val="1"/>
                <c:pt idx="0">
                  <c:v>Залучені кошти (банківські кредити, облігації)</c:v>
                </c:pt>
              </c:strCache>
            </c:strRef>
          </c:tx>
          <c:spPr>
            <a:solidFill>
              <a:schemeClr val="accent5">
                <a:tint val="8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15</c:v>
                </c:pt>
                <c:pt idx="1">
                  <c:v>14</c:v>
                </c:pt>
                <c:pt idx="2">
                  <c:v>4</c:v>
                </c:pt>
              </c:numCache>
            </c:numRef>
          </c:val>
          <c:extLst xmlns:c16r2="http://schemas.microsoft.com/office/drawing/2015/06/chart">
            <c:ext xmlns:c16="http://schemas.microsoft.com/office/drawing/2014/chart" uri="{C3380CC4-5D6E-409C-BE32-E72D297353CC}">
              <c16:uniqueId val="{00000002-6107-41F5-AC5F-8506D7414562}"/>
            </c:ext>
          </c:extLst>
        </c:ser>
        <c:ser>
          <c:idx val="3"/>
          <c:order val="3"/>
          <c:tx>
            <c:strRef>
              <c:f>Лист1!$E$1</c:f>
              <c:strCache>
                <c:ptCount val="1"/>
                <c:pt idx="0">
                  <c:v>Інші (лізинг, державні субсидії)</c:v>
                </c:pt>
              </c:strCache>
            </c:strRef>
          </c:tx>
          <c:spPr>
            <a:solidFill>
              <a:schemeClr val="accent5">
                <a:tint val="58000"/>
              </a:schemeClr>
            </a:solidFill>
            <a:ln>
              <a:noFill/>
            </a:ln>
            <a:effectLst/>
            <a:sp3d/>
          </c:spPr>
          <c:invertIfNegative val="0"/>
          <c:dLbls>
            <c:dLbl>
              <c:idx val="0"/>
              <c:layout>
                <c:manualLayout>
                  <c:x val="3.2407407407407406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107-41F5-AC5F-8506D7414562}"/>
                </c:ext>
              </c:extLst>
            </c:dLbl>
            <c:dLbl>
              <c:idx val="1"/>
              <c:layout>
                <c:manualLayout>
                  <c:x val="3.7037037037037035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107-41F5-AC5F-8506D7414562}"/>
                </c:ext>
              </c:extLst>
            </c:dLbl>
            <c:dLbl>
              <c:idx val="2"/>
              <c:layout>
                <c:manualLayout>
                  <c:x val="3.472222222222214E-2"/>
                  <c:y val="-3.96825396825396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107-41F5-AC5F-8506D741456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3</c:v>
                </c:pt>
                <c:pt idx="1">
                  <c:v>3</c:v>
                </c:pt>
                <c:pt idx="2">
                  <c:v>2</c:v>
                </c:pt>
              </c:numCache>
            </c:numRef>
          </c:val>
          <c:extLst xmlns:c16r2="http://schemas.microsoft.com/office/drawing/2015/06/chart">
            <c:ext xmlns:c16="http://schemas.microsoft.com/office/drawing/2014/chart" uri="{C3380CC4-5D6E-409C-BE32-E72D297353CC}">
              <c16:uniqueId val="{00000006-6107-41F5-AC5F-8506D7414562}"/>
            </c:ext>
          </c:extLst>
        </c:ser>
        <c:dLbls>
          <c:showLegendKey val="0"/>
          <c:showVal val="0"/>
          <c:showCatName val="0"/>
          <c:showSerName val="0"/>
          <c:showPercent val="0"/>
          <c:showBubbleSize val="0"/>
        </c:dLbls>
        <c:gapWidth val="150"/>
        <c:shape val="box"/>
        <c:axId val="343199744"/>
        <c:axId val="343201280"/>
        <c:axId val="0"/>
      </c:bar3DChart>
      <c:catAx>
        <c:axId val="3431997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43201280"/>
        <c:crosses val="autoZero"/>
        <c:auto val="1"/>
        <c:lblAlgn val="ctr"/>
        <c:lblOffset val="100"/>
        <c:noMultiLvlLbl val="0"/>
      </c:catAx>
      <c:valAx>
        <c:axId val="343201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43199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7060783126091135E-2"/>
          <c:y val="3.8487775876650657E-2"/>
          <c:w val="0.9020179307181514"/>
          <c:h val="0.82631191907873014"/>
        </c:manualLayout>
      </c:layout>
      <c:bar3D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4.7E-2</c:v>
                </c:pt>
                <c:pt idx="1">
                  <c:v>6.6000000000000003E-2</c:v>
                </c:pt>
                <c:pt idx="2">
                  <c:v>0.09</c:v>
                </c:pt>
              </c:numCache>
            </c:numRef>
          </c:val>
          <c:extLst xmlns:c16r2="http://schemas.microsoft.com/office/drawing/2015/06/chart">
            <c:ext xmlns:c16="http://schemas.microsoft.com/office/drawing/2014/chart" uri="{C3380CC4-5D6E-409C-BE32-E72D297353CC}">
              <c16:uniqueId val="{00000000-8DCC-418D-ABE4-C1A7DBF18C0C}"/>
            </c:ext>
          </c:extLst>
        </c:ser>
        <c:ser>
          <c:idx val="1"/>
          <c:order val="1"/>
          <c:tx>
            <c:strRef>
              <c:f>Лист1!$C$1</c:f>
              <c:strCache>
                <c:ptCount val="1"/>
                <c:pt idx="0">
                  <c:v>2022</c:v>
                </c:pt>
              </c:strCache>
            </c:strRef>
          </c:tx>
          <c:spPr>
            <a:solidFill>
              <a:schemeClr val="accent5">
                <a:shade val="76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2.1000000000000001E-2</c:v>
                </c:pt>
                <c:pt idx="1">
                  <c:v>4.3999999999999997E-2</c:v>
                </c:pt>
                <c:pt idx="2">
                  <c:v>5.6000000000000001E-2</c:v>
                </c:pt>
              </c:numCache>
            </c:numRef>
          </c:val>
          <c:extLst xmlns:c16r2="http://schemas.microsoft.com/office/drawing/2015/06/chart">
            <c:ext xmlns:c16="http://schemas.microsoft.com/office/drawing/2014/chart" uri="{C3380CC4-5D6E-409C-BE32-E72D297353CC}">
              <c16:uniqueId val="{00000001-8DCC-418D-ABE4-C1A7DBF18C0C}"/>
            </c:ext>
          </c:extLst>
        </c:ser>
        <c:ser>
          <c:idx val="2"/>
          <c:order val="2"/>
          <c:tx>
            <c:strRef>
              <c:f>Лист1!$D$1</c:f>
              <c:strCache>
                <c:ptCount val="1"/>
                <c:pt idx="0">
                  <c:v>2023</c:v>
                </c:pt>
              </c:strCache>
            </c:strRef>
          </c:tx>
          <c:spPr>
            <a:solidFill>
              <a:schemeClr val="accent5"/>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3.1E-2</c:v>
                </c:pt>
                <c:pt idx="1">
                  <c:v>0.06</c:v>
                </c:pt>
                <c:pt idx="2">
                  <c:v>8.2000000000000003E-2</c:v>
                </c:pt>
              </c:numCache>
            </c:numRef>
          </c:val>
          <c:extLst xmlns:c16r2="http://schemas.microsoft.com/office/drawing/2015/06/chart">
            <c:ext xmlns:c16="http://schemas.microsoft.com/office/drawing/2014/chart" uri="{C3380CC4-5D6E-409C-BE32-E72D297353CC}">
              <c16:uniqueId val="{00000002-8DCC-418D-ABE4-C1A7DBF18C0C}"/>
            </c:ext>
          </c:extLst>
        </c:ser>
        <c:ser>
          <c:idx val="3"/>
          <c:order val="3"/>
          <c:tx>
            <c:strRef>
              <c:f>Лист1!$E$1</c:f>
              <c:strCache>
                <c:ptCount val="1"/>
                <c:pt idx="0">
                  <c:v>2024</c:v>
                </c:pt>
              </c:strCache>
            </c:strRef>
          </c:tx>
          <c:spPr>
            <a:solidFill>
              <a:schemeClr val="accent5">
                <a:tint val="77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3.5999999999999997E-2</c:v>
                </c:pt>
                <c:pt idx="1">
                  <c:v>6.5000000000000002E-2</c:v>
                </c:pt>
                <c:pt idx="2">
                  <c:v>8.6999999999999994E-2</c:v>
                </c:pt>
              </c:numCache>
            </c:numRef>
          </c:val>
          <c:extLst xmlns:c16r2="http://schemas.microsoft.com/office/drawing/2015/06/chart">
            <c:ext xmlns:c16="http://schemas.microsoft.com/office/drawing/2014/chart" uri="{C3380CC4-5D6E-409C-BE32-E72D297353CC}">
              <c16:uniqueId val="{00000003-8DCC-418D-ABE4-C1A7DBF18C0C}"/>
            </c:ext>
          </c:extLst>
        </c:ser>
        <c:ser>
          <c:idx val="4"/>
          <c:order val="4"/>
          <c:tx>
            <c:strRef>
              <c:f>Лист1!$F$1</c:f>
              <c:strCache>
                <c:ptCount val="1"/>
                <c:pt idx="0">
                  <c:v>2025</c:v>
                </c:pt>
              </c:strCache>
            </c:strRef>
          </c:tx>
          <c:spPr>
            <a:solidFill>
              <a:schemeClr val="accent5">
                <a:tint val="54000"/>
              </a:schemeClr>
            </a:solidFill>
            <a:ln>
              <a:noFill/>
            </a:ln>
            <a:effectLst/>
            <a:sp3d/>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Лист1!$F$2:$F$4</c:f>
              <c:numCache>
                <c:formatCode>General</c:formatCode>
                <c:ptCount val="3"/>
                <c:pt idx="0">
                  <c:v>3.9E-2</c:v>
                </c:pt>
                <c:pt idx="1">
                  <c:v>6.8000000000000005E-2</c:v>
                </c:pt>
                <c:pt idx="2">
                  <c:v>8.7999999999999995E-2</c:v>
                </c:pt>
              </c:numCache>
            </c:numRef>
          </c:val>
          <c:extLst xmlns:c16r2="http://schemas.microsoft.com/office/drawing/2015/06/chart">
            <c:ext xmlns:c16="http://schemas.microsoft.com/office/drawing/2014/chart" uri="{C3380CC4-5D6E-409C-BE32-E72D297353CC}">
              <c16:uniqueId val="{00000004-8DCC-418D-ABE4-C1A7DBF18C0C}"/>
            </c:ext>
          </c:extLst>
        </c:ser>
        <c:dLbls>
          <c:showLegendKey val="0"/>
          <c:showVal val="0"/>
          <c:showCatName val="0"/>
          <c:showSerName val="0"/>
          <c:showPercent val="0"/>
          <c:showBubbleSize val="0"/>
        </c:dLbls>
        <c:gapWidth val="150"/>
        <c:shape val="box"/>
        <c:axId val="343164416"/>
        <c:axId val="343165952"/>
        <c:axId val="0"/>
      </c:bar3DChart>
      <c:catAx>
        <c:axId val="343164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43165952"/>
        <c:crosses val="autoZero"/>
        <c:auto val="1"/>
        <c:lblAlgn val="ctr"/>
        <c:lblOffset val="100"/>
        <c:noMultiLvlLbl val="0"/>
      </c:catAx>
      <c:valAx>
        <c:axId val="343165952"/>
        <c:scaling>
          <c:orientation val="minMax"/>
          <c:max val="0.09"/>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43164416"/>
        <c:crosses val="autoZero"/>
        <c:crossBetween val="between"/>
        <c:majorUnit val="0.2"/>
        <c:minorUnit val="0.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0.22</c:v>
                </c:pt>
                <c:pt idx="1">
                  <c:v>0.24</c:v>
                </c:pt>
                <c:pt idx="2">
                  <c:v>0.28000000000000003</c:v>
                </c:pt>
              </c:numCache>
            </c:numRef>
          </c:val>
          <c:extLst xmlns:c16r2="http://schemas.microsoft.com/office/drawing/2015/06/chart">
            <c:ext xmlns:c16="http://schemas.microsoft.com/office/drawing/2014/chart" uri="{C3380CC4-5D6E-409C-BE32-E72D297353CC}">
              <c16:uniqueId val="{00000000-63E8-47F8-BEA8-EFEBC2452B57}"/>
            </c:ext>
          </c:extLst>
        </c:ser>
        <c:ser>
          <c:idx val="1"/>
          <c:order val="1"/>
          <c:tx>
            <c:strRef>
              <c:f>Лист1!$C$1</c:f>
              <c:strCache>
                <c:ptCount val="1"/>
                <c:pt idx="0">
                  <c:v>2022</c:v>
                </c:pt>
              </c:strCache>
            </c:strRef>
          </c:tx>
          <c:spPr>
            <a:solidFill>
              <a:schemeClr val="accent5">
                <a:shade val="76000"/>
              </a:schemeClr>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0.81</c:v>
                </c:pt>
                <c:pt idx="1">
                  <c:v>0.79</c:v>
                </c:pt>
                <c:pt idx="2">
                  <c:v>0.62</c:v>
                </c:pt>
              </c:numCache>
            </c:numRef>
          </c:val>
          <c:extLst xmlns:c16r2="http://schemas.microsoft.com/office/drawing/2015/06/chart">
            <c:ext xmlns:c16="http://schemas.microsoft.com/office/drawing/2014/chart" uri="{C3380CC4-5D6E-409C-BE32-E72D297353CC}">
              <c16:uniqueId val="{00000001-63E8-47F8-BEA8-EFEBC2452B57}"/>
            </c:ext>
          </c:extLst>
        </c:ser>
        <c:ser>
          <c:idx val="2"/>
          <c:order val="2"/>
          <c:tx>
            <c:strRef>
              <c:f>Лист1!$D$1</c:f>
              <c:strCache>
                <c:ptCount val="1"/>
                <c:pt idx="0">
                  <c:v>2023</c:v>
                </c:pt>
              </c:strCache>
            </c:strRef>
          </c:tx>
          <c:spPr>
            <a:solidFill>
              <a:schemeClr val="accent5"/>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0.57999999999999996</c:v>
                </c:pt>
                <c:pt idx="1">
                  <c:v>0.54</c:v>
                </c:pt>
                <c:pt idx="2">
                  <c:v>0.49</c:v>
                </c:pt>
              </c:numCache>
            </c:numRef>
          </c:val>
          <c:extLst xmlns:c16r2="http://schemas.microsoft.com/office/drawing/2015/06/chart">
            <c:ext xmlns:c16="http://schemas.microsoft.com/office/drawing/2014/chart" uri="{C3380CC4-5D6E-409C-BE32-E72D297353CC}">
              <c16:uniqueId val="{00000002-63E8-47F8-BEA8-EFEBC2452B57}"/>
            </c:ext>
          </c:extLst>
        </c:ser>
        <c:ser>
          <c:idx val="3"/>
          <c:order val="3"/>
          <c:tx>
            <c:strRef>
              <c:f>Лист1!$E$1</c:f>
              <c:strCache>
                <c:ptCount val="1"/>
                <c:pt idx="0">
                  <c:v>2024</c:v>
                </c:pt>
              </c:strCache>
            </c:strRef>
          </c:tx>
          <c:spPr>
            <a:solidFill>
              <a:schemeClr val="accent5">
                <a:tint val="77000"/>
              </a:schemeClr>
            </a:solidFill>
            <a:ln>
              <a:noFill/>
            </a:ln>
            <a:effectLst/>
          </c:spPr>
          <c:invertIfNegative val="0"/>
          <c:dLbls>
            <c:dLbl>
              <c:idx val="0"/>
              <c:layout>
                <c:manualLayout>
                  <c:x val="3.2407407407407406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3E8-47F8-BEA8-EFEBC2452B57}"/>
                </c:ext>
              </c:extLst>
            </c:dLbl>
            <c:dLbl>
              <c:idx val="1"/>
              <c:layout>
                <c:manualLayout>
                  <c:x val="3.7037037037037035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3E8-47F8-BEA8-EFEBC2452B57}"/>
                </c:ext>
              </c:extLst>
            </c:dLbl>
            <c:dLbl>
              <c:idx val="2"/>
              <c:layout>
                <c:manualLayout>
                  <c:x val="3.472222222222214E-2"/>
                  <c:y val="-3.96825396825396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3E8-47F8-BEA8-EFEBC2452B5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0.48</c:v>
                </c:pt>
                <c:pt idx="1">
                  <c:v>0.45</c:v>
                </c:pt>
                <c:pt idx="2">
                  <c:v>0.42</c:v>
                </c:pt>
              </c:numCache>
            </c:numRef>
          </c:val>
          <c:extLst xmlns:c16r2="http://schemas.microsoft.com/office/drawing/2015/06/chart">
            <c:ext xmlns:c16="http://schemas.microsoft.com/office/drawing/2014/chart" uri="{C3380CC4-5D6E-409C-BE32-E72D297353CC}">
              <c16:uniqueId val="{00000006-63E8-47F8-BEA8-EFEBC2452B57}"/>
            </c:ext>
          </c:extLst>
        </c:ser>
        <c:ser>
          <c:idx val="4"/>
          <c:order val="4"/>
          <c:tx>
            <c:strRef>
              <c:f>Лист1!$F$1</c:f>
              <c:strCache>
                <c:ptCount val="1"/>
                <c:pt idx="0">
                  <c:v>2025</c:v>
                </c:pt>
              </c:strCache>
            </c:strRef>
          </c:tx>
          <c:spPr>
            <a:solidFill>
              <a:schemeClr val="accent5">
                <a:tint val="54000"/>
              </a:schemeClr>
            </a:solidFill>
            <a:ln>
              <a:noFill/>
            </a:ln>
            <a:effectLst/>
          </c:spPr>
          <c:invertIfNegative val="0"/>
          <c:cat>
            <c:strRef>
              <c:f>Лист1!$A$2:$A$4</c:f>
              <c:strCache>
                <c:ptCount val="3"/>
                <c:pt idx="0">
                  <c:v>Kernel</c:v>
                </c:pt>
                <c:pt idx="1">
                  <c:v>МХП</c:v>
                </c:pt>
                <c:pt idx="2">
                  <c:v>Astarta-Kyiv</c:v>
                </c:pt>
              </c:strCache>
            </c:strRef>
          </c:cat>
          <c:val>
            <c:numRef>
              <c:f>Лист1!$F$2:$F$4</c:f>
              <c:numCache>
                <c:formatCode>General</c:formatCode>
                <c:ptCount val="3"/>
                <c:pt idx="0">
                  <c:v>0.41</c:v>
                </c:pt>
                <c:pt idx="1">
                  <c:v>0.39</c:v>
                </c:pt>
                <c:pt idx="2">
                  <c:v>0.36</c:v>
                </c:pt>
              </c:numCache>
            </c:numRef>
          </c:val>
          <c:extLst xmlns:c16r2="http://schemas.microsoft.com/office/drawing/2015/06/chart">
            <c:ext xmlns:c16="http://schemas.microsoft.com/office/drawing/2014/chart" uri="{C3380CC4-5D6E-409C-BE32-E72D297353CC}">
              <c16:uniqueId val="{00000007-63E8-47F8-BEA8-EFEBC2452B57}"/>
            </c:ext>
          </c:extLst>
        </c:ser>
        <c:dLbls>
          <c:showLegendKey val="0"/>
          <c:showVal val="0"/>
          <c:showCatName val="0"/>
          <c:showSerName val="0"/>
          <c:showPercent val="0"/>
          <c:showBubbleSize val="0"/>
        </c:dLbls>
        <c:gapWidth val="150"/>
        <c:axId val="354675712"/>
        <c:axId val="336544512"/>
      </c:barChart>
      <c:catAx>
        <c:axId val="3546757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36544512"/>
        <c:crosses val="autoZero"/>
        <c:auto val="1"/>
        <c:lblAlgn val="ctr"/>
        <c:lblOffset val="100"/>
        <c:noMultiLvlLbl val="0"/>
      </c:catAx>
      <c:valAx>
        <c:axId val="336544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4675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Лист1!$B$1</c:f>
              <c:strCache>
                <c:ptCount val="1"/>
                <c:pt idx="0">
                  <c:v>2021</c:v>
                </c:pt>
              </c:strCache>
            </c:strRef>
          </c:tx>
          <c:spPr>
            <a:solidFill>
              <a:schemeClr val="accent5">
                <a:shade val="53000"/>
              </a:schemeClr>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Лист1!$B$2:$B$4</c:f>
              <c:numCache>
                <c:formatCode>General</c:formatCode>
                <c:ptCount val="3"/>
                <c:pt idx="0">
                  <c:v>0.82</c:v>
                </c:pt>
                <c:pt idx="1">
                  <c:v>0.85</c:v>
                </c:pt>
                <c:pt idx="2">
                  <c:v>0.78</c:v>
                </c:pt>
              </c:numCache>
            </c:numRef>
          </c:val>
          <c:extLst xmlns:c16r2="http://schemas.microsoft.com/office/drawing/2015/06/chart">
            <c:ext xmlns:c16="http://schemas.microsoft.com/office/drawing/2014/chart" uri="{C3380CC4-5D6E-409C-BE32-E72D297353CC}">
              <c16:uniqueId val="{00000000-C1D5-4852-B114-6C063B351B55}"/>
            </c:ext>
          </c:extLst>
        </c:ser>
        <c:ser>
          <c:idx val="1"/>
          <c:order val="1"/>
          <c:tx>
            <c:strRef>
              <c:f>Лист1!$C$1</c:f>
              <c:strCache>
                <c:ptCount val="1"/>
                <c:pt idx="0">
                  <c:v>2022</c:v>
                </c:pt>
              </c:strCache>
            </c:strRef>
          </c:tx>
          <c:spPr>
            <a:solidFill>
              <a:schemeClr val="accent5">
                <a:shade val="76000"/>
              </a:schemeClr>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Лист1!$C$2:$C$4</c:f>
              <c:numCache>
                <c:formatCode>General</c:formatCode>
                <c:ptCount val="3"/>
                <c:pt idx="0">
                  <c:v>0.51</c:v>
                </c:pt>
                <c:pt idx="1">
                  <c:v>0.55000000000000004</c:v>
                </c:pt>
                <c:pt idx="2">
                  <c:v>0.46</c:v>
                </c:pt>
              </c:numCache>
            </c:numRef>
          </c:val>
          <c:extLst xmlns:c16r2="http://schemas.microsoft.com/office/drawing/2015/06/chart">
            <c:ext xmlns:c16="http://schemas.microsoft.com/office/drawing/2014/chart" uri="{C3380CC4-5D6E-409C-BE32-E72D297353CC}">
              <c16:uniqueId val="{00000001-C1D5-4852-B114-6C063B351B55}"/>
            </c:ext>
          </c:extLst>
        </c:ser>
        <c:ser>
          <c:idx val="2"/>
          <c:order val="2"/>
          <c:tx>
            <c:strRef>
              <c:f>Лист1!$D$1</c:f>
              <c:strCache>
                <c:ptCount val="1"/>
                <c:pt idx="0">
                  <c:v>2023</c:v>
                </c:pt>
              </c:strCache>
            </c:strRef>
          </c:tx>
          <c:spPr>
            <a:solidFill>
              <a:schemeClr val="accent5"/>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Лист1!$D$2:$D$4</c:f>
              <c:numCache>
                <c:formatCode>General</c:formatCode>
                <c:ptCount val="3"/>
                <c:pt idx="0">
                  <c:v>0.68</c:v>
                </c:pt>
                <c:pt idx="1">
                  <c:v>0.71</c:v>
                </c:pt>
                <c:pt idx="2">
                  <c:v>0.62</c:v>
                </c:pt>
              </c:numCache>
            </c:numRef>
          </c:val>
          <c:extLst xmlns:c16r2="http://schemas.microsoft.com/office/drawing/2015/06/chart">
            <c:ext xmlns:c16="http://schemas.microsoft.com/office/drawing/2014/chart" uri="{C3380CC4-5D6E-409C-BE32-E72D297353CC}">
              <c16:uniqueId val="{00000002-C1D5-4852-B114-6C063B351B55}"/>
            </c:ext>
          </c:extLst>
        </c:ser>
        <c:ser>
          <c:idx val="3"/>
          <c:order val="3"/>
          <c:tx>
            <c:strRef>
              <c:f>Лист1!$E$1</c:f>
              <c:strCache>
                <c:ptCount val="1"/>
                <c:pt idx="0">
                  <c:v>2024</c:v>
                </c:pt>
              </c:strCache>
            </c:strRef>
          </c:tx>
          <c:spPr>
            <a:solidFill>
              <a:schemeClr val="accent5">
                <a:tint val="77000"/>
              </a:schemeClr>
            </a:solidFill>
            <a:ln>
              <a:noFill/>
            </a:ln>
            <a:effectLst/>
          </c:spPr>
          <c:invertIfNegative val="0"/>
          <c:dLbls>
            <c:dLbl>
              <c:idx val="0"/>
              <c:layout>
                <c:manualLayout>
                  <c:x val="3.2407407407407406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1D5-4852-B114-6C063B351B55}"/>
                </c:ext>
              </c:extLst>
            </c:dLbl>
            <c:dLbl>
              <c:idx val="1"/>
              <c:layout>
                <c:manualLayout>
                  <c:x val="3.7037037037037035E-2"/>
                  <c:y val="-3.96825396825396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1D5-4852-B114-6C063B351B55}"/>
                </c:ext>
              </c:extLst>
            </c:dLbl>
            <c:dLbl>
              <c:idx val="2"/>
              <c:layout>
                <c:manualLayout>
                  <c:x val="3.472222222222214E-2"/>
                  <c:y val="-3.968253968253969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1D5-4852-B114-6C063B351B55}"/>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5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cat>
            <c:strRef>
              <c:f>Лист1!$A$2:$A$4</c:f>
              <c:strCache>
                <c:ptCount val="3"/>
                <c:pt idx="0">
                  <c:v>Kernel</c:v>
                </c:pt>
                <c:pt idx="1">
                  <c:v>МХП</c:v>
                </c:pt>
                <c:pt idx="2">
                  <c:v>Astarta-Kyiv</c:v>
                </c:pt>
              </c:strCache>
            </c:strRef>
          </c:cat>
          <c:val>
            <c:numRef>
              <c:f>Лист1!$E$2:$E$4</c:f>
              <c:numCache>
                <c:formatCode>General</c:formatCode>
                <c:ptCount val="3"/>
                <c:pt idx="0">
                  <c:v>0.74</c:v>
                </c:pt>
                <c:pt idx="1">
                  <c:v>0.76</c:v>
                </c:pt>
                <c:pt idx="2">
                  <c:v>0.69</c:v>
                </c:pt>
              </c:numCache>
            </c:numRef>
          </c:val>
          <c:extLst xmlns:c16r2="http://schemas.microsoft.com/office/drawing/2015/06/chart">
            <c:ext xmlns:c16="http://schemas.microsoft.com/office/drawing/2014/chart" uri="{C3380CC4-5D6E-409C-BE32-E72D297353CC}">
              <c16:uniqueId val="{00000006-C1D5-4852-B114-6C063B351B55}"/>
            </c:ext>
          </c:extLst>
        </c:ser>
        <c:ser>
          <c:idx val="4"/>
          <c:order val="4"/>
          <c:tx>
            <c:strRef>
              <c:f>Лист1!$F$1</c:f>
              <c:strCache>
                <c:ptCount val="1"/>
                <c:pt idx="0">
                  <c:v>2025</c:v>
                </c:pt>
              </c:strCache>
            </c:strRef>
          </c:tx>
          <c:spPr>
            <a:solidFill>
              <a:schemeClr val="accent5">
                <a:tint val="54000"/>
              </a:schemeClr>
            </a:solidFill>
            <a:ln>
              <a:noFill/>
            </a:ln>
            <a:effectLst/>
          </c:spPr>
          <c:invertIfNegative val="0"/>
          <c:cat>
            <c:strRef>
              <c:f>Лист1!$A$2:$A$4</c:f>
              <c:strCache>
                <c:ptCount val="3"/>
                <c:pt idx="0">
                  <c:v>Kernel</c:v>
                </c:pt>
                <c:pt idx="1">
                  <c:v>МХП</c:v>
                </c:pt>
                <c:pt idx="2">
                  <c:v>Astarta-Kyiv</c:v>
                </c:pt>
              </c:strCache>
            </c:strRef>
          </c:cat>
          <c:val>
            <c:numRef>
              <c:f>Лист1!$F$2:$F$4</c:f>
              <c:numCache>
                <c:formatCode>General</c:formatCode>
                <c:ptCount val="3"/>
                <c:pt idx="0">
                  <c:v>0.78</c:v>
                </c:pt>
                <c:pt idx="1">
                  <c:v>0.81</c:v>
                </c:pt>
                <c:pt idx="2">
                  <c:v>0.73</c:v>
                </c:pt>
              </c:numCache>
            </c:numRef>
          </c:val>
          <c:extLst xmlns:c16r2="http://schemas.microsoft.com/office/drawing/2015/06/chart">
            <c:ext xmlns:c16="http://schemas.microsoft.com/office/drawing/2014/chart" uri="{C3380CC4-5D6E-409C-BE32-E72D297353CC}">
              <c16:uniqueId val="{00000007-C1D5-4852-B114-6C063B351B55}"/>
            </c:ext>
          </c:extLst>
        </c:ser>
        <c:dLbls>
          <c:showLegendKey val="0"/>
          <c:showVal val="0"/>
          <c:showCatName val="0"/>
          <c:showSerName val="0"/>
          <c:showPercent val="0"/>
          <c:showBubbleSize val="0"/>
        </c:dLbls>
        <c:gapWidth val="150"/>
        <c:axId val="359023360"/>
        <c:axId val="359024896"/>
      </c:barChart>
      <c:catAx>
        <c:axId val="359023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9024896"/>
        <c:crosses val="autoZero"/>
        <c:auto val="1"/>
        <c:lblAlgn val="ctr"/>
        <c:lblOffset val="100"/>
        <c:noMultiLvlLbl val="0"/>
      </c:catAx>
      <c:valAx>
        <c:axId val="359024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9023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5250457252515634E-2"/>
          <c:y val="1.5285575178808864E-2"/>
          <c:w val="0.89772531446447101"/>
          <c:h val="0.64374868395687834"/>
        </c:manualLayout>
      </c:layout>
      <c:bar3DChart>
        <c:barDir val="col"/>
        <c:grouping val="clustered"/>
        <c:varyColors val="0"/>
        <c:ser>
          <c:idx val="0"/>
          <c:order val="0"/>
          <c:tx>
            <c:strRef>
              <c:f>Лист1!$B$1</c:f>
              <c:strCache>
                <c:ptCount val="1"/>
                <c:pt idx="0">
                  <c:v>2021 р.</c:v>
                </c:pt>
              </c:strCache>
            </c:strRef>
          </c:tx>
          <c:spPr>
            <a:solidFill>
              <a:schemeClr val="accent5">
                <a:shade val="53000"/>
              </a:schemeClr>
            </a:solidFill>
            <a:ln>
              <a:noFill/>
            </a:ln>
            <a:effectLst/>
            <a:sp3d/>
          </c:spPr>
          <c:invertIfNegative val="0"/>
          <c:dLbls>
            <c:dLbl>
              <c:idx val="0"/>
              <c:layout>
                <c:manualLayout>
                  <c:x val="5.5092624474898299E-3"/>
                  <c:y val="-7.281858129315761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B13-4D95-A213-E92E9F4EA804}"/>
                </c:ext>
              </c:extLst>
            </c:dLbl>
            <c:dLbl>
              <c:idx val="1"/>
              <c:layout>
                <c:manualLayout>
                  <c:x val="2.754631223744921E-3"/>
                  <c:y val="-4.26867545511613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B13-4D95-A213-E92E9F4EA804}"/>
                </c:ext>
              </c:extLst>
            </c:dLbl>
            <c:dLbl>
              <c:idx val="2"/>
              <c:layout>
                <c:manualLayout>
                  <c:x val="0"/>
                  <c:y val="-7.281858129315761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B13-4D95-A213-E92E9F4EA804}"/>
                </c:ext>
              </c:extLst>
            </c:dLbl>
            <c:dLbl>
              <c:idx val="3"/>
              <c:layout>
                <c:manualLayout>
                  <c:x val="8.2638936712347635E-3"/>
                  <c:y val="-3.01318267419962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B13-4D95-A213-E92E9F4EA804}"/>
                </c:ext>
              </c:extLst>
            </c:dLbl>
            <c:dLbl>
              <c:idx val="7"/>
              <c:layout>
                <c:manualLayout>
                  <c:x val="0"/>
                  <c:y val="-3.515379786566227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B13-4D95-A213-E92E9F4EA804}"/>
                </c:ext>
              </c:extLst>
            </c:dLbl>
            <c:dLbl>
              <c:idx val="9"/>
              <c:layout>
                <c:manualLayout>
                  <c:x val="-5.5092624474899436E-3"/>
                  <c:y val="-6.528562460765850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B13-4D95-A213-E92E9F4EA804}"/>
                </c:ext>
              </c:extLst>
            </c:dLbl>
            <c:dLbl>
              <c:idx val="10"/>
              <c:layout>
                <c:manualLayout>
                  <c:x val="-4.1319468356173818E-3"/>
                  <c:y val="-2.259887005649717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3B13-4D95-A213-E92E9F4EA804}"/>
                </c:ext>
              </c:extLst>
            </c:dLbl>
            <c:dLbl>
              <c:idx val="11"/>
              <c:layout>
                <c:manualLayout>
                  <c:x val="-4.1319468356173818E-3"/>
                  <c:y val="-6.026365348399246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3B13-4D95-A213-E92E9F4EA804}"/>
                </c:ext>
              </c:extLst>
            </c:dLbl>
            <c:dLbl>
              <c:idx val="15"/>
              <c:layout>
                <c:manualLayout>
                  <c:x val="9.6412092831072247E-3"/>
                  <c:y val="-3.01318267419962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B13-4D95-A213-E92E9F4EA804}"/>
                </c:ext>
              </c:extLst>
            </c:dLbl>
            <c:dLbl>
              <c:idx val="18"/>
              <c:layout>
                <c:manualLayout>
                  <c:x val="1.5150471730597066E-2"/>
                  <c:y val="-4.017576898932831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B13-4D95-A213-E92E9F4EA80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Лист1!$A$2:$A$20</c:f>
              <c:strCache>
                <c:ptCount val="19"/>
                <c:pt idx="0">
                  <c:v>Сільське, лісове та рибне господарство</c:v>
                </c:pt>
                <c:pt idx="1">
                  <c:v>Добувна промисловість і розроблення кар'єрів</c:v>
                </c:pt>
                <c:pt idx="2">
                  <c:v>Переробна промисловість</c:v>
                </c:pt>
                <c:pt idx="3">
                  <c:v>Постачання електроенергії, газу, пари</c:v>
                </c:pt>
                <c:pt idx="4">
                  <c:v>Водопостачання; каналізація</c:v>
                </c:pt>
                <c:pt idx="5">
                  <c:v>Будівництво</c:v>
                </c:pt>
                <c:pt idx="6">
                  <c:v>Оптова та роздрібна торгівля; ремонт</c:v>
                </c:pt>
                <c:pt idx="7">
                  <c:v>Транспорт, складське госп-во, поштова діяльність</c:v>
                </c:pt>
                <c:pt idx="8">
                  <c:v>Тимчасове розміщування й організація харчування</c:v>
                </c:pt>
                <c:pt idx="9">
                  <c:v>Інформація та телекомунікації</c:v>
                </c:pt>
                <c:pt idx="10">
                  <c:v>Фінансова та страхова діяльність</c:v>
                </c:pt>
                <c:pt idx="11">
                  <c:v>Операції з нерухомим майном</c:v>
                </c:pt>
                <c:pt idx="12">
                  <c:v>Професійна, наукова та технічна діяльність</c:v>
                </c:pt>
                <c:pt idx="13">
                  <c:v>Діяльність у сфері адміністративного обслуговування</c:v>
                </c:pt>
                <c:pt idx="14">
                  <c:v>Державне управління; соцстрахування</c:v>
                </c:pt>
                <c:pt idx="15">
                  <c:v>Освіта</c:v>
                </c:pt>
                <c:pt idx="16">
                  <c:v>Охорона здоров'я та соціальна допомога</c:v>
                </c:pt>
                <c:pt idx="17">
                  <c:v>Мистецтво, спорт, розваги та відпочинок</c:v>
                </c:pt>
                <c:pt idx="18">
                  <c:v>Надання інших видів послуг</c:v>
                </c:pt>
              </c:strCache>
            </c:strRef>
          </c:cat>
          <c:val>
            <c:numRef>
              <c:f>Лист1!$B$2:$B$20</c:f>
              <c:numCache>
                <c:formatCode>General</c:formatCode>
                <c:ptCount val="19"/>
                <c:pt idx="0">
                  <c:v>540.86</c:v>
                </c:pt>
                <c:pt idx="1">
                  <c:v>345.2</c:v>
                </c:pt>
                <c:pt idx="2">
                  <c:v>480.5</c:v>
                </c:pt>
                <c:pt idx="3">
                  <c:v>275.8</c:v>
                </c:pt>
                <c:pt idx="4">
                  <c:v>19.399999999999999</c:v>
                </c:pt>
                <c:pt idx="5">
                  <c:v>83.2</c:v>
                </c:pt>
                <c:pt idx="6">
                  <c:v>775.6</c:v>
                </c:pt>
                <c:pt idx="7">
                  <c:v>271.8</c:v>
                </c:pt>
                <c:pt idx="8">
                  <c:v>36.1</c:v>
                </c:pt>
                <c:pt idx="9">
                  <c:v>248.1</c:v>
                </c:pt>
                <c:pt idx="10">
                  <c:v>187.6</c:v>
                </c:pt>
                <c:pt idx="11">
                  <c:v>283.39999999999998</c:v>
                </c:pt>
                <c:pt idx="12">
                  <c:v>119.2</c:v>
                </c:pt>
                <c:pt idx="13">
                  <c:v>64.5</c:v>
                </c:pt>
                <c:pt idx="14">
                  <c:v>947.4</c:v>
                </c:pt>
                <c:pt idx="15">
                  <c:v>267.39999999999998</c:v>
                </c:pt>
                <c:pt idx="16">
                  <c:v>180.5</c:v>
                </c:pt>
                <c:pt idx="17">
                  <c:v>31.3</c:v>
                </c:pt>
                <c:pt idx="18">
                  <c:v>51.1</c:v>
                </c:pt>
              </c:numCache>
            </c:numRef>
          </c:val>
          <c:extLst xmlns:c16r2="http://schemas.microsoft.com/office/drawing/2015/06/chart">
            <c:ext xmlns:c16="http://schemas.microsoft.com/office/drawing/2014/chart" uri="{C3380CC4-5D6E-409C-BE32-E72D297353CC}">
              <c16:uniqueId val="{0000000A-3B13-4D95-A213-E92E9F4EA804}"/>
            </c:ext>
          </c:extLst>
        </c:ser>
        <c:ser>
          <c:idx val="1"/>
          <c:order val="1"/>
          <c:tx>
            <c:strRef>
              <c:f>Лист1!$C$1</c:f>
              <c:strCache>
                <c:ptCount val="1"/>
                <c:pt idx="0">
                  <c:v>2022 р.</c:v>
                </c:pt>
              </c:strCache>
            </c:strRef>
          </c:tx>
          <c:spPr>
            <a:solidFill>
              <a:schemeClr val="accent5">
                <a:shade val="76000"/>
              </a:schemeClr>
            </a:solidFill>
            <a:ln>
              <a:noFill/>
            </a:ln>
            <a:effectLst/>
            <a:sp3d/>
          </c:spPr>
          <c:invertIfNegative val="0"/>
          <c:dLbls>
            <c:dLbl>
              <c:idx val="0"/>
              <c:layout>
                <c:manualLayout>
                  <c:x val="-2.754631223744921E-3"/>
                  <c:y val="-2.008788449466415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3B13-4D95-A213-E92E9F4EA804}"/>
                </c:ext>
              </c:extLst>
            </c:dLbl>
            <c:dLbl>
              <c:idx val="2"/>
              <c:layout>
                <c:manualLayout>
                  <c:x val="-5.5092624474898421E-3"/>
                  <c:y val="-4.26867545511613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3B13-4D95-A213-E92E9F4EA804}"/>
                </c:ext>
              </c:extLst>
            </c:dLbl>
            <c:dLbl>
              <c:idx val="4"/>
              <c:layout>
                <c:manualLayout>
                  <c:x val="-2.7546312237449718E-3"/>
                  <c:y val="-3.264281230382925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3B13-4D95-A213-E92E9F4EA804}"/>
                </c:ext>
              </c:extLst>
            </c:dLbl>
            <c:dLbl>
              <c:idx val="5"/>
              <c:layout>
                <c:manualLayout>
                  <c:x val="-4.1319468356173818E-3"/>
                  <c:y val="1.757689893283113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3B13-4D95-A213-E92E9F4EA804}"/>
                </c:ext>
              </c:extLst>
            </c:dLbl>
            <c:dLbl>
              <c:idx val="7"/>
              <c:layout>
                <c:manualLayout>
                  <c:x val="0"/>
                  <c:y val="1.00439422473319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3B13-4D95-A213-E92E9F4EA804}"/>
                </c:ext>
              </c:extLst>
            </c:dLbl>
            <c:dLbl>
              <c:idx val="8"/>
              <c:layout>
                <c:manualLayout>
                  <c:x val="-8.2638936712347635E-3"/>
                  <c:y val="-3.515379786566227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3B13-4D95-A213-E92E9F4EA804}"/>
                </c:ext>
              </c:extLst>
            </c:dLbl>
            <c:dLbl>
              <c:idx val="11"/>
              <c:layout>
                <c:manualLayout>
                  <c:x val="-1.3773156118724605E-3"/>
                  <c:y val="-3.264281230382934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3B13-4D95-A213-E92E9F4EA804}"/>
                </c:ext>
              </c:extLst>
            </c:dLbl>
            <c:dLbl>
              <c:idx val="12"/>
              <c:layout>
                <c:manualLayout>
                  <c:x val="5.5092624474898421E-3"/>
                  <c:y val="-6.277463904582548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3B13-4D95-A213-E92E9F4EA804}"/>
                </c:ext>
              </c:extLst>
            </c:dLbl>
            <c:dLbl>
              <c:idx val="13"/>
              <c:layout>
                <c:manualLayout>
                  <c:x val="-2.754631223744921E-3"/>
                  <c:y val="-0.1004394224733208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3B13-4D95-A213-E92E9F4EA804}"/>
                </c:ext>
              </c:extLst>
            </c:dLbl>
            <c:dLbl>
              <c:idx val="15"/>
              <c:layout>
                <c:manualLayout>
                  <c:x val="4.1319468356173818E-3"/>
                  <c:y val="-8.28625235404896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3B13-4D95-A213-E92E9F4EA804}"/>
                </c:ext>
              </c:extLst>
            </c:dLbl>
            <c:dLbl>
              <c:idx val="16"/>
              <c:layout>
                <c:manualLayout>
                  <c:x val="-1.0100197808717741E-16"/>
                  <c:y val="-0.102950408035153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3B13-4D95-A213-E92E9F4EA804}"/>
                </c:ext>
              </c:extLst>
            </c:dLbl>
            <c:dLbl>
              <c:idx val="17"/>
              <c:layout>
                <c:manualLayout>
                  <c:x val="2.754631223744921E-3"/>
                  <c:y val="-5.273069679849341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3B13-4D95-A213-E92E9F4EA804}"/>
                </c:ext>
              </c:extLst>
            </c:dLbl>
            <c:dLbl>
              <c:idx val="18"/>
              <c:layout>
                <c:manualLayout>
                  <c:x val="1.1018524894979684E-2"/>
                  <c:y val="-9.290646578782171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3B13-4D95-A213-E92E9F4EA80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Лист1!$A$2:$A$20</c:f>
              <c:strCache>
                <c:ptCount val="19"/>
                <c:pt idx="0">
                  <c:v>Сільське, лісове та рибне господарство</c:v>
                </c:pt>
                <c:pt idx="1">
                  <c:v>Добувна промисловість і розроблення кар'єрів</c:v>
                </c:pt>
                <c:pt idx="2">
                  <c:v>Переробна промисловість</c:v>
                </c:pt>
                <c:pt idx="3">
                  <c:v>Постачання електроенергії, газу, пари</c:v>
                </c:pt>
                <c:pt idx="4">
                  <c:v>Водопостачання; каналізація</c:v>
                </c:pt>
                <c:pt idx="5">
                  <c:v>Будівництво</c:v>
                </c:pt>
                <c:pt idx="6">
                  <c:v>Оптова та роздрібна торгівля; ремонт</c:v>
                </c:pt>
                <c:pt idx="7">
                  <c:v>Транспорт, складське госп-во, поштова діяльність</c:v>
                </c:pt>
                <c:pt idx="8">
                  <c:v>Тимчасове розміщування й організація харчування</c:v>
                </c:pt>
                <c:pt idx="9">
                  <c:v>Інформація та телекомунікації</c:v>
                </c:pt>
                <c:pt idx="10">
                  <c:v>Фінансова та страхова діяльність</c:v>
                </c:pt>
                <c:pt idx="11">
                  <c:v>Операції з нерухомим майном</c:v>
                </c:pt>
                <c:pt idx="12">
                  <c:v>Професійна, наукова та технічна діяльність</c:v>
                </c:pt>
                <c:pt idx="13">
                  <c:v>Діяльність у сфері адміністративного обслуговування</c:v>
                </c:pt>
                <c:pt idx="14">
                  <c:v>Державне управління; соцстрахування</c:v>
                </c:pt>
                <c:pt idx="15">
                  <c:v>Освіта</c:v>
                </c:pt>
                <c:pt idx="16">
                  <c:v>Охорона здоров'я та соціальна допомога</c:v>
                </c:pt>
                <c:pt idx="17">
                  <c:v>Мистецтво, спорт, розваги та відпочинок</c:v>
                </c:pt>
                <c:pt idx="18">
                  <c:v>Надання інших видів послуг</c:v>
                </c:pt>
              </c:strCache>
            </c:strRef>
          </c:cat>
          <c:val>
            <c:numRef>
              <c:f>Лист1!$C$2:$C$20</c:f>
              <c:numCache>
                <c:formatCode>General</c:formatCode>
                <c:ptCount val="19"/>
                <c:pt idx="0">
                  <c:v>449.15</c:v>
                </c:pt>
                <c:pt idx="1">
                  <c:v>229.88</c:v>
                </c:pt>
                <c:pt idx="2">
                  <c:v>398.36</c:v>
                </c:pt>
                <c:pt idx="3">
                  <c:v>229.91</c:v>
                </c:pt>
                <c:pt idx="4">
                  <c:v>16.16</c:v>
                </c:pt>
                <c:pt idx="5">
                  <c:v>69.3</c:v>
                </c:pt>
                <c:pt idx="6">
                  <c:v>645.46</c:v>
                </c:pt>
                <c:pt idx="7">
                  <c:v>226.72</c:v>
                </c:pt>
                <c:pt idx="8">
                  <c:v>30.06</c:v>
                </c:pt>
                <c:pt idx="9">
                  <c:v>206.71</c:v>
                </c:pt>
                <c:pt idx="10">
                  <c:v>156.37</c:v>
                </c:pt>
                <c:pt idx="11">
                  <c:v>236.08</c:v>
                </c:pt>
                <c:pt idx="12">
                  <c:v>99.29</c:v>
                </c:pt>
                <c:pt idx="13">
                  <c:v>53.8</c:v>
                </c:pt>
                <c:pt idx="14">
                  <c:v>1136.94</c:v>
                </c:pt>
                <c:pt idx="15">
                  <c:v>222.86</c:v>
                </c:pt>
                <c:pt idx="16">
                  <c:v>150.43</c:v>
                </c:pt>
                <c:pt idx="17">
                  <c:v>26.11</c:v>
                </c:pt>
                <c:pt idx="18">
                  <c:v>42.62</c:v>
                </c:pt>
              </c:numCache>
            </c:numRef>
          </c:val>
          <c:extLst xmlns:c16r2="http://schemas.microsoft.com/office/drawing/2015/06/chart">
            <c:ext xmlns:c16="http://schemas.microsoft.com/office/drawing/2014/chart" uri="{C3380CC4-5D6E-409C-BE32-E72D297353CC}">
              <c16:uniqueId val="{00000018-3B13-4D95-A213-E92E9F4EA804}"/>
            </c:ext>
          </c:extLst>
        </c:ser>
        <c:ser>
          <c:idx val="2"/>
          <c:order val="2"/>
          <c:tx>
            <c:strRef>
              <c:f>Лист1!$D$1</c:f>
              <c:strCache>
                <c:ptCount val="1"/>
                <c:pt idx="0">
                  <c:v>2023 р.</c:v>
                </c:pt>
              </c:strCache>
            </c:strRef>
          </c:tx>
          <c:spPr>
            <a:solidFill>
              <a:schemeClr val="accent5"/>
            </a:solidFill>
            <a:ln>
              <a:noFill/>
            </a:ln>
            <a:effectLst/>
            <a:sp3d/>
          </c:spPr>
          <c:invertIfNegative val="0"/>
          <c:dLbls>
            <c:dLbl>
              <c:idx val="0"/>
              <c:layout>
                <c:manualLayout>
                  <c:x val="-5.5092624474898421E-3"/>
                  <c:y val="-3.766478342749528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9-3B13-4D95-A213-E92E9F4EA804}"/>
                </c:ext>
              </c:extLst>
            </c:dLbl>
            <c:dLbl>
              <c:idx val="1"/>
              <c:layout>
                <c:manualLayout>
                  <c:x val="-9.6412092831072247E-3"/>
                  <c:y val="-8.28625235404896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A-3B13-4D95-A213-E92E9F4EA804}"/>
                </c:ext>
              </c:extLst>
            </c:dLbl>
            <c:dLbl>
              <c:idx val="2"/>
              <c:layout>
                <c:manualLayout>
                  <c:x val="-1.5150471730597092E-2"/>
                  <c:y val="-9.039548022598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B-3B13-4D95-A213-E92E9F4EA804}"/>
                </c:ext>
              </c:extLst>
            </c:dLbl>
            <c:dLbl>
              <c:idx val="3"/>
              <c:layout>
                <c:manualLayout>
                  <c:x val="9.6412092831072247E-3"/>
                  <c:y val="-5.273069679849341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C-3B13-4D95-A213-E92E9F4EA804}"/>
                </c:ext>
              </c:extLst>
            </c:dLbl>
            <c:dLbl>
              <c:idx val="4"/>
              <c:layout>
                <c:manualLayout>
                  <c:x val="0"/>
                  <c:y val="-5.524168236032651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D-3B13-4D95-A213-E92E9F4EA804}"/>
                </c:ext>
              </c:extLst>
            </c:dLbl>
            <c:dLbl>
              <c:idx val="5"/>
              <c:layout>
                <c:manualLayout>
                  <c:x val="-4.1319468356173818E-3"/>
                  <c:y val="-4.268675455116133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E-3B13-4D95-A213-E92E9F4EA804}"/>
                </c:ext>
              </c:extLst>
            </c:dLbl>
            <c:dLbl>
              <c:idx val="7"/>
              <c:layout>
                <c:manualLayout>
                  <c:x val="5.0500989043588707E-17"/>
                  <c:y val="-5.021971123666038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F-3B13-4D95-A213-E92E9F4EA804}"/>
                </c:ext>
              </c:extLst>
            </c:dLbl>
            <c:dLbl>
              <c:idx val="8"/>
              <c:layout>
                <c:manualLayout>
                  <c:x val="-1.377315611872511E-3"/>
                  <c:y val="-9.290646578782171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0-3B13-4D95-A213-E92E9F4EA804}"/>
                </c:ext>
              </c:extLst>
            </c:dLbl>
            <c:dLbl>
              <c:idx val="10"/>
              <c:layout>
                <c:manualLayout>
                  <c:x val="-4.1319468356173818E-3"/>
                  <c:y val="2.762084118016321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1-3B13-4D95-A213-E92E9F4EA804}"/>
                </c:ext>
              </c:extLst>
            </c:dLbl>
            <c:dLbl>
              <c:idx val="11"/>
              <c:layout>
                <c:manualLayout>
                  <c:x val="-1.1018524894979684E-2"/>
                  <c:y val="-9.541745134965473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2-3B13-4D95-A213-E92E9F4EA804}"/>
                </c:ext>
              </c:extLst>
            </c:dLbl>
            <c:dLbl>
              <c:idx val="12"/>
              <c:layout>
                <c:manualLayout>
                  <c:x val="-6.8865780593623032E-3"/>
                  <c:y val="-9.039548022598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3-3B13-4D95-A213-E92E9F4EA804}"/>
                </c:ext>
              </c:extLst>
            </c:dLbl>
            <c:dLbl>
              <c:idx val="13"/>
              <c:layout>
                <c:manualLayout>
                  <c:x val="-8.2638936712347635E-3"/>
                  <c:y val="-0.1431261770244822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4-3B13-4D95-A213-E92E9F4EA804}"/>
                </c:ext>
              </c:extLst>
            </c:dLbl>
            <c:dLbl>
              <c:idx val="15"/>
              <c:layout>
                <c:manualLayout>
                  <c:x val="-2.7546312237450221E-3"/>
                  <c:y val="-1.255492780916509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5-3B13-4D95-A213-E92E9F4EA804}"/>
                </c:ext>
              </c:extLst>
            </c:dLbl>
            <c:dLbl>
              <c:idx val="16"/>
              <c:layout>
                <c:manualLayout>
                  <c:x val="-5.5092624474898421E-3"/>
                  <c:y val="-0.12554927809165106"/>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6-3B13-4D95-A213-E92E9F4EA804}"/>
                </c:ext>
              </c:extLst>
            </c:dLbl>
            <c:dLbl>
              <c:idx val="17"/>
              <c:layout>
                <c:manualLayout>
                  <c:x val="-1.3773156118725616E-3"/>
                  <c:y val="-0.16321406151914636"/>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7-3B13-4D95-A213-E92E9F4EA804}"/>
                </c:ext>
              </c:extLst>
            </c:dLbl>
            <c:dLbl>
              <c:idx val="18"/>
              <c:layout>
                <c:manualLayout>
                  <c:x val="1.3773156118723595E-3"/>
                  <c:y val="-0.1330822347771500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8-3B13-4D95-A213-E92E9F4EA80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Лист1!$A$2:$A$20</c:f>
              <c:strCache>
                <c:ptCount val="19"/>
                <c:pt idx="0">
                  <c:v>Сільське, лісове та рибне господарство</c:v>
                </c:pt>
                <c:pt idx="1">
                  <c:v>Добувна промисловість і розроблення кар'єрів</c:v>
                </c:pt>
                <c:pt idx="2">
                  <c:v>Переробна промисловість</c:v>
                </c:pt>
                <c:pt idx="3">
                  <c:v>Постачання електроенергії, газу, пари</c:v>
                </c:pt>
                <c:pt idx="4">
                  <c:v>Водопостачання; каналізація</c:v>
                </c:pt>
                <c:pt idx="5">
                  <c:v>Будівництво</c:v>
                </c:pt>
                <c:pt idx="6">
                  <c:v>Оптова та роздрібна торгівля; ремонт</c:v>
                </c:pt>
                <c:pt idx="7">
                  <c:v>Транспорт, складське госп-во, поштова діяльність</c:v>
                </c:pt>
                <c:pt idx="8">
                  <c:v>Тимчасове розміщування й організація харчування</c:v>
                </c:pt>
                <c:pt idx="9">
                  <c:v>Інформація та телекомунікації</c:v>
                </c:pt>
                <c:pt idx="10">
                  <c:v>Фінансова та страхова діяльність</c:v>
                </c:pt>
                <c:pt idx="11">
                  <c:v>Операції з нерухомим майном</c:v>
                </c:pt>
                <c:pt idx="12">
                  <c:v>Професійна, наукова та технічна діяльність</c:v>
                </c:pt>
                <c:pt idx="13">
                  <c:v>Діяльність у сфері адміністративного обслуговування</c:v>
                </c:pt>
                <c:pt idx="14">
                  <c:v>Державне управління; соцстрахування</c:v>
                </c:pt>
                <c:pt idx="15">
                  <c:v>Освіта</c:v>
                </c:pt>
                <c:pt idx="16">
                  <c:v>Охорона здоров'я та соціальна допомога</c:v>
                </c:pt>
                <c:pt idx="17">
                  <c:v>Мистецтво, спорт, розваги та відпочинок</c:v>
                </c:pt>
                <c:pt idx="18">
                  <c:v>Надання інших видів послуг</c:v>
                </c:pt>
              </c:strCache>
            </c:strRef>
          </c:cat>
          <c:val>
            <c:numRef>
              <c:f>Лист1!$D$2:$D$20</c:f>
              <c:numCache>
                <c:formatCode>General</c:formatCode>
                <c:ptCount val="19"/>
                <c:pt idx="0">
                  <c:v>500.54</c:v>
                </c:pt>
                <c:pt idx="1">
                  <c:v>283.5</c:v>
                </c:pt>
                <c:pt idx="2">
                  <c:v>550.96</c:v>
                </c:pt>
                <c:pt idx="3">
                  <c:v>308.94</c:v>
                </c:pt>
                <c:pt idx="4">
                  <c:v>17.78</c:v>
                </c:pt>
                <c:pt idx="5">
                  <c:v>103.88</c:v>
                </c:pt>
                <c:pt idx="6">
                  <c:v>865.7</c:v>
                </c:pt>
                <c:pt idx="7">
                  <c:v>289.2</c:v>
                </c:pt>
                <c:pt idx="8">
                  <c:v>42.45</c:v>
                </c:pt>
                <c:pt idx="9">
                  <c:v>264.73</c:v>
                </c:pt>
                <c:pt idx="10">
                  <c:v>166.32</c:v>
                </c:pt>
                <c:pt idx="11">
                  <c:v>318.98</c:v>
                </c:pt>
                <c:pt idx="12">
                  <c:v>134.65</c:v>
                </c:pt>
                <c:pt idx="13">
                  <c:v>63.26</c:v>
                </c:pt>
                <c:pt idx="14">
                  <c:v>1420</c:v>
                </c:pt>
                <c:pt idx="15">
                  <c:v>217.84</c:v>
                </c:pt>
                <c:pt idx="16">
                  <c:v>181.14</c:v>
                </c:pt>
                <c:pt idx="17">
                  <c:v>39.56</c:v>
                </c:pt>
                <c:pt idx="18">
                  <c:v>53.27</c:v>
                </c:pt>
              </c:numCache>
            </c:numRef>
          </c:val>
          <c:extLst xmlns:c16r2="http://schemas.microsoft.com/office/drawing/2015/06/chart">
            <c:ext xmlns:c16="http://schemas.microsoft.com/office/drawing/2014/chart" uri="{C3380CC4-5D6E-409C-BE32-E72D297353CC}">
              <c16:uniqueId val="{00000029-3B13-4D95-A213-E92E9F4EA804}"/>
            </c:ext>
          </c:extLst>
        </c:ser>
        <c:ser>
          <c:idx val="3"/>
          <c:order val="3"/>
          <c:tx>
            <c:strRef>
              <c:f>Лист1!$E$1</c:f>
              <c:strCache>
                <c:ptCount val="1"/>
                <c:pt idx="0">
                  <c:v>2024 р.</c:v>
                </c:pt>
              </c:strCache>
            </c:strRef>
          </c:tx>
          <c:spPr>
            <a:solidFill>
              <a:schemeClr val="accent5">
                <a:tint val="77000"/>
              </a:schemeClr>
            </a:solidFill>
            <a:ln>
              <a:noFill/>
            </a:ln>
            <a:effectLst/>
            <a:sp3d/>
          </c:spPr>
          <c:invertIfNegative val="0"/>
          <c:dLbls>
            <c:dLbl>
              <c:idx val="0"/>
              <c:layout>
                <c:manualLayout>
                  <c:x val="2.754631223744921E-3"/>
                  <c:y val="-0.14563716258631512"/>
                </c:manualLayout>
              </c:layout>
              <c:showLegendKey val="0"/>
              <c:showVal val="1"/>
              <c:showCatName val="0"/>
              <c:showSerName val="0"/>
              <c:showPercent val="0"/>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2A-3B13-4D95-A213-E92E9F4EA804}"/>
                </c:ext>
              </c:extLst>
            </c:dLbl>
            <c:dLbl>
              <c:idx val="2"/>
              <c:layout>
                <c:manualLayout>
                  <c:x val="-2.0659734178086909E-2"/>
                  <c:y val="-9.792843691148771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B-3B13-4D95-A213-E92E9F4EA804}"/>
                </c:ext>
              </c:extLst>
            </c:dLbl>
            <c:dLbl>
              <c:idx val="3"/>
              <c:layout>
                <c:manualLayout>
                  <c:x val="-2.7546312237449462E-3"/>
                  <c:y val="-6.779661016949152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C-3B13-4D95-A213-E92E9F4EA804}"/>
                </c:ext>
              </c:extLst>
            </c:dLbl>
            <c:dLbl>
              <c:idx val="4"/>
              <c:layout>
                <c:manualLayout>
                  <c:x val="-9.6412092831072247E-3"/>
                  <c:y val="-9.0395480225988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D-3B13-4D95-A213-E92E9F4EA804}"/>
                </c:ext>
              </c:extLst>
            </c:dLbl>
            <c:dLbl>
              <c:idx val="5"/>
              <c:layout>
                <c:manualLayout>
                  <c:x val="-1.1018524894979684E-2"/>
                  <c:y val="-7.03075957313246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E-3B13-4D95-A213-E92E9F4EA804}"/>
                </c:ext>
              </c:extLst>
            </c:dLbl>
            <c:dLbl>
              <c:idx val="6"/>
              <c:layout>
                <c:manualLayout>
                  <c:x val="-1.9282418566214449E-2"/>
                  <c:y val="-1.255492780916509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2F-3B13-4D95-A213-E92E9F4EA804}"/>
                </c:ext>
              </c:extLst>
            </c:dLbl>
            <c:dLbl>
              <c:idx val="7"/>
              <c:layout>
                <c:manualLayout>
                  <c:x val="2.754631223744921E-3"/>
                  <c:y val="-6.528562460765850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0-3B13-4D95-A213-E92E9F4EA804}"/>
                </c:ext>
              </c:extLst>
            </c:dLbl>
            <c:dLbl>
              <c:idx val="8"/>
              <c:layout>
                <c:manualLayout>
                  <c:x val="-2.203704978995942E-2"/>
                  <c:y val="-0.1305712492153170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1-3B13-4D95-A213-E92E9F4EA804}"/>
                </c:ext>
              </c:extLst>
            </c:dLbl>
            <c:dLbl>
              <c:idx val="9"/>
              <c:layout>
                <c:manualLayout>
                  <c:x val="0"/>
                  <c:y val="-8.788449466415568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2-3B13-4D95-A213-E92E9F4EA804}"/>
                </c:ext>
              </c:extLst>
            </c:dLbl>
            <c:dLbl>
              <c:idx val="10"/>
              <c:layout>
                <c:manualLayout>
                  <c:x val="-1.6527787342469527E-2"/>
                  <c:y val="-3.766478342749528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3-3B13-4D95-A213-E92E9F4EA804}"/>
                </c:ext>
              </c:extLst>
            </c:dLbl>
            <c:dLbl>
              <c:idx val="11"/>
              <c:layout>
                <c:manualLayout>
                  <c:x val="-6.8865780593624039E-3"/>
                  <c:y val="-8.537350910232274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4-3B13-4D95-A213-E92E9F4EA804}"/>
                </c:ext>
              </c:extLst>
            </c:dLbl>
            <c:dLbl>
              <c:idx val="12"/>
              <c:layout>
                <c:manualLayout>
                  <c:x val="4.1319468356173818E-3"/>
                  <c:y val="-0.12303829252981795"/>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5-3B13-4D95-A213-E92E9F4EA804}"/>
                </c:ext>
              </c:extLst>
            </c:dLbl>
            <c:dLbl>
              <c:idx val="13"/>
              <c:layout>
                <c:manualLayout>
                  <c:x val="-1.3773156118724707E-2"/>
                  <c:y val="-0.31136220966729439"/>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6-3B13-4D95-A213-E92E9F4EA804}"/>
                </c:ext>
              </c:extLst>
            </c:dLbl>
            <c:dLbl>
              <c:idx val="15"/>
              <c:layout>
                <c:manualLayout>
                  <c:x val="-1.2395840506852145E-2"/>
                  <c:y val="-0.1330822347771500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7-3B13-4D95-A213-E92E9F4EA804}"/>
                </c:ext>
              </c:extLst>
            </c:dLbl>
            <c:dLbl>
              <c:idx val="16"/>
              <c:layout>
                <c:manualLayout>
                  <c:x val="-6.8865780593623032E-3"/>
                  <c:y val="-0.1607030759573133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8-3B13-4D95-A213-E92E9F4EA804}"/>
                </c:ext>
              </c:extLst>
            </c:dLbl>
            <c:dLbl>
              <c:idx val="17"/>
              <c:layout>
                <c:manualLayout>
                  <c:x val="-5.5092624474900442E-3"/>
                  <c:y val="-0.1180163214061519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9-3B13-4D95-A213-E92E9F4EA804}"/>
                </c:ext>
              </c:extLst>
            </c:dLbl>
            <c:dLbl>
              <c:idx val="18"/>
              <c:layout>
                <c:manualLayout>
                  <c:x val="2.754631223744921E-3"/>
                  <c:y val="-0.1682360326428123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A-3B13-4D95-A213-E92E9F4EA80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Лист1!$A$2:$A$20</c:f>
              <c:strCache>
                <c:ptCount val="19"/>
                <c:pt idx="0">
                  <c:v>Сільське, лісове та рибне господарство</c:v>
                </c:pt>
                <c:pt idx="1">
                  <c:v>Добувна промисловість і розроблення кар'єрів</c:v>
                </c:pt>
                <c:pt idx="2">
                  <c:v>Переробна промисловість</c:v>
                </c:pt>
                <c:pt idx="3">
                  <c:v>Постачання електроенергії, газу, пари</c:v>
                </c:pt>
                <c:pt idx="4">
                  <c:v>Водопостачання; каналізація</c:v>
                </c:pt>
                <c:pt idx="5">
                  <c:v>Будівництво</c:v>
                </c:pt>
                <c:pt idx="6">
                  <c:v>Оптова та роздрібна торгівля; ремонт</c:v>
                </c:pt>
                <c:pt idx="7">
                  <c:v>Транспорт, складське госп-во, поштова діяльність</c:v>
                </c:pt>
                <c:pt idx="8">
                  <c:v>Тимчасове розміщування й організація харчування</c:v>
                </c:pt>
                <c:pt idx="9">
                  <c:v>Інформація та телекомунікації</c:v>
                </c:pt>
                <c:pt idx="10">
                  <c:v>Фінансова та страхова діяльність</c:v>
                </c:pt>
                <c:pt idx="11">
                  <c:v>Операції з нерухомим майном</c:v>
                </c:pt>
                <c:pt idx="12">
                  <c:v>Професійна, наукова та технічна діяльність</c:v>
                </c:pt>
                <c:pt idx="13">
                  <c:v>Діяльність у сфері адміністративного обслуговування</c:v>
                </c:pt>
                <c:pt idx="14">
                  <c:v>Державне управління; соцстрахування</c:v>
                </c:pt>
                <c:pt idx="15">
                  <c:v>Освіта</c:v>
                </c:pt>
                <c:pt idx="16">
                  <c:v>Охорона здоров'я та соціальна допомога</c:v>
                </c:pt>
                <c:pt idx="17">
                  <c:v>Мистецтво, спорт, розваги та відпочинок</c:v>
                </c:pt>
                <c:pt idx="18">
                  <c:v>Надання інших видів послуг</c:v>
                </c:pt>
              </c:strCache>
            </c:strRef>
          </c:cat>
          <c:val>
            <c:numRef>
              <c:f>Лист1!$E$2:$E$20</c:f>
              <c:numCache>
                <c:formatCode>General</c:formatCode>
                <c:ptCount val="19"/>
                <c:pt idx="0">
                  <c:v>544.62</c:v>
                </c:pt>
                <c:pt idx="1">
                  <c:v>307.17</c:v>
                </c:pt>
                <c:pt idx="2">
                  <c:v>644.19000000000005</c:v>
                </c:pt>
                <c:pt idx="3">
                  <c:v>358.5</c:v>
                </c:pt>
                <c:pt idx="4">
                  <c:v>18.75</c:v>
                </c:pt>
                <c:pt idx="5">
                  <c:v>128.44999999999999</c:v>
                </c:pt>
                <c:pt idx="6">
                  <c:v>904.77</c:v>
                </c:pt>
                <c:pt idx="7">
                  <c:v>353.05</c:v>
                </c:pt>
                <c:pt idx="8">
                  <c:v>51.54</c:v>
                </c:pt>
                <c:pt idx="9">
                  <c:v>309.35000000000002</c:v>
                </c:pt>
                <c:pt idx="10">
                  <c:v>232.19</c:v>
                </c:pt>
                <c:pt idx="11">
                  <c:v>403.67</c:v>
                </c:pt>
                <c:pt idx="12">
                  <c:v>155.16999999999999</c:v>
                </c:pt>
                <c:pt idx="13">
                  <c:v>73.17</c:v>
                </c:pt>
                <c:pt idx="14">
                  <c:v>1564.6</c:v>
                </c:pt>
                <c:pt idx="15">
                  <c:v>274.60000000000002</c:v>
                </c:pt>
                <c:pt idx="16">
                  <c:v>205.12</c:v>
                </c:pt>
                <c:pt idx="17">
                  <c:v>51.54</c:v>
                </c:pt>
                <c:pt idx="18">
                  <c:v>63.61</c:v>
                </c:pt>
              </c:numCache>
            </c:numRef>
          </c:val>
          <c:extLst xmlns:c16r2="http://schemas.microsoft.com/office/drawing/2015/06/chart">
            <c:ext xmlns:c16="http://schemas.microsoft.com/office/drawing/2014/chart" uri="{C3380CC4-5D6E-409C-BE32-E72D297353CC}">
              <c16:uniqueId val="{0000003B-3B13-4D95-A213-E92E9F4EA804}"/>
            </c:ext>
          </c:extLst>
        </c:ser>
        <c:ser>
          <c:idx val="4"/>
          <c:order val="4"/>
          <c:tx>
            <c:strRef>
              <c:f>Лист1!$F$1</c:f>
              <c:strCache>
                <c:ptCount val="1"/>
                <c:pt idx="0">
                  <c:v>2025 р.</c:v>
                </c:pt>
              </c:strCache>
            </c:strRef>
          </c:tx>
          <c:spPr>
            <a:solidFill>
              <a:schemeClr val="accent5">
                <a:tint val="54000"/>
              </a:schemeClr>
            </a:solidFill>
            <a:ln>
              <a:noFill/>
            </a:ln>
            <a:effectLst/>
            <a:sp3d/>
          </c:spPr>
          <c:invertIfNegative val="0"/>
          <c:dLbls>
            <c:dLbl>
              <c:idx val="0"/>
              <c:layout>
                <c:manualLayout>
                  <c:x val="8.2638936712347757E-3"/>
                  <c:y val="-0.1054613935969868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C-3B13-4D95-A213-E92E9F4EA804}"/>
                </c:ext>
              </c:extLst>
            </c:dLbl>
            <c:dLbl>
              <c:idx val="1"/>
              <c:layout>
                <c:manualLayout>
                  <c:x val="-1.6527787342469527E-2"/>
                  <c:y val="-0.102950408035153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D-3B13-4D95-A213-E92E9F4EA804}"/>
                </c:ext>
              </c:extLst>
            </c:dLbl>
            <c:dLbl>
              <c:idx val="2"/>
              <c:layout>
                <c:manualLayout>
                  <c:x val="0"/>
                  <c:y val="-0.1079723791588198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E-3B13-4D95-A213-E92E9F4EA804}"/>
                </c:ext>
              </c:extLst>
            </c:dLbl>
            <c:dLbl>
              <c:idx val="3"/>
              <c:layout>
                <c:manualLayout>
                  <c:x val="2.0659734178086909E-2"/>
                  <c:y val="-8.2862523540489647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3F-3B13-4D95-A213-E92E9F4EA804}"/>
                </c:ext>
              </c:extLst>
            </c:dLbl>
            <c:dLbl>
              <c:idx val="4"/>
              <c:layout>
                <c:manualLayout>
                  <c:x val="-8.2638936712347635E-3"/>
                  <c:y val="-0.1255492780916509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0-3B13-4D95-A213-E92E9F4EA804}"/>
                </c:ext>
              </c:extLst>
            </c:dLbl>
            <c:dLbl>
              <c:idx val="5"/>
              <c:layout>
                <c:manualLayout>
                  <c:x val="-4.1319468356174321E-3"/>
                  <c:y val="-0.1004394224733207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1-3B13-4D95-A213-E92E9F4EA804}"/>
                </c:ext>
              </c:extLst>
            </c:dLbl>
            <c:dLbl>
              <c:idx val="6"/>
              <c:layout>
                <c:manualLayout>
                  <c:x val="1.5150471730597016E-2"/>
                  <c:y val="-2.7620841180163214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2-3B13-4D95-A213-E92E9F4EA804}"/>
                </c:ext>
              </c:extLst>
            </c:dLbl>
            <c:dLbl>
              <c:idx val="7"/>
              <c:layout>
                <c:manualLayout>
                  <c:x val="1.1018524894979634E-2"/>
                  <c:y val="-0.11048336472065295"/>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3-3B13-4D95-A213-E92E9F4EA804}"/>
                </c:ext>
              </c:extLst>
            </c:dLbl>
            <c:dLbl>
              <c:idx val="8"/>
              <c:layout>
                <c:manualLayout>
                  <c:x val="-2.0659734178086957E-2"/>
                  <c:y val="-0.1079723791588198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4-3B13-4D95-A213-E92E9F4EA804}"/>
                </c:ext>
              </c:extLst>
            </c:dLbl>
            <c:dLbl>
              <c:idx val="9"/>
              <c:layout>
                <c:manualLayout>
                  <c:x val="1.1018524894979684E-2"/>
                  <c:y val="-0.1079723791588198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5-3B13-4D95-A213-E92E9F4EA804}"/>
                </c:ext>
              </c:extLst>
            </c:dLbl>
            <c:dLbl>
              <c:idx val="10"/>
              <c:layout>
                <c:manualLayout>
                  <c:x val="-2.2037049789959368E-2"/>
                  <c:y val="-5.2730696798493501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6-3B13-4D95-A213-E92E9F4EA804}"/>
                </c:ext>
              </c:extLst>
            </c:dLbl>
            <c:dLbl>
              <c:idx val="11"/>
              <c:layout>
                <c:manualLayout>
                  <c:x val="-1.1018524894979684E-2"/>
                  <c:y val="-9.039548022598874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7-3B13-4D95-A213-E92E9F4EA804}"/>
                </c:ext>
              </c:extLst>
            </c:dLbl>
            <c:dLbl>
              <c:idx val="12"/>
              <c:layout>
                <c:manualLayout>
                  <c:x val="-1.5150471730597066E-2"/>
                  <c:y val="-0.1707470182046453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8-3B13-4D95-A213-E92E9F4EA804}"/>
                </c:ext>
              </c:extLst>
            </c:dLbl>
            <c:dLbl>
              <c:idx val="13"/>
              <c:layout>
                <c:manualLayout>
                  <c:x val="-1.5150471730597066E-2"/>
                  <c:y val="-0.2109227871939736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9-3B13-4D95-A213-E92E9F4EA804}"/>
                </c:ext>
              </c:extLst>
            </c:dLbl>
            <c:dLbl>
              <c:idx val="15"/>
              <c:layout>
                <c:manualLayout>
                  <c:x val="-1.5150471730597066E-2"/>
                  <c:y val="-0.1657250470809793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A-3B13-4D95-A213-E92E9F4EA804}"/>
                </c:ext>
              </c:extLst>
            </c:dLbl>
            <c:dLbl>
              <c:idx val="16"/>
              <c:layout>
                <c:manualLayout>
                  <c:x val="-6.8865780593625045E-3"/>
                  <c:y val="-0.2059008160703076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B-3B13-4D95-A213-E92E9F4EA804}"/>
                </c:ext>
              </c:extLst>
            </c:dLbl>
            <c:dLbl>
              <c:idx val="17"/>
              <c:layout>
                <c:manualLayout>
                  <c:x val="-2.7546312237450221E-3"/>
                  <c:y val="-0.18832391713747645"/>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C-3B13-4D95-A213-E92E9F4EA804}"/>
                </c:ext>
              </c:extLst>
            </c:dLbl>
            <c:dLbl>
              <c:idx val="18"/>
              <c:layout>
                <c:manualLayout>
                  <c:x val="1.1018524894979684E-2"/>
                  <c:y val="-0.1983678593848085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4D-3B13-4D95-A213-E92E9F4EA804}"/>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Лист1!$A$2:$A$20</c:f>
              <c:strCache>
                <c:ptCount val="19"/>
                <c:pt idx="0">
                  <c:v>Сільське, лісове та рибне господарство</c:v>
                </c:pt>
                <c:pt idx="1">
                  <c:v>Добувна промисловість і розроблення кар'єрів</c:v>
                </c:pt>
                <c:pt idx="2">
                  <c:v>Переробна промисловість</c:v>
                </c:pt>
                <c:pt idx="3">
                  <c:v>Постачання електроенергії, газу, пари</c:v>
                </c:pt>
                <c:pt idx="4">
                  <c:v>Водопостачання; каналізація</c:v>
                </c:pt>
                <c:pt idx="5">
                  <c:v>Будівництво</c:v>
                </c:pt>
                <c:pt idx="6">
                  <c:v>Оптова та роздрібна торгівля; ремонт</c:v>
                </c:pt>
                <c:pt idx="7">
                  <c:v>Транспорт, складське госп-во, поштова діяльність</c:v>
                </c:pt>
                <c:pt idx="8">
                  <c:v>Тимчасове розміщування й організація харчування</c:v>
                </c:pt>
                <c:pt idx="9">
                  <c:v>Інформація та телекомунікації</c:v>
                </c:pt>
                <c:pt idx="10">
                  <c:v>Фінансова та страхова діяльність</c:v>
                </c:pt>
                <c:pt idx="11">
                  <c:v>Операції з нерухомим майном</c:v>
                </c:pt>
                <c:pt idx="12">
                  <c:v>Професійна, наукова та технічна діяльність</c:v>
                </c:pt>
                <c:pt idx="13">
                  <c:v>Діяльність у сфері адміністративного обслуговування</c:v>
                </c:pt>
                <c:pt idx="14">
                  <c:v>Державне управління; соцстрахування</c:v>
                </c:pt>
                <c:pt idx="15">
                  <c:v>Освіта</c:v>
                </c:pt>
                <c:pt idx="16">
                  <c:v>Охорона здоров'я та соціальна допомога</c:v>
                </c:pt>
                <c:pt idx="17">
                  <c:v>Мистецтво, спорт, розваги та відпочинок</c:v>
                </c:pt>
                <c:pt idx="18">
                  <c:v>Надання інших видів послуг</c:v>
                </c:pt>
              </c:strCache>
            </c:strRef>
          </c:cat>
          <c:val>
            <c:numRef>
              <c:f>Лист1!$F$2:$F$20</c:f>
              <c:numCache>
                <c:formatCode>General</c:formatCode>
                <c:ptCount val="19"/>
                <c:pt idx="0">
                  <c:v>582.70000000000005</c:v>
                </c:pt>
                <c:pt idx="1">
                  <c:v>328.6</c:v>
                </c:pt>
                <c:pt idx="2">
                  <c:v>721.5</c:v>
                </c:pt>
                <c:pt idx="3">
                  <c:v>394.3</c:v>
                </c:pt>
                <c:pt idx="4">
                  <c:v>20.2</c:v>
                </c:pt>
                <c:pt idx="5">
                  <c:v>147.69999999999999</c:v>
                </c:pt>
                <c:pt idx="6">
                  <c:v>977.1</c:v>
                </c:pt>
                <c:pt idx="7">
                  <c:v>388.4</c:v>
                </c:pt>
                <c:pt idx="8">
                  <c:v>58.7</c:v>
                </c:pt>
                <c:pt idx="9">
                  <c:v>362</c:v>
                </c:pt>
                <c:pt idx="10">
                  <c:v>267</c:v>
                </c:pt>
                <c:pt idx="11">
                  <c:v>452.1</c:v>
                </c:pt>
                <c:pt idx="12">
                  <c:v>178.4</c:v>
                </c:pt>
                <c:pt idx="13">
                  <c:v>82.7</c:v>
                </c:pt>
                <c:pt idx="14">
                  <c:v>1674.1</c:v>
                </c:pt>
                <c:pt idx="15">
                  <c:v>302</c:v>
                </c:pt>
                <c:pt idx="16">
                  <c:v>229.7</c:v>
                </c:pt>
                <c:pt idx="17">
                  <c:v>59.3</c:v>
                </c:pt>
                <c:pt idx="18">
                  <c:v>72.5</c:v>
                </c:pt>
              </c:numCache>
            </c:numRef>
          </c:val>
          <c:extLst xmlns:c16r2="http://schemas.microsoft.com/office/drawing/2015/06/chart">
            <c:ext xmlns:c16="http://schemas.microsoft.com/office/drawing/2014/chart" uri="{C3380CC4-5D6E-409C-BE32-E72D297353CC}">
              <c16:uniqueId val="{0000004E-3B13-4D95-A213-E92E9F4EA804}"/>
            </c:ext>
          </c:extLst>
        </c:ser>
        <c:dLbls>
          <c:showLegendKey val="0"/>
          <c:showVal val="1"/>
          <c:showCatName val="0"/>
          <c:showSerName val="0"/>
          <c:showPercent val="0"/>
          <c:showBubbleSize val="0"/>
        </c:dLbls>
        <c:gapWidth val="150"/>
        <c:shape val="box"/>
        <c:axId val="356969856"/>
        <c:axId val="359773312"/>
        <c:axId val="0"/>
      </c:bar3DChart>
      <c:catAx>
        <c:axId val="3569698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9773312"/>
        <c:crosses val="autoZero"/>
        <c:auto val="0"/>
        <c:lblAlgn val="ctr"/>
        <c:lblOffset val="30"/>
        <c:tickLblSkip val="2"/>
        <c:noMultiLvlLbl val="0"/>
      </c:catAx>
      <c:valAx>
        <c:axId val="359773312"/>
        <c:scaling>
          <c:orientation val="minMax"/>
          <c:max val="17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6969856"/>
        <c:crosses val="autoZero"/>
        <c:crossBetween val="between"/>
      </c:valAx>
      <c:spPr>
        <a:noFill/>
        <a:ln>
          <a:noFill/>
        </a:ln>
        <a:effectLst/>
      </c:spPr>
    </c:plotArea>
    <c:legend>
      <c:legendPos val="b"/>
      <c:layout>
        <c:manualLayout>
          <c:xMode val="edge"/>
          <c:yMode val="edge"/>
          <c:x val="0.33193306246126297"/>
          <c:y val="1.7576898932831136E-2"/>
          <c:w val="0.36325994337822992"/>
          <c:h val="4.5331395722427358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Лист1!$C$23</c:f>
              <c:strCache>
                <c:ptCount val="1"/>
                <c:pt idx="0">
                  <c:v>Технологічний CAPEX (X1​), млн $</c:v>
                </c:pt>
              </c:strCache>
            </c:strRef>
          </c:tx>
          <c:spPr>
            <a:ln w="19050" cap="rnd">
              <a:solidFill>
                <a:schemeClr val="accent5">
                  <a:lumMod val="75000"/>
                </a:schemeClr>
              </a:solidFill>
              <a:round/>
            </a:ln>
            <a:effectLst/>
          </c:spPr>
          <c:marker>
            <c:symbol val="circle"/>
            <c:size val="5"/>
            <c:spPr>
              <a:solidFill>
                <a:schemeClr val="accent5">
                  <a:lumMod val="75000"/>
                </a:schemeClr>
              </a:solidFill>
              <a:ln w="9525">
                <a:solidFill>
                  <a:schemeClr val="accent5">
                    <a:lumMod val="75000"/>
                  </a:schemeClr>
                </a:solidFill>
              </a:ln>
              <a:effectLst/>
            </c:spPr>
          </c:marker>
          <c:dLbls>
            <c:dLbl>
              <c:idx val="0"/>
              <c:layout>
                <c:manualLayout>
                  <c:x val="-9.2780516091620871E-2"/>
                  <c:y val="-4.0494027130998186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5FF-491F-A6A9-6DF699D440C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Лист1!$B$24:$B$28</c:f>
              <c:numCache>
                <c:formatCode>General</c:formatCode>
                <c:ptCount val="5"/>
                <c:pt idx="0">
                  <c:v>1.03</c:v>
                </c:pt>
                <c:pt idx="1">
                  <c:v>0.86</c:v>
                </c:pt>
                <c:pt idx="2">
                  <c:v>0.86</c:v>
                </c:pt>
                <c:pt idx="3">
                  <c:v>0.88</c:v>
                </c:pt>
                <c:pt idx="4">
                  <c:v>0.88</c:v>
                </c:pt>
              </c:numCache>
            </c:numRef>
          </c:xVal>
          <c:yVal>
            <c:numRef>
              <c:f>Лист1!$C$24:$C$28</c:f>
              <c:numCache>
                <c:formatCode>General</c:formatCode>
                <c:ptCount val="5"/>
                <c:pt idx="0">
                  <c:v>142.5</c:v>
                </c:pt>
                <c:pt idx="1">
                  <c:v>38.200000000000003</c:v>
                </c:pt>
                <c:pt idx="2">
                  <c:v>72.599999999999994</c:v>
                </c:pt>
                <c:pt idx="3">
                  <c:v>88.5</c:v>
                </c:pt>
                <c:pt idx="4">
                  <c:v>105</c:v>
                </c:pt>
              </c:numCache>
            </c:numRef>
          </c:yVal>
          <c:smooth val="1"/>
          <c:extLst xmlns:c16r2="http://schemas.microsoft.com/office/drawing/2015/06/chart">
            <c:ext xmlns:c16="http://schemas.microsoft.com/office/drawing/2014/chart" uri="{C3380CC4-5D6E-409C-BE32-E72D297353CC}">
              <c16:uniqueId val="{00000001-E5FF-491F-A6A9-6DF699D440C7}"/>
            </c:ext>
          </c:extLst>
        </c:ser>
        <c:ser>
          <c:idx val="1"/>
          <c:order val="1"/>
          <c:tx>
            <c:strRef>
              <c:f>Лист1!$D$23</c:f>
              <c:strCache>
                <c:ptCount val="1"/>
                <c:pt idx="0">
                  <c:v>IT та управління (X2​), млн $</c:v>
                </c:pt>
              </c:strCache>
            </c:strRef>
          </c:tx>
          <c:spPr>
            <a:ln w="19050" cap="rnd">
              <a:solidFill>
                <a:schemeClr val="accent5">
                  <a:lumMod val="75000"/>
                </a:schemeClr>
              </a:solidFill>
              <a:prstDash val="dash"/>
              <a:round/>
            </a:ln>
            <a:effectLst/>
          </c:spPr>
          <c:marker>
            <c:symbol val="circle"/>
            <c:size val="5"/>
            <c:spPr>
              <a:solidFill>
                <a:schemeClr val="accent5">
                  <a:lumMod val="75000"/>
                </a:schemeClr>
              </a:solidFill>
              <a:ln w="9525">
                <a:solidFill>
                  <a:schemeClr val="accent5">
                    <a:lumMod val="75000"/>
                  </a:schemeClr>
                </a:solidFill>
              </a:ln>
              <a:effectLst/>
            </c:spPr>
          </c:marker>
          <c:dLbls>
            <c:dLbl>
              <c:idx val="0"/>
              <c:layout>
                <c:manualLayout>
                  <c:x val="-0.11597564511452595"/>
                  <c:y val="-7.6938651548896606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5FF-491F-A6A9-6DF699D440C7}"/>
                </c:ext>
              </c:extLst>
            </c:dLbl>
            <c:dLbl>
              <c:idx val="1"/>
              <c:layout>
                <c:manualLayout>
                  <c:x val="-0.17976224992751522"/>
                  <c:y val="4.0494027130998176E-3"/>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5FF-491F-A6A9-6DF699D440C7}"/>
                </c:ext>
              </c:extLst>
            </c:dLbl>
            <c:dLbl>
              <c:idx val="2"/>
              <c:layout>
                <c:manualLayout>
                  <c:x val="-0.17106407654392577"/>
                  <c:y val="-4.0494027130998179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5FF-491F-A6A9-6DF699D440C7}"/>
                </c:ext>
              </c:extLst>
            </c:dLbl>
            <c:dLbl>
              <c:idx val="3"/>
              <c:layout>
                <c:manualLayout>
                  <c:x val="6.088721368512607E-2"/>
                  <c:y val="4.454342984409785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5FF-491F-A6A9-6DF699D440C7}"/>
                </c:ext>
              </c:extLst>
            </c:dLbl>
            <c:dLbl>
              <c:idx val="4"/>
              <c:layout>
                <c:manualLayout>
                  <c:x val="0.16816468541606253"/>
                  <c:y val="-0.12958088681919425"/>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5FF-491F-A6A9-6DF699D440C7}"/>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Лист1!$B$24:$B$28</c:f>
              <c:numCache>
                <c:formatCode>General</c:formatCode>
                <c:ptCount val="5"/>
                <c:pt idx="0">
                  <c:v>1.03</c:v>
                </c:pt>
                <c:pt idx="1">
                  <c:v>0.86</c:v>
                </c:pt>
                <c:pt idx="2">
                  <c:v>0.86</c:v>
                </c:pt>
                <c:pt idx="3">
                  <c:v>0.88</c:v>
                </c:pt>
                <c:pt idx="4">
                  <c:v>0.88</c:v>
                </c:pt>
              </c:numCache>
            </c:numRef>
          </c:xVal>
          <c:yVal>
            <c:numRef>
              <c:f>Лист1!$D$24:$D$28</c:f>
              <c:numCache>
                <c:formatCode>General</c:formatCode>
                <c:ptCount val="5"/>
                <c:pt idx="0">
                  <c:v>12.8</c:v>
                </c:pt>
                <c:pt idx="1">
                  <c:v>8.5</c:v>
                </c:pt>
                <c:pt idx="2">
                  <c:v>14.4</c:v>
                </c:pt>
                <c:pt idx="3">
                  <c:v>18.2</c:v>
                </c:pt>
                <c:pt idx="4">
                  <c:v>22.5</c:v>
                </c:pt>
              </c:numCache>
            </c:numRef>
          </c:yVal>
          <c:smooth val="1"/>
          <c:extLst xmlns:c16r2="http://schemas.microsoft.com/office/drawing/2015/06/chart">
            <c:ext xmlns:c16="http://schemas.microsoft.com/office/drawing/2014/chart" uri="{C3380CC4-5D6E-409C-BE32-E72D297353CC}">
              <c16:uniqueId val="{00000007-E5FF-491F-A6A9-6DF699D440C7}"/>
            </c:ext>
          </c:extLst>
        </c:ser>
        <c:dLbls>
          <c:showLegendKey val="0"/>
          <c:showVal val="0"/>
          <c:showCatName val="0"/>
          <c:showSerName val="0"/>
          <c:showPercent val="0"/>
          <c:showBubbleSize val="0"/>
        </c:dLbls>
        <c:axId val="306390912"/>
        <c:axId val="306392448"/>
      </c:scatterChart>
      <c:valAx>
        <c:axId val="306390912"/>
        <c:scaling>
          <c:orientation val="minMax"/>
          <c:min val="0.8"/>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6392448"/>
        <c:crosses val="autoZero"/>
        <c:crossBetween val="midCat"/>
      </c:valAx>
      <c:valAx>
        <c:axId val="306392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0639091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Лист1!$C$29</c:f>
              <c:strCache>
                <c:ptCount val="1"/>
                <c:pt idx="0">
                  <c:v>Технологічний CAPEX (X1​), млн $</c:v>
                </c:pt>
              </c:strCache>
            </c:strRef>
          </c:tx>
          <c:spPr>
            <a:ln w="19050" cap="rnd">
              <a:solidFill>
                <a:schemeClr val="accent5">
                  <a:lumMod val="75000"/>
                </a:schemeClr>
              </a:solidFill>
              <a:round/>
            </a:ln>
            <a:effectLst/>
          </c:spPr>
          <c:marker>
            <c:symbol val="circle"/>
            <c:size val="5"/>
            <c:spPr>
              <a:solidFill>
                <a:schemeClr val="accent5">
                  <a:lumMod val="75000"/>
                </a:schemeClr>
              </a:solidFill>
              <a:ln w="9525">
                <a:solidFill>
                  <a:schemeClr val="accent5">
                    <a:lumMod val="75000"/>
                  </a:schemeClr>
                </a:solidFill>
              </a:ln>
              <a:effectLst/>
            </c:spPr>
          </c:marker>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Лист1!$B$30:$B$34</c:f>
              <c:numCache>
                <c:formatCode>General</c:formatCode>
                <c:ptCount val="5"/>
                <c:pt idx="0">
                  <c:v>1.99</c:v>
                </c:pt>
                <c:pt idx="1">
                  <c:v>1.7</c:v>
                </c:pt>
                <c:pt idx="2">
                  <c:v>1.82</c:v>
                </c:pt>
                <c:pt idx="3">
                  <c:v>1.85</c:v>
                </c:pt>
                <c:pt idx="4">
                  <c:v>1.83</c:v>
                </c:pt>
              </c:numCache>
            </c:numRef>
          </c:xVal>
          <c:yVal>
            <c:numRef>
              <c:f>Лист1!$C$30:$C$34</c:f>
              <c:numCache>
                <c:formatCode>General</c:formatCode>
                <c:ptCount val="5"/>
                <c:pt idx="0">
                  <c:v>115</c:v>
                </c:pt>
                <c:pt idx="1">
                  <c:v>82.4</c:v>
                </c:pt>
                <c:pt idx="2">
                  <c:v>124.8</c:v>
                </c:pt>
                <c:pt idx="3">
                  <c:v>145</c:v>
                </c:pt>
                <c:pt idx="4">
                  <c:v>162.5</c:v>
                </c:pt>
              </c:numCache>
            </c:numRef>
          </c:yVal>
          <c:smooth val="1"/>
          <c:extLst xmlns:c16r2="http://schemas.microsoft.com/office/drawing/2015/06/chart">
            <c:ext xmlns:c16="http://schemas.microsoft.com/office/drawing/2014/chart" uri="{C3380CC4-5D6E-409C-BE32-E72D297353CC}">
              <c16:uniqueId val="{00000000-C08D-4BBD-8EF6-76A96D3E67C4}"/>
            </c:ext>
          </c:extLst>
        </c:ser>
        <c:ser>
          <c:idx val="1"/>
          <c:order val="1"/>
          <c:tx>
            <c:strRef>
              <c:f>Лист1!$D$29</c:f>
              <c:strCache>
                <c:ptCount val="1"/>
                <c:pt idx="0">
                  <c:v>IT та управління (X2​), млн $</c:v>
                </c:pt>
              </c:strCache>
            </c:strRef>
          </c:tx>
          <c:spPr>
            <a:ln w="19050" cap="rnd">
              <a:solidFill>
                <a:schemeClr val="accent5">
                  <a:lumMod val="75000"/>
                </a:schemeClr>
              </a:solidFill>
              <a:prstDash val="dash"/>
              <a:round/>
            </a:ln>
            <a:effectLst/>
          </c:spPr>
          <c:marker>
            <c:symbol val="circle"/>
            <c:size val="5"/>
            <c:spPr>
              <a:solidFill>
                <a:schemeClr val="accent5">
                  <a:lumMod val="75000"/>
                </a:schemeClr>
              </a:solidFill>
              <a:ln w="9525">
                <a:solidFill>
                  <a:schemeClr val="accent5">
                    <a:lumMod val="75000"/>
                  </a:schemeClr>
                </a:solidFill>
              </a:ln>
              <a:effectLst/>
            </c:spPr>
          </c:marker>
          <c:dLbls>
            <c:dLbl>
              <c:idx val="0"/>
              <c:layout>
                <c:manualLayout>
                  <c:x val="-5.4818234275822379E-2"/>
                  <c:y val="-6.8839846122696904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08D-4BBD-8EF6-76A96D3E67C4}"/>
                </c:ext>
              </c:extLst>
            </c:dLbl>
            <c:dLbl>
              <c:idx val="1"/>
              <c:layout>
                <c:manualLayout>
                  <c:x val="-9.23254472013849E-2"/>
                  <c:y val="-5.2642235270297558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08D-4BBD-8EF6-76A96D3E67C4}"/>
                </c:ext>
              </c:extLst>
            </c:dLbl>
            <c:dLbl>
              <c:idx val="2"/>
              <c:layout>
                <c:manualLayout>
                  <c:x val="2.8851702250432777E-3"/>
                  <c:y val="7.2889248835796713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08D-4BBD-8EF6-76A96D3E67C4}"/>
                </c:ext>
              </c:extLst>
            </c:dLbl>
            <c:dLbl>
              <c:idx val="3"/>
              <c:layout>
                <c:manualLayout>
                  <c:x val="-2.8851702250432883E-2"/>
                  <c:y val="-6.0741040696497266E-2"/>
                </c:manualLayout>
              </c:layout>
              <c:showLegendKey val="0"/>
              <c:showVal val="1"/>
              <c:showCatName val="1"/>
              <c:showSerName val="0"/>
              <c:showPercent val="0"/>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08D-4BBD-8EF6-76A96D3E67C4}"/>
                </c:ext>
              </c:extLst>
            </c:dLbl>
            <c:dLbl>
              <c:idx val="4"/>
              <c:layout>
                <c:manualLayout>
                  <c:x val="-0.14425851125216388"/>
                  <c:y val="-8.0988054261996428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C08D-4BBD-8EF6-76A96D3E67C4}"/>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Лист1!$B$30:$B$34</c:f>
              <c:numCache>
                <c:formatCode>General</c:formatCode>
                <c:ptCount val="5"/>
                <c:pt idx="0">
                  <c:v>1.99</c:v>
                </c:pt>
                <c:pt idx="1">
                  <c:v>1.7</c:v>
                </c:pt>
                <c:pt idx="2">
                  <c:v>1.82</c:v>
                </c:pt>
                <c:pt idx="3">
                  <c:v>1.85</c:v>
                </c:pt>
                <c:pt idx="4">
                  <c:v>1.83</c:v>
                </c:pt>
              </c:numCache>
            </c:numRef>
          </c:xVal>
          <c:yVal>
            <c:numRef>
              <c:f>Лист1!$D$30:$D$34</c:f>
              <c:numCache>
                <c:formatCode>General</c:formatCode>
                <c:ptCount val="5"/>
                <c:pt idx="0">
                  <c:v>18.399999999999999</c:v>
                </c:pt>
                <c:pt idx="1">
                  <c:v>22.6</c:v>
                </c:pt>
                <c:pt idx="2">
                  <c:v>28.5</c:v>
                </c:pt>
                <c:pt idx="3">
                  <c:v>32.4</c:v>
                </c:pt>
                <c:pt idx="4">
                  <c:v>38</c:v>
                </c:pt>
              </c:numCache>
            </c:numRef>
          </c:yVal>
          <c:smooth val="1"/>
          <c:extLst xmlns:c16r2="http://schemas.microsoft.com/office/drawing/2015/06/chart">
            <c:ext xmlns:c16="http://schemas.microsoft.com/office/drawing/2014/chart" uri="{C3380CC4-5D6E-409C-BE32-E72D297353CC}">
              <c16:uniqueId val="{00000006-C08D-4BBD-8EF6-76A96D3E67C4}"/>
            </c:ext>
          </c:extLst>
        </c:ser>
        <c:dLbls>
          <c:showLegendKey val="0"/>
          <c:showVal val="0"/>
          <c:showCatName val="0"/>
          <c:showSerName val="0"/>
          <c:showPercent val="0"/>
          <c:showBubbleSize val="0"/>
        </c:dLbls>
        <c:axId val="359017856"/>
        <c:axId val="359019648"/>
      </c:scatterChart>
      <c:valAx>
        <c:axId val="359017856"/>
        <c:scaling>
          <c:orientation val="minMax"/>
          <c:max val="2.0499999999999998"/>
          <c:min val="1.65"/>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9019648"/>
        <c:crosses val="autoZero"/>
        <c:crossBetween val="midCat"/>
      </c:valAx>
      <c:valAx>
        <c:axId val="359019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90178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Лист1!$C$35</c:f>
              <c:strCache>
                <c:ptCount val="1"/>
                <c:pt idx="0">
                  <c:v>Технологічний CAPEX (X1​), млн $</c:v>
                </c:pt>
              </c:strCache>
            </c:strRef>
          </c:tx>
          <c:spPr>
            <a:ln w="19050" cap="rnd">
              <a:solidFill>
                <a:schemeClr val="accent5">
                  <a:lumMod val="75000"/>
                </a:schemeClr>
              </a:solidFill>
              <a:round/>
            </a:ln>
            <a:effectLst/>
          </c:spPr>
          <c:marker>
            <c:symbol val="circle"/>
            <c:size val="5"/>
            <c:spPr>
              <a:solidFill>
                <a:schemeClr val="accent5">
                  <a:lumMod val="75000"/>
                </a:schemeClr>
              </a:solidFill>
              <a:ln w="9525">
                <a:solidFill>
                  <a:schemeClr val="accent5">
                    <a:lumMod val="75000"/>
                  </a:schemeClr>
                </a:solidFill>
              </a:ln>
              <a:effectLst/>
            </c:spPr>
          </c:marker>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Лист1!$B$36:$B$40</c:f>
              <c:numCache>
                <c:formatCode>General</c:formatCode>
                <c:ptCount val="5"/>
                <c:pt idx="0">
                  <c:v>0.94</c:v>
                </c:pt>
                <c:pt idx="1">
                  <c:v>0.96</c:v>
                </c:pt>
                <c:pt idx="2">
                  <c:v>1.02</c:v>
                </c:pt>
                <c:pt idx="3">
                  <c:v>1.03</c:v>
                </c:pt>
                <c:pt idx="4">
                  <c:v>1.04</c:v>
                </c:pt>
              </c:numCache>
            </c:numRef>
          </c:xVal>
          <c:yVal>
            <c:numRef>
              <c:f>Лист1!$C$36:$C$40</c:f>
              <c:numCache>
                <c:formatCode>General</c:formatCode>
                <c:ptCount val="5"/>
                <c:pt idx="0">
                  <c:v>32.5</c:v>
                </c:pt>
                <c:pt idx="1">
                  <c:v>24.8</c:v>
                </c:pt>
                <c:pt idx="2">
                  <c:v>42.6</c:v>
                </c:pt>
                <c:pt idx="3">
                  <c:v>48.2</c:v>
                </c:pt>
                <c:pt idx="4">
                  <c:v>54</c:v>
                </c:pt>
              </c:numCache>
            </c:numRef>
          </c:yVal>
          <c:smooth val="1"/>
          <c:extLst xmlns:c16r2="http://schemas.microsoft.com/office/drawing/2015/06/chart">
            <c:ext xmlns:c16="http://schemas.microsoft.com/office/drawing/2014/chart" uri="{C3380CC4-5D6E-409C-BE32-E72D297353CC}">
              <c16:uniqueId val="{00000000-756B-405B-937D-C42CB58D06EC}"/>
            </c:ext>
          </c:extLst>
        </c:ser>
        <c:ser>
          <c:idx val="1"/>
          <c:order val="1"/>
          <c:tx>
            <c:strRef>
              <c:f>Лист1!$D$35</c:f>
              <c:strCache>
                <c:ptCount val="1"/>
                <c:pt idx="0">
                  <c:v>IT та управління (X2​), млн $</c:v>
                </c:pt>
              </c:strCache>
            </c:strRef>
          </c:tx>
          <c:spPr>
            <a:ln w="19050" cap="rnd">
              <a:solidFill>
                <a:schemeClr val="accent5">
                  <a:lumMod val="75000"/>
                </a:schemeClr>
              </a:solidFill>
              <a:prstDash val="dash"/>
              <a:round/>
            </a:ln>
            <a:effectLst/>
          </c:spPr>
          <c:marker>
            <c:symbol val="circle"/>
            <c:size val="5"/>
            <c:spPr>
              <a:solidFill>
                <a:schemeClr val="accent5">
                  <a:lumMod val="75000"/>
                </a:schemeClr>
              </a:solidFill>
              <a:ln w="9525">
                <a:solidFill>
                  <a:schemeClr val="accent5">
                    <a:lumMod val="75000"/>
                  </a:schemeClr>
                </a:solidFill>
              </a:ln>
              <a:effectLst/>
            </c:spPr>
          </c:marker>
          <c:dLbls>
            <c:dLbl>
              <c:idx val="0"/>
              <c:layout>
                <c:manualLayout>
                  <c:x val="-6.6666666666666693E-2"/>
                  <c:y val="-7.8703703703703623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56B-405B-937D-C42CB58D06EC}"/>
                </c:ext>
              </c:extLst>
            </c:dLbl>
            <c:dLbl>
              <c:idx val="1"/>
              <c:layout>
                <c:manualLayout>
                  <c:x val="-1.6666666666666718E-2"/>
                  <c:y val="-5.5555555555555552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756B-405B-937D-C42CB58D06EC}"/>
                </c:ext>
              </c:extLst>
            </c:dLbl>
            <c:dLbl>
              <c:idx val="2"/>
              <c:layout>
                <c:manualLayout>
                  <c:x val="-1.0185067526415994E-16"/>
                  <c:y val="0.12037037037037028"/>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56B-405B-937D-C42CB58D06EC}"/>
                </c:ext>
              </c:extLst>
            </c:dLbl>
            <c:dLbl>
              <c:idx val="3"/>
              <c:layout>
                <c:manualLayout>
                  <c:x val="1.9444444444444445E-2"/>
                  <c:y val="6.4814814814814811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56B-405B-937D-C42CB58D06EC}"/>
                </c:ext>
              </c:extLst>
            </c:dLbl>
            <c:dLbl>
              <c:idx val="4"/>
              <c:layout>
                <c:manualLayout>
                  <c:x val="-8.3333333333333332E-3"/>
                  <c:y val="-8.7962962962962965E-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56B-405B-937D-C42CB58D06EC}"/>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uk-UA"/>
              </a:p>
            </c:txPr>
            <c:showLegendKey val="0"/>
            <c:showVal val="1"/>
            <c:showCatName val="1"/>
            <c:showSerName val="0"/>
            <c:showPercent val="0"/>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15:showLeaderLines val="0"/>
              </c:ext>
            </c:extLst>
          </c:dLbls>
          <c:xVal>
            <c:numRef>
              <c:f>Лист1!$B$36:$B$40</c:f>
              <c:numCache>
                <c:formatCode>General</c:formatCode>
                <c:ptCount val="5"/>
                <c:pt idx="0">
                  <c:v>0.94</c:v>
                </c:pt>
                <c:pt idx="1">
                  <c:v>0.96</c:v>
                </c:pt>
                <c:pt idx="2">
                  <c:v>1.02</c:v>
                </c:pt>
                <c:pt idx="3">
                  <c:v>1.03</c:v>
                </c:pt>
                <c:pt idx="4">
                  <c:v>1.04</c:v>
                </c:pt>
              </c:numCache>
            </c:numRef>
          </c:xVal>
          <c:yVal>
            <c:numRef>
              <c:f>Лист1!$D$36:$D$40</c:f>
              <c:numCache>
                <c:formatCode>General</c:formatCode>
                <c:ptCount val="5"/>
                <c:pt idx="0">
                  <c:v>8.1999999999999993</c:v>
                </c:pt>
                <c:pt idx="1">
                  <c:v>10.5</c:v>
                </c:pt>
                <c:pt idx="2">
                  <c:v>14.8</c:v>
                </c:pt>
                <c:pt idx="3">
                  <c:v>16.5</c:v>
                </c:pt>
                <c:pt idx="4">
                  <c:v>18.8</c:v>
                </c:pt>
              </c:numCache>
            </c:numRef>
          </c:yVal>
          <c:smooth val="1"/>
          <c:extLst xmlns:c16r2="http://schemas.microsoft.com/office/drawing/2015/06/chart">
            <c:ext xmlns:c16="http://schemas.microsoft.com/office/drawing/2014/chart" uri="{C3380CC4-5D6E-409C-BE32-E72D297353CC}">
              <c16:uniqueId val="{00000006-756B-405B-937D-C42CB58D06EC}"/>
            </c:ext>
          </c:extLst>
        </c:ser>
        <c:dLbls>
          <c:showLegendKey val="0"/>
          <c:showVal val="0"/>
          <c:showCatName val="0"/>
          <c:showSerName val="0"/>
          <c:showPercent val="0"/>
          <c:showBubbleSize val="0"/>
        </c:dLbls>
        <c:axId val="355321344"/>
        <c:axId val="355322880"/>
      </c:scatterChart>
      <c:valAx>
        <c:axId val="3553213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5322880"/>
        <c:crosses val="autoZero"/>
        <c:crossBetween val="midCat"/>
      </c:valAx>
      <c:valAx>
        <c:axId val="355322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crossAx val="3553213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uk-UA"/>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uk-UA"/>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4264A-4629-4DE3-A0F8-49C83C89A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249</Pages>
  <Words>249538</Words>
  <Characters>142237</Characters>
  <Application>Microsoft Office Word</Application>
  <DocSecurity>0</DocSecurity>
  <Lines>1185</Lines>
  <Paragraphs>781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XPS</cp:lastModifiedBy>
  <cp:revision>13</cp:revision>
  <dcterms:created xsi:type="dcterms:W3CDTF">2026-10-29T09:21:00Z</dcterms:created>
  <dcterms:modified xsi:type="dcterms:W3CDTF">2026-10-29T14:22:00Z</dcterms:modified>
</cp:coreProperties>
</file>