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811FA"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Міністерство освіти і науки України</w:t>
      </w:r>
    </w:p>
    <w:p w14:paraId="2BC67844"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p>
    <w:p w14:paraId="78009760"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Державний заклад «Луганський національний університет</w:t>
      </w:r>
    </w:p>
    <w:p w14:paraId="49BC3370"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імені Тараса Шевченка»</w:t>
      </w:r>
    </w:p>
    <w:p w14:paraId="540E2960"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p>
    <w:p w14:paraId="3E5631F9"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Факультет соціальних і гуманітарних наук</w:t>
      </w:r>
    </w:p>
    <w:p w14:paraId="0BC7FF18" w14:textId="77777777" w:rsidR="00E31F29" w:rsidRPr="00112B82"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 xml:space="preserve">Кафедра політології і міжнародних відносин </w:t>
      </w:r>
    </w:p>
    <w:p w14:paraId="1291E2D6"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1B7D82E"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4ED052D" w14:textId="713B23AC" w:rsidR="00E31F29" w:rsidRPr="00112B82" w:rsidRDefault="00E31F29" w:rsidP="00E31F29">
      <w:pPr>
        <w:spacing w:after="0" w:line="360" w:lineRule="auto"/>
        <w:ind w:firstLine="709"/>
        <w:jc w:val="right"/>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 xml:space="preserve">УДК </w:t>
      </w:r>
      <w:r w:rsidR="00B87BC3" w:rsidRPr="00112B82">
        <w:rPr>
          <w:rFonts w:ascii="Times New Roman" w:eastAsia="Times New Roman" w:hAnsi="Times New Roman" w:cs="Times New Roman"/>
          <w:kern w:val="0"/>
          <w:sz w:val="28"/>
          <w:szCs w:val="28"/>
          <w:lang w:val="uk-UA" w:eastAsia="ru-RU"/>
          <w14:ligatures w14:val="none"/>
        </w:rPr>
        <w:t>355.4:316.77</w:t>
      </w:r>
    </w:p>
    <w:p w14:paraId="13EC4620" w14:textId="77777777" w:rsidR="00E31F29" w:rsidRPr="00112B82"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4682914C" w14:textId="77777777" w:rsidR="00FF306B" w:rsidRPr="00112B82" w:rsidRDefault="00FF306B" w:rsidP="00FF306B">
      <w:pPr>
        <w:jc w:val="center"/>
        <w:rPr>
          <w:rFonts w:ascii="Times New Roman" w:hAnsi="Times New Roman" w:cs="Times New Roman"/>
          <w:b/>
          <w:bCs/>
          <w:i/>
          <w:iCs/>
          <w:sz w:val="28"/>
          <w:szCs w:val="28"/>
          <w:lang w:val="uk-UA"/>
        </w:rPr>
      </w:pPr>
      <w:r w:rsidRPr="00112B82">
        <w:rPr>
          <w:rFonts w:ascii="Times New Roman" w:hAnsi="Times New Roman" w:cs="Times New Roman"/>
          <w:b/>
          <w:bCs/>
          <w:i/>
          <w:iCs/>
          <w:sz w:val="28"/>
          <w:szCs w:val="28"/>
          <w:lang w:val="uk-UA"/>
        </w:rPr>
        <w:t>Шарпай Гліб Юрійович</w:t>
      </w:r>
    </w:p>
    <w:p w14:paraId="1D5DE338" w14:textId="54511AEB" w:rsidR="002A023B" w:rsidRPr="00112B82" w:rsidRDefault="002A023B" w:rsidP="002A023B">
      <w:pPr>
        <w:spacing w:after="0" w:line="360" w:lineRule="auto"/>
        <w:ind w:firstLine="709"/>
        <w:jc w:val="center"/>
        <w:rPr>
          <w:rFonts w:ascii="Times New Roman" w:eastAsia="Times New Roman" w:hAnsi="Times New Roman" w:cs="Times New Roman"/>
          <w:b/>
          <w:bCs/>
          <w:i/>
          <w:iCs/>
          <w:kern w:val="0"/>
          <w:sz w:val="28"/>
          <w:szCs w:val="28"/>
          <w:lang w:val="uk-UA" w:eastAsia="ru-RU"/>
          <w14:ligatures w14:val="none"/>
        </w:rPr>
      </w:pPr>
    </w:p>
    <w:p w14:paraId="59A41B0D" w14:textId="77777777" w:rsidR="00E31F29" w:rsidRPr="00112B82"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399AAE5A" w14:textId="3801B8DF" w:rsidR="002A023B" w:rsidRPr="00112B82" w:rsidRDefault="00074819" w:rsidP="00E31F29">
      <w:pPr>
        <w:spacing w:after="0" w:line="360" w:lineRule="auto"/>
        <w:ind w:firstLine="709"/>
        <w:jc w:val="center"/>
        <w:rPr>
          <w:rFonts w:ascii="Times New Roman" w:eastAsia="Times New Roman" w:hAnsi="Times New Roman" w:cs="Times New Roman"/>
          <w:b/>
          <w:bCs/>
          <w:kern w:val="0"/>
          <w:sz w:val="28"/>
          <w:szCs w:val="28"/>
          <w:lang w:val="uk-UA" w:eastAsia="ru-RU"/>
          <w14:ligatures w14:val="none"/>
        </w:rPr>
      </w:pPr>
      <w:r w:rsidRPr="00112B82">
        <w:rPr>
          <w:rFonts w:ascii="Times New Roman" w:hAnsi="Times New Roman" w:cs="Times New Roman"/>
          <w:b/>
          <w:bCs/>
          <w:sz w:val="28"/>
          <w:szCs w:val="28"/>
          <w:lang w:val="uk-UA"/>
        </w:rPr>
        <w:t>ІНФОРМАЦІЙНІ ВІЙНИ СУЧАСНОСТІ: ЗАСОБИ ТА МЕХАНІЗМИ ВЕДЕННЯ</w:t>
      </w:r>
    </w:p>
    <w:p w14:paraId="59C1308F" w14:textId="42C278A2"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кваліфікаційна робота магістра</w:t>
      </w:r>
    </w:p>
    <w:p w14:paraId="6370BC95"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здобувача вищої освіти другого (магістерського) рівня</w:t>
      </w:r>
    </w:p>
    <w:p w14:paraId="76FF89C6"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 xml:space="preserve">за спеціальністю 052 Політологія </w:t>
      </w:r>
    </w:p>
    <w:p w14:paraId="4455757A"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1D88AF9A" w14:textId="77777777" w:rsidR="00E31F29" w:rsidRPr="00112B82"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tbl>
      <w:tblPr>
        <w:tblW w:w="8352" w:type="dxa"/>
        <w:jc w:val="center"/>
        <w:tblLayout w:type="fixed"/>
        <w:tblCellMar>
          <w:left w:w="0" w:type="dxa"/>
          <w:right w:w="0" w:type="dxa"/>
        </w:tblCellMar>
        <w:tblLook w:val="04A0" w:firstRow="1" w:lastRow="0" w:firstColumn="1" w:lastColumn="0" w:noHBand="0" w:noVBand="1"/>
      </w:tblPr>
      <w:tblGrid>
        <w:gridCol w:w="3064"/>
        <w:gridCol w:w="1747"/>
        <w:gridCol w:w="3541"/>
      </w:tblGrid>
      <w:tr w:rsidR="00E31F29" w:rsidRPr="00112B82" w14:paraId="5472A993" w14:textId="77777777" w:rsidTr="00AE61FD">
        <w:trPr>
          <w:trHeight w:val="401"/>
          <w:jc w:val="center"/>
        </w:trPr>
        <w:tc>
          <w:tcPr>
            <w:tcW w:w="3063" w:type="dxa"/>
            <w:hideMark/>
          </w:tcPr>
          <w:p w14:paraId="1FC5581A"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Особистий підпис –</w:t>
            </w:r>
          </w:p>
        </w:tc>
        <w:tc>
          <w:tcPr>
            <w:tcW w:w="1746" w:type="dxa"/>
            <w:hideMark/>
          </w:tcPr>
          <w:p w14:paraId="70D196EA" w14:textId="77777777" w:rsidR="00E31F29" w:rsidRPr="00112B82"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__________</w:t>
            </w:r>
          </w:p>
        </w:tc>
        <w:tc>
          <w:tcPr>
            <w:tcW w:w="3540" w:type="dxa"/>
            <w:hideMark/>
          </w:tcPr>
          <w:p w14:paraId="33977510" w14:textId="40F3B8AE" w:rsidR="00E31F29" w:rsidRPr="00112B82" w:rsidRDefault="007E5B67" w:rsidP="00E31F29">
            <w:pPr>
              <w:widowControl w:val="0"/>
              <w:spacing w:after="0" w:line="240" w:lineRule="auto"/>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14:ligatures w14:val="none"/>
              </w:rPr>
              <w:t>Г</w:t>
            </w:r>
            <w:r w:rsidR="00E31F29" w:rsidRPr="00112B82">
              <w:rPr>
                <w:rFonts w:ascii="Times New Roman" w:eastAsia="Times New Roman" w:hAnsi="Times New Roman" w:cs="Times New Roman"/>
                <w:kern w:val="0"/>
                <w:sz w:val="28"/>
                <w:szCs w:val="28"/>
                <w:lang w:val="uk-UA"/>
                <w14:ligatures w14:val="none"/>
              </w:rPr>
              <w:t>. </w:t>
            </w:r>
            <w:r w:rsidRPr="00112B82">
              <w:rPr>
                <w:rFonts w:ascii="Times New Roman" w:eastAsia="Times New Roman" w:hAnsi="Times New Roman" w:cs="Times New Roman"/>
                <w:kern w:val="0"/>
                <w:sz w:val="28"/>
                <w:szCs w:val="28"/>
                <w:lang w:val="uk-UA"/>
                <w14:ligatures w14:val="none"/>
              </w:rPr>
              <w:t>Ю</w:t>
            </w:r>
            <w:r w:rsidR="00E31F29" w:rsidRPr="00112B82">
              <w:rPr>
                <w:rFonts w:ascii="Times New Roman" w:eastAsia="Times New Roman" w:hAnsi="Times New Roman" w:cs="Times New Roman"/>
                <w:kern w:val="0"/>
                <w:sz w:val="28"/>
                <w:szCs w:val="28"/>
                <w:lang w:val="uk-UA"/>
                <w14:ligatures w14:val="none"/>
              </w:rPr>
              <w:t>.</w:t>
            </w:r>
            <w:r w:rsidR="00E31F29" w:rsidRPr="00112B82">
              <w:rPr>
                <w:rFonts w:ascii="Times New Roman" w:eastAsia="Times New Roman" w:hAnsi="Times New Roman" w:cs="Times New Roman"/>
                <w:kern w:val="0"/>
                <w:sz w:val="28"/>
                <w:szCs w:val="28"/>
                <w:lang w:val="uk-UA" w:eastAsia="ru-RU"/>
                <w14:ligatures w14:val="none"/>
              </w:rPr>
              <w:t xml:space="preserve"> </w:t>
            </w:r>
            <w:r w:rsidRPr="00112B82">
              <w:rPr>
                <w:rFonts w:ascii="Times New Roman" w:eastAsia="Times New Roman" w:hAnsi="Times New Roman" w:cs="Times New Roman"/>
                <w:kern w:val="0"/>
                <w:sz w:val="28"/>
                <w:szCs w:val="28"/>
                <w:lang w:val="uk-UA" w:eastAsia="ru-RU"/>
                <w14:ligatures w14:val="none"/>
              </w:rPr>
              <w:t>Шарпай</w:t>
            </w:r>
          </w:p>
        </w:tc>
      </w:tr>
      <w:tr w:rsidR="00E31F29" w:rsidRPr="00112B82" w14:paraId="3D5B58FB" w14:textId="77777777" w:rsidTr="00AE61FD">
        <w:trPr>
          <w:trHeight w:val="1179"/>
          <w:jc w:val="center"/>
        </w:trPr>
        <w:tc>
          <w:tcPr>
            <w:tcW w:w="3063" w:type="dxa"/>
          </w:tcPr>
          <w:p w14:paraId="4DE0402C"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p>
          <w:p w14:paraId="2F0AB4AC"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Науковий керівник –</w:t>
            </w:r>
          </w:p>
        </w:tc>
        <w:tc>
          <w:tcPr>
            <w:tcW w:w="1746" w:type="dxa"/>
          </w:tcPr>
          <w:p w14:paraId="48C1F869" w14:textId="77777777" w:rsidR="00E31F29" w:rsidRPr="00112B82"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p>
        </w:tc>
        <w:tc>
          <w:tcPr>
            <w:tcW w:w="3540" w:type="dxa"/>
          </w:tcPr>
          <w:p w14:paraId="5463AA63" w14:textId="77777777" w:rsidR="00E31F29" w:rsidRPr="00112B82" w:rsidRDefault="00E31F29" w:rsidP="00E31F29">
            <w:pPr>
              <w:spacing w:after="0" w:line="100" w:lineRule="atLeast"/>
              <w:rPr>
                <w:rFonts w:ascii="Times New Roman" w:eastAsia="Times New Roman" w:hAnsi="Times New Roman" w:cs="Times New Roman"/>
                <w:kern w:val="0"/>
                <w:sz w:val="28"/>
                <w:szCs w:val="28"/>
                <w:lang w:val="uk-UA"/>
                <w14:ligatures w14:val="none"/>
              </w:rPr>
            </w:pPr>
          </w:p>
          <w:p w14:paraId="0E8C746E" w14:textId="01B17A06" w:rsidR="00E31F29" w:rsidRPr="00112B82" w:rsidRDefault="00CD7A50"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Л. О. </w:t>
            </w:r>
            <w:proofErr w:type="spellStart"/>
            <w:r w:rsidRPr="00112B82">
              <w:rPr>
                <w:rFonts w:ascii="Times New Roman" w:eastAsia="Times New Roman" w:hAnsi="Times New Roman" w:cs="Times New Roman"/>
                <w:kern w:val="0"/>
                <w:sz w:val="28"/>
                <w:szCs w:val="28"/>
                <w:lang w:val="uk-UA"/>
                <w14:ligatures w14:val="none"/>
              </w:rPr>
              <w:t>Новоскольцева</w:t>
            </w:r>
            <w:proofErr w:type="spellEnd"/>
            <w:r w:rsidRPr="00112B82">
              <w:rPr>
                <w:rFonts w:ascii="Times New Roman" w:eastAsia="Times New Roman" w:hAnsi="Times New Roman" w:cs="Times New Roman"/>
                <w:kern w:val="0"/>
                <w:sz w:val="28"/>
                <w:szCs w:val="28"/>
                <w:lang w:val="uk-UA"/>
                <w14:ligatures w14:val="none"/>
              </w:rPr>
              <w:t>, кандидат політичних наук, доцент</w:t>
            </w:r>
            <w:r w:rsidR="00E31F29" w:rsidRPr="00112B82">
              <w:rPr>
                <w:rFonts w:ascii="Times New Roman" w:eastAsia="Times New Roman" w:hAnsi="Times New Roman" w:cs="Times New Roman"/>
                <w:kern w:val="0"/>
                <w:sz w:val="28"/>
                <w:szCs w:val="28"/>
                <w:lang w:val="uk-UA" w:eastAsia="ru-RU"/>
                <w14:ligatures w14:val="none"/>
              </w:rPr>
              <w:t xml:space="preserve"> </w:t>
            </w:r>
          </w:p>
        </w:tc>
      </w:tr>
      <w:tr w:rsidR="00E31F29" w:rsidRPr="00112B82" w14:paraId="3E2434A9" w14:textId="77777777" w:rsidTr="00AE61FD">
        <w:trPr>
          <w:trHeight w:val="593"/>
          <w:jc w:val="center"/>
        </w:trPr>
        <w:tc>
          <w:tcPr>
            <w:tcW w:w="3063" w:type="dxa"/>
            <w:hideMark/>
          </w:tcPr>
          <w:p w14:paraId="747177C9"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Завідувач кафедри –</w:t>
            </w:r>
          </w:p>
        </w:tc>
        <w:tc>
          <w:tcPr>
            <w:tcW w:w="1746" w:type="dxa"/>
            <w:hideMark/>
          </w:tcPr>
          <w:p w14:paraId="400D5BB9" w14:textId="77777777" w:rsidR="00E31F29" w:rsidRPr="00112B82"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__________</w:t>
            </w:r>
          </w:p>
        </w:tc>
        <w:tc>
          <w:tcPr>
            <w:tcW w:w="3540" w:type="dxa"/>
            <w:vAlign w:val="center"/>
          </w:tcPr>
          <w:p w14:paraId="5B848BDE"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112B82">
              <w:rPr>
                <w:rFonts w:ascii="Times New Roman" w:eastAsia="Times New Roman" w:hAnsi="Times New Roman" w:cs="Times New Roman"/>
                <w:kern w:val="0"/>
                <w:sz w:val="28"/>
                <w:szCs w:val="28"/>
                <w:lang w:val="uk-UA"/>
                <w14:ligatures w14:val="none"/>
              </w:rPr>
              <w:t>Л. О. </w:t>
            </w:r>
            <w:proofErr w:type="spellStart"/>
            <w:r w:rsidRPr="00112B82">
              <w:rPr>
                <w:rFonts w:ascii="Times New Roman" w:eastAsia="Times New Roman" w:hAnsi="Times New Roman" w:cs="Times New Roman"/>
                <w:kern w:val="0"/>
                <w:sz w:val="28"/>
                <w:szCs w:val="28"/>
                <w:lang w:val="uk-UA"/>
                <w14:ligatures w14:val="none"/>
              </w:rPr>
              <w:t>Новоскольцева</w:t>
            </w:r>
            <w:proofErr w:type="spellEnd"/>
            <w:r w:rsidRPr="00112B82">
              <w:rPr>
                <w:rFonts w:ascii="Times New Roman" w:eastAsia="Times New Roman" w:hAnsi="Times New Roman" w:cs="Times New Roman"/>
                <w:kern w:val="0"/>
                <w:sz w:val="28"/>
                <w:szCs w:val="28"/>
                <w:lang w:val="uk-UA"/>
                <w14:ligatures w14:val="none"/>
              </w:rPr>
              <w:t>, кандидат політичних наук, доцент</w:t>
            </w:r>
          </w:p>
          <w:p w14:paraId="06F69E51" w14:textId="77777777" w:rsidR="00E31F29" w:rsidRPr="00112B82"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p>
        </w:tc>
      </w:tr>
    </w:tbl>
    <w:p w14:paraId="0E0509D2" w14:textId="77777777" w:rsidR="00E31F29" w:rsidRPr="00112B82"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2566945" w14:textId="77777777" w:rsidR="00E31F29" w:rsidRPr="00112B82"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8116DCE" w14:textId="77777777" w:rsidR="00E31F29" w:rsidRPr="00112B82"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4FAE6DD9" w14:textId="77777777" w:rsidR="00E31F29" w:rsidRPr="00112B82" w:rsidRDefault="00E31F29" w:rsidP="00E31F29">
      <w:pPr>
        <w:spacing w:after="0" w:line="360" w:lineRule="auto"/>
        <w:jc w:val="center"/>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t xml:space="preserve">Полтава – 2026     </w:t>
      </w:r>
    </w:p>
    <w:p w14:paraId="71B8FAF7" w14:textId="77777777" w:rsidR="00E31F29" w:rsidRPr="00112B82" w:rsidRDefault="00E31F29" w:rsidP="00E31F29">
      <w:pPr>
        <w:spacing w:line="259" w:lineRule="auto"/>
        <w:rPr>
          <w:rFonts w:ascii="Times New Roman" w:eastAsia="Times New Roman" w:hAnsi="Times New Roman" w:cs="Times New Roman"/>
          <w:kern w:val="0"/>
          <w:sz w:val="28"/>
          <w:szCs w:val="28"/>
          <w:lang w:val="uk-UA" w:eastAsia="ru-RU"/>
          <w14:ligatures w14:val="none"/>
        </w:rPr>
      </w:pPr>
      <w:r w:rsidRPr="00112B82">
        <w:rPr>
          <w:rFonts w:ascii="Times New Roman" w:eastAsia="Times New Roman" w:hAnsi="Times New Roman" w:cs="Times New Roman"/>
          <w:kern w:val="0"/>
          <w:sz w:val="28"/>
          <w:szCs w:val="28"/>
          <w:lang w:val="uk-UA" w:eastAsia="ru-RU"/>
          <w14:ligatures w14:val="none"/>
        </w:rPr>
        <w:br w:type="page"/>
      </w:r>
    </w:p>
    <w:p w14:paraId="6080CD77" w14:textId="77777777" w:rsidR="00E31F29" w:rsidRPr="00112B82" w:rsidRDefault="00E31F29" w:rsidP="00E31F29">
      <w:pPr>
        <w:spacing w:after="0" w:line="360" w:lineRule="auto"/>
        <w:jc w:val="center"/>
        <w:rPr>
          <w:rFonts w:ascii="Times New Roman" w:eastAsia="Times New Roman" w:hAnsi="Times New Roman" w:cs="Times New Roman"/>
          <w:b/>
          <w:kern w:val="0"/>
          <w:sz w:val="28"/>
          <w:szCs w:val="28"/>
          <w:lang w:val="uk-UA" w:eastAsia="ru-RU"/>
          <w14:ligatures w14:val="none"/>
        </w:rPr>
      </w:pPr>
      <w:r w:rsidRPr="00112B82">
        <w:rPr>
          <w:rFonts w:ascii="Times New Roman" w:eastAsia="Times New Roman" w:hAnsi="Times New Roman" w:cs="Times New Roman"/>
          <w:b/>
          <w:kern w:val="0"/>
          <w:sz w:val="28"/>
          <w:szCs w:val="28"/>
          <w:lang w:val="uk-UA" w:eastAsia="ru-RU"/>
          <w14:ligatures w14:val="none"/>
        </w:rPr>
        <w:lastRenderedPageBreak/>
        <w:t>ЗМІСТ</w:t>
      </w:r>
    </w:p>
    <w:tbl>
      <w:tblPr>
        <w:tblStyle w:val="ae"/>
        <w:tblW w:w="10065" w:type="dxa"/>
        <w:tblInd w:w="-431" w:type="dxa"/>
        <w:tblLook w:val="04A0" w:firstRow="1" w:lastRow="0" w:firstColumn="1" w:lastColumn="0" w:noHBand="0" w:noVBand="1"/>
      </w:tblPr>
      <w:tblGrid>
        <w:gridCol w:w="9489"/>
        <w:gridCol w:w="576"/>
      </w:tblGrid>
      <w:tr w:rsidR="00E31F29" w:rsidRPr="00112B82" w14:paraId="4FAE8E23" w14:textId="77777777" w:rsidTr="00AE61FD">
        <w:tc>
          <w:tcPr>
            <w:tcW w:w="9489" w:type="dxa"/>
          </w:tcPr>
          <w:p w14:paraId="48573242" w14:textId="77777777"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ВСТУП ………………………………………………………………………….…</w:t>
            </w:r>
          </w:p>
        </w:tc>
        <w:tc>
          <w:tcPr>
            <w:tcW w:w="576" w:type="dxa"/>
            <w:vAlign w:val="bottom"/>
          </w:tcPr>
          <w:p w14:paraId="542FFA9F" w14:textId="3433B5F4" w:rsidR="00E31F29" w:rsidRPr="00112B82" w:rsidRDefault="009C521E"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3</w:t>
            </w:r>
          </w:p>
        </w:tc>
      </w:tr>
      <w:tr w:rsidR="00E31F29" w:rsidRPr="00112B82" w14:paraId="1C08D106" w14:textId="77777777" w:rsidTr="00AE61FD">
        <w:tc>
          <w:tcPr>
            <w:tcW w:w="9489" w:type="dxa"/>
          </w:tcPr>
          <w:p w14:paraId="768FAF86" w14:textId="5B15D4F4" w:rsidR="00E31F29" w:rsidRPr="00112B82" w:rsidRDefault="00E31F29" w:rsidP="0002184F">
            <w:pPr>
              <w:tabs>
                <w:tab w:val="left" w:pos="1590"/>
              </w:tabs>
              <w:spacing w:line="360" w:lineRule="auto"/>
              <w:jc w:val="both"/>
              <w:rPr>
                <w:rFonts w:cs="Times New Roman"/>
                <w:szCs w:val="28"/>
                <w:lang w:val="uk-UA"/>
              </w:rPr>
            </w:pPr>
            <w:r w:rsidRPr="00112B82">
              <w:rPr>
                <w:rFonts w:eastAsia="Times New Roman" w:cs="Times New Roman"/>
                <w:szCs w:val="28"/>
                <w:lang w:val="uk-UA" w:eastAsia="ru-RU"/>
              </w:rPr>
              <w:t>РОЗДІЛ 1. </w:t>
            </w:r>
            <w:r w:rsidR="00CD7A50" w:rsidRPr="00112B82">
              <w:rPr>
                <w:rFonts w:cs="Times New Roman"/>
                <w:szCs w:val="28"/>
                <w:lang w:val="uk-UA"/>
              </w:rPr>
              <w:t>ТЕОРЕТИКО-КОНЦЕПТУАЛЬНІ ЗАСАДИ ДОСЛІДЖЕННЯ ІНФОРМАЦІЙНИХ ВІЙН</w:t>
            </w:r>
            <w:r w:rsidR="001C1197" w:rsidRPr="00112B82">
              <w:rPr>
                <w:rFonts w:cs="Times New Roman"/>
                <w:szCs w:val="28"/>
                <w:lang w:val="uk-UA"/>
              </w:rPr>
              <w:t xml:space="preserve"> </w:t>
            </w:r>
            <w:r w:rsidR="00CD7A50" w:rsidRPr="00112B82">
              <w:rPr>
                <w:rFonts w:cs="Times New Roman"/>
                <w:szCs w:val="28"/>
                <w:lang w:val="uk-UA"/>
              </w:rPr>
              <w:t>………………………………</w:t>
            </w:r>
            <w:r w:rsidR="001C1197" w:rsidRPr="00112B82">
              <w:rPr>
                <w:rFonts w:cs="Times New Roman"/>
                <w:szCs w:val="28"/>
                <w:lang w:val="uk-UA"/>
              </w:rPr>
              <w:t>……………………….</w:t>
            </w:r>
          </w:p>
        </w:tc>
        <w:tc>
          <w:tcPr>
            <w:tcW w:w="576" w:type="dxa"/>
            <w:vAlign w:val="bottom"/>
          </w:tcPr>
          <w:p w14:paraId="014DAD95" w14:textId="643BE5DF" w:rsidR="00E31F29" w:rsidRPr="00112B82" w:rsidRDefault="00112B82"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8</w:t>
            </w:r>
          </w:p>
        </w:tc>
      </w:tr>
      <w:tr w:rsidR="00E31F29" w:rsidRPr="00112B82" w14:paraId="094BC89B" w14:textId="77777777" w:rsidTr="00AE61FD">
        <w:tc>
          <w:tcPr>
            <w:tcW w:w="9489" w:type="dxa"/>
          </w:tcPr>
          <w:p w14:paraId="194786E2" w14:textId="37CC75A7"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1.1. </w:t>
            </w:r>
            <w:r w:rsidR="00CD7A50" w:rsidRPr="00112B82">
              <w:rPr>
                <w:rFonts w:cs="Times New Roman"/>
                <w:szCs w:val="28"/>
                <w:lang w:val="uk-UA"/>
              </w:rPr>
              <w:t>Поняття «інформаційна війна» в сучасному науковому дискурсі</w:t>
            </w:r>
            <w:r w:rsidR="0003342F" w:rsidRPr="00112B82">
              <w:rPr>
                <w:rFonts w:cs="Times New Roman"/>
                <w:szCs w:val="28"/>
                <w:lang w:val="uk-UA"/>
              </w:rPr>
              <w:t xml:space="preserve"> </w:t>
            </w:r>
            <w:r w:rsidR="00CD7A50" w:rsidRPr="00112B82">
              <w:rPr>
                <w:rFonts w:cs="Times New Roman"/>
                <w:szCs w:val="28"/>
                <w:lang w:val="uk-UA"/>
              </w:rPr>
              <w:t>……….</w:t>
            </w:r>
          </w:p>
        </w:tc>
        <w:tc>
          <w:tcPr>
            <w:tcW w:w="576" w:type="dxa"/>
            <w:vAlign w:val="bottom"/>
          </w:tcPr>
          <w:p w14:paraId="680E57D1" w14:textId="21A7414A" w:rsidR="00E31F29" w:rsidRPr="00112B82" w:rsidRDefault="00112B82"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8</w:t>
            </w:r>
          </w:p>
        </w:tc>
      </w:tr>
      <w:tr w:rsidR="00E31F29" w:rsidRPr="00112B82" w14:paraId="1527B574" w14:textId="77777777" w:rsidTr="00AE61FD">
        <w:tc>
          <w:tcPr>
            <w:tcW w:w="9489" w:type="dxa"/>
          </w:tcPr>
          <w:p w14:paraId="3B5B8BAB" w14:textId="76D86001"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1.2. </w:t>
            </w:r>
            <w:r w:rsidR="00CD7A50" w:rsidRPr="00112B82">
              <w:rPr>
                <w:rFonts w:cs="Times New Roman"/>
                <w:szCs w:val="28"/>
                <w:lang w:val="uk-UA"/>
              </w:rPr>
              <w:t>Інформаційна війна в контексті гібридної війни</w:t>
            </w:r>
            <w:r w:rsidR="0003342F" w:rsidRPr="00112B82">
              <w:rPr>
                <w:rFonts w:eastAsia="Times New Roman" w:cs="Times New Roman"/>
                <w:szCs w:val="28"/>
                <w:lang w:val="uk-UA" w:eastAsia="ru-RU"/>
              </w:rPr>
              <w:t xml:space="preserve"> </w:t>
            </w:r>
            <w:r w:rsidR="00CD7A50" w:rsidRPr="00112B82">
              <w:rPr>
                <w:rFonts w:eastAsia="Times New Roman" w:cs="Times New Roman"/>
                <w:szCs w:val="28"/>
                <w:lang w:val="uk-UA" w:eastAsia="ru-RU"/>
              </w:rPr>
              <w:t>……………………..</w:t>
            </w:r>
            <w:r w:rsidR="001C1197" w:rsidRPr="00112B82">
              <w:rPr>
                <w:rFonts w:eastAsia="Times New Roman" w:cs="Times New Roman"/>
                <w:szCs w:val="28"/>
                <w:lang w:val="uk-UA" w:eastAsia="ru-RU"/>
              </w:rPr>
              <w:t>……</w:t>
            </w:r>
          </w:p>
        </w:tc>
        <w:tc>
          <w:tcPr>
            <w:tcW w:w="576" w:type="dxa"/>
            <w:vAlign w:val="bottom"/>
          </w:tcPr>
          <w:p w14:paraId="420A0327" w14:textId="627715AB" w:rsidR="00E31F29" w:rsidRPr="00112B82" w:rsidRDefault="00E31F29"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1</w:t>
            </w:r>
            <w:r w:rsidR="00112B82" w:rsidRPr="00112B82">
              <w:rPr>
                <w:rFonts w:eastAsia="Times New Roman" w:cs="Times New Roman"/>
                <w:szCs w:val="28"/>
                <w:lang w:val="uk-UA" w:eastAsia="ru-RU"/>
              </w:rPr>
              <w:t>2</w:t>
            </w:r>
          </w:p>
        </w:tc>
      </w:tr>
      <w:tr w:rsidR="00E31F29" w:rsidRPr="00112B82" w14:paraId="3CD5F3B8" w14:textId="77777777" w:rsidTr="00AE61FD">
        <w:tc>
          <w:tcPr>
            <w:tcW w:w="9489" w:type="dxa"/>
          </w:tcPr>
          <w:p w14:paraId="2F68E527" w14:textId="7BED5087"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1.3. </w:t>
            </w:r>
            <w:r w:rsidR="00CD7A50" w:rsidRPr="00112B82">
              <w:rPr>
                <w:rFonts w:cs="Times New Roman"/>
                <w:szCs w:val="28"/>
                <w:lang w:val="uk-UA"/>
              </w:rPr>
              <w:t>Інституційні та неінституційні суб’єкти інформаційних війн</w:t>
            </w:r>
            <w:r w:rsidR="0003342F" w:rsidRPr="00112B82">
              <w:rPr>
                <w:rFonts w:eastAsia="Times New Roman" w:cs="Times New Roman"/>
                <w:szCs w:val="28"/>
                <w:lang w:val="uk-UA" w:eastAsia="ru-RU"/>
              </w:rPr>
              <w:t xml:space="preserve"> </w:t>
            </w:r>
            <w:r w:rsidR="00CD7A50" w:rsidRPr="00112B82">
              <w:rPr>
                <w:rFonts w:eastAsia="Times New Roman" w:cs="Times New Roman"/>
                <w:szCs w:val="28"/>
                <w:lang w:val="uk-UA" w:eastAsia="ru-RU"/>
              </w:rPr>
              <w:t>……………</w:t>
            </w:r>
          </w:p>
        </w:tc>
        <w:tc>
          <w:tcPr>
            <w:tcW w:w="576" w:type="dxa"/>
            <w:vAlign w:val="bottom"/>
          </w:tcPr>
          <w:p w14:paraId="662BE3FB" w14:textId="5E098CAB" w:rsidR="00E31F29" w:rsidRPr="00112B82" w:rsidRDefault="00112B82"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15</w:t>
            </w:r>
          </w:p>
        </w:tc>
      </w:tr>
      <w:tr w:rsidR="00CB4549" w:rsidRPr="00112B82" w14:paraId="53AD3F24" w14:textId="77777777" w:rsidTr="00AE61FD">
        <w:tc>
          <w:tcPr>
            <w:tcW w:w="9489" w:type="dxa"/>
          </w:tcPr>
          <w:p w14:paraId="03D41B4F" w14:textId="215C46E7" w:rsidR="00CB4549" w:rsidRPr="00112B82" w:rsidRDefault="00CB454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Висновок за розділом 1</w:t>
            </w:r>
          </w:p>
        </w:tc>
        <w:tc>
          <w:tcPr>
            <w:tcW w:w="576" w:type="dxa"/>
            <w:vAlign w:val="bottom"/>
          </w:tcPr>
          <w:p w14:paraId="7B284A09" w14:textId="0CF2BDCC" w:rsidR="00CB4549" w:rsidRPr="00112B82" w:rsidRDefault="00F541E9"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24</w:t>
            </w:r>
          </w:p>
        </w:tc>
      </w:tr>
      <w:tr w:rsidR="00E31F29" w:rsidRPr="00112B82" w14:paraId="6564D4CC" w14:textId="77777777" w:rsidTr="00AE61FD">
        <w:tc>
          <w:tcPr>
            <w:tcW w:w="9489" w:type="dxa"/>
          </w:tcPr>
          <w:p w14:paraId="27850BA1" w14:textId="12018708"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РОЗДІЛ 2. </w:t>
            </w:r>
            <w:r w:rsidR="00CD7A50" w:rsidRPr="00112B82">
              <w:rPr>
                <w:rFonts w:cs="Times New Roman"/>
                <w:szCs w:val="28"/>
                <w:lang w:val="uk-UA"/>
              </w:rPr>
              <w:t>АРХІТЕКТОНІКА ІНФОРМАЦІЙНОЇ ВІЙНИ</w:t>
            </w:r>
            <w:r w:rsidR="00CD7A50" w:rsidRPr="00112B82">
              <w:rPr>
                <w:rFonts w:eastAsia="Times New Roman" w:cs="Times New Roman"/>
                <w:szCs w:val="28"/>
                <w:lang w:val="uk-UA" w:eastAsia="ru-RU"/>
              </w:rPr>
              <w:t xml:space="preserve"> ……………………</w:t>
            </w:r>
          </w:p>
        </w:tc>
        <w:tc>
          <w:tcPr>
            <w:tcW w:w="576" w:type="dxa"/>
            <w:vAlign w:val="bottom"/>
          </w:tcPr>
          <w:p w14:paraId="361BD91C" w14:textId="5B69351D" w:rsidR="00E31F29" w:rsidRPr="00112B82" w:rsidRDefault="0046072A"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26</w:t>
            </w:r>
          </w:p>
        </w:tc>
      </w:tr>
      <w:tr w:rsidR="00E31F29" w:rsidRPr="00112B82" w14:paraId="20D1E79C" w14:textId="77777777" w:rsidTr="00AE61FD">
        <w:tc>
          <w:tcPr>
            <w:tcW w:w="9489" w:type="dxa"/>
          </w:tcPr>
          <w:p w14:paraId="684476D7" w14:textId="7AE665A5"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2.1. </w:t>
            </w:r>
            <w:r w:rsidR="00CD7A50" w:rsidRPr="00112B82">
              <w:rPr>
                <w:rFonts w:cs="Times New Roman"/>
                <w:szCs w:val="28"/>
                <w:lang w:val="uk-UA"/>
              </w:rPr>
              <w:t>Засоби інформаційної війни: інструментальний рівень впливу</w:t>
            </w:r>
            <w:r w:rsidR="00C91A14" w:rsidRPr="00112B82">
              <w:rPr>
                <w:rFonts w:eastAsia="Times New Roman" w:cs="Times New Roman"/>
                <w:szCs w:val="28"/>
                <w:lang w:val="uk-UA" w:eastAsia="ru-RU"/>
              </w:rPr>
              <w:t xml:space="preserve"> </w:t>
            </w:r>
            <w:r w:rsidR="00CD7A50" w:rsidRPr="00112B82">
              <w:rPr>
                <w:rFonts w:eastAsia="Times New Roman" w:cs="Times New Roman"/>
                <w:szCs w:val="28"/>
                <w:lang w:val="uk-UA" w:eastAsia="ru-RU"/>
              </w:rPr>
              <w:t>…………..</w:t>
            </w:r>
          </w:p>
        </w:tc>
        <w:tc>
          <w:tcPr>
            <w:tcW w:w="576" w:type="dxa"/>
            <w:vAlign w:val="bottom"/>
          </w:tcPr>
          <w:p w14:paraId="2590030E" w14:textId="67BB206E" w:rsidR="00E31F29" w:rsidRPr="00112B82" w:rsidRDefault="0046072A"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26</w:t>
            </w:r>
          </w:p>
        </w:tc>
      </w:tr>
      <w:tr w:rsidR="00E31F29" w:rsidRPr="00112B82" w14:paraId="75D8185C" w14:textId="77777777" w:rsidTr="00AE61FD">
        <w:tc>
          <w:tcPr>
            <w:tcW w:w="9489" w:type="dxa"/>
          </w:tcPr>
          <w:p w14:paraId="2FAF1601" w14:textId="63151342"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2.2. </w:t>
            </w:r>
            <w:r w:rsidR="00CD7A50" w:rsidRPr="00112B82">
              <w:rPr>
                <w:rFonts w:cs="Times New Roman"/>
                <w:szCs w:val="28"/>
                <w:lang w:val="uk-UA"/>
              </w:rPr>
              <w:t>Механізми інформаційного впливу: процесуально-когнітивний рівень</w:t>
            </w:r>
            <w:r w:rsidR="00CD7A50" w:rsidRPr="00112B82">
              <w:rPr>
                <w:rFonts w:eastAsia="Calibri" w:cs="Times New Roman"/>
                <w:szCs w:val="28"/>
                <w:lang w:val="uk-UA"/>
              </w:rPr>
              <w:t xml:space="preserve"> ….</w:t>
            </w:r>
          </w:p>
        </w:tc>
        <w:tc>
          <w:tcPr>
            <w:tcW w:w="576" w:type="dxa"/>
            <w:vAlign w:val="bottom"/>
          </w:tcPr>
          <w:p w14:paraId="6AEBDF08" w14:textId="4B7A7CCE" w:rsidR="00E31F29" w:rsidRPr="00112B82" w:rsidRDefault="0046072A"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3</w:t>
            </w:r>
            <w:r w:rsidR="00112B82" w:rsidRPr="00112B82">
              <w:rPr>
                <w:rFonts w:eastAsia="Times New Roman" w:cs="Times New Roman"/>
                <w:szCs w:val="28"/>
                <w:lang w:val="uk-UA" w:eastAsia="ru-RU"/>
              </w:rPr>
              <w:t>2</w:t>
            </w:r>
          </w:p>
        </w:tc>
      </w:tr>
      <w:tr w:rsidR="00E31F29" w:rsidRPr="00112B82" w14:paraId="35F77D60" w14:textId="77777777" w:rsidTr="00AE61FD">
        <w:tc>
          <w:tcPr>
            <w:tcW w:w="9489" w:type="dxa"/>
          </w:tcPr>
          <w:p w14:paraId="7E2B7555" w14:textId="3BD1F160"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 xml:space="preserve">2.3. </w:t>
            </w:r>
            <w:r w:rsidR="00CD7A50" w:rsidRPr="00112B82">
              <w:rPr>
                <w:rFonts w:cs="Times New Roman"/>
                <w:szCs w:val="28"/>
                <w:lang w:val="uk-UA"/>
              </w:rPr>
              <w:t>Ефекти інформаційної війни: політико-поведінковий рівень</w:t>
            </w:r>
            <w:r w:rsidR="00CD7A50" w:rsidRPr="00112B82">
              <w:rPr>
                <w:rFonts w:eastAsia="Calibri" w:cs="Times New Roman"/>
                <w:szCs w:val="28"/>
                <w:lang w:val="uk-UA"/>
              </w:rPr>
              <w:t>………………</w:t>
            </w:r>
          </w:p>
        </w:tc>
        <w:tc>
          <w:tcPr>
            <w:tcW w:w="576" w:type="dxa"/>
            <w:vAlign w:val="bottom"/>
          </w:tcPr>
          <w:p w14:paraId="64413E14" w14:textId="49E6568F" w:rsidR="00E31F29" w:rsidRPr="00112B82" w:rsidRDefault="00112B82"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39</w:t>
            </w:r>
          </w:p>
        </w:tc>
      </w:tr>
      <w:tr w:rsidR="00CB4549" w:rsidRPr="00112B82" w14:paraId="244AA9A8" w14:textId="77777777" w:rsidTr="00AE61FD">
        <w:tc>
          <w:tcPr>
            <w:tcW w:w="9489" w:type="dxa"/>
          </w:tcPr>
          <w:p w14:paraId="78E5EEB4" w14:textId="44C08AB2" w:rsidR="00CB4549" w:rsidRPr="00112B82" w:rsidRDefault="00CB454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Висновок за розділом 2</w:t>
            </w:r>
          </w:p>
        </w:tc>
        <w:tc>
          <w:tcPr>
            <w:tcW w:w="576" w:type="dxa"/>
            <w:vAlign w:val="bottom"/>
          </w:tcPr>
          <w:p w14:paraId="28035E70" w14:textId="0EE07D66" w:rsidR="00CB4549" w:rsidRPr="00112B82" w:rsidRDefault="0046072A"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4</w:t>
            </w:r>
            <w:r w:rsidR="00112B82" w:rsidRPr="00112B82">
              <w:rPr>
                <w:rFonts w:eastAsia="Times New Roman" w:cs="Times New Roman"/>
                <w:szCs w:val="28"/>
                <w:lang w:val="uk-UA" w:eastAsia="ru-RU"/>
              </w:rPr>
              <w:t>4</w:t>
            </w:r>
          </w:p>
        </w:tc>
      </w:tr>
      <w:tr w:rsidR="00E31F29" w:rsidRPr="00112B82" w14:paraId="1B53E77E" w14:textId="77777777" w:rsidTr="00AE61FD">
        <w:tc>
          <w:tcPr>
            <w:tcW w:w="9489" w:type="dxa"/>
          </w:tcPr>
          <w:p w14:paraId="254391B0" w14:textId="1922CBCB"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РОЗДІЛ 3. </w:t>
            </w:r>
            <w:r w:rsidR="00CD7A50" w:rsidRPr="00112B82">
              <w:rPr>
                <w:rFonts w:cs="Times New Roman"/>
                <w:szCs w:val="28"/>
                <w:lang w:val="uk-UA"/>
              </w:rPr>
              <w:t>ПРОТИДІЯ ІНФОРМАЦІЙНИМ ВІЙНАМ ТА ФОРМУВАННЯ СТІЙКОСТІ</w:t>
            </w:r>
            <w:r w:rsidR="00CD7A50" w:rsidRPr="00112B82">
              <w:rPr>
                <w:rFonts w:eastAsia="Calibri" w:cs="Times New Roman"/>
                <w:szCs w:val="28"/>
                <w:lang w:val="uk-UA"/>
              </w:rPr>
              <w:t xml:space="preserve"> </w:t>
            </w:r>
            <w:r w:rsidR="00F67FEB" w:rsidRPr="00112B82">
              <w:rPr>
                <w:rFonts w:eastAsia="Calibri" w:cs="Times New Roman"/>
                <w:szCs w:val="28"/>
                <w:lang w:val="uk-UA"/>
              </w:rPr>
              <w:t>……………………………………………………………………….</w:t>
            </w:r>
          </w:p>
        </w:tc>
        <w:tc>
          <w:tcPr>
            <w:tcW w:w="576" w:type="dxa"/>
            <w:vAlign w:val="bottom"/>
          </w:tcPr>
          <w:p w14:paraId="2C38D519" w14:textId="5987529E" w:rsidR="00E31F29" w:rsidRPr="00112B82" w:rsidRDefault="00D656CC"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4</w:t>
            </w:r>
            <w:r w:rsidR="00997869" w:rsidRPr="00112B82">
              <w:rPr>
                <w:rFonts w:eastAsia="Times New Roman" w:cs="Times New Roman"/>
                <w:szCs w:val="28"/>
                <w:lang w:val="uk-UA" w:eastAsia="ru-RU"/>
              </w:rPr>
              <w:t>6</w:t>
            </w:r>
          </w:p>
        </w:tc>
      </w:tr>
      <w:tr w:rsidR="00E31F29" w:rsidRPr="00112B82" w14:paraId="5C406B67" w14:textId="77777777" w:rsidTr="00AE61FD">
        <w:tc>
          <w:tcPr>
            <w:tcW w:w="9489" w:type="dxa"/>
          </w:tcPr>
          <w:p w14:paraId="7CE48438" w14:textId="196B893D" w:rsidR="00E31F29" w:rsidRPr="00112B82" w:rsidRDefault="00E31F29" w:rsidP="00E31F29">
            <w:pPr>
              <w:spacing w:line="360" w:lineRule="auto"/>
              <w:jc w:val="both"/>
              <w:rPr>
                <w:rFonts w:eastAsia="Times New Roman" w:cs="Times New Roman"/>
                <w:szCs w:val="28"/>
                <w:lang w:val="uk-UA" w:eastAsia="ru-RU"/>
              </w:rPr>
            </w:pPr>
            <w:r w:rsidRPr="00112B82">
              <w:rPr>
                <w:rFonts w:eastAsia="Times New Roman" w:cs="Times New Roman"/>
                <w:szCs w:val="28"/>
                <w:lang w:val="uk-UA" w:eastAsia="ru-RU"/>
              </w:rPr>
              <w:t xml:space="preserve">3.1. </w:t>
            </w:r>
            <w:r w:rsidR="00F67FEB" w:rsidRPr="00112B82">
              <w:rPr>
                <w:rFonts w:cs="Times New Roman"/>
                <w:szCs w:val="28"/>
                <w:lang w:val="uk-UA"/>
              </w:rPr>
              <w:t>Інформаційна безпека та державна політика</w:t>
            </w:r>
            <w:r w:rsidR="00326223" w:rsidRPr="00112B82">
              <w:rPr>
                <w:rFonts w:cs="Times New Roman"/>
                <w:szCs w:val="28"/>
                <w:lang w:val="uk-UA"/>
              </w:rPr>
              <w:t xml:space="preserve"> </w:t>
            </w:r>
            <w:r w:rsidR="00F67FEB" w:rsidRPr="00112B82">
              <w:rPr>
                <w:rFonts w:cs="Times New Roman"/>
                <w:szCs w:val="28"/>
                <w:lang w:val="uk-UA"/>
              </w:rPr>
              <w:t>……………………….</w:t>
            </w:r>
            <w:r w:rsidR="00326223" w:rsidRPr="00112B82">
              <w:rPr>
                <w:rFonts w:cs="Times New Roman"/>
                <w:szCs w:val="28"/>
                <w:lang w:val="uk-UA"/>
              </w:rPr>
              <w:t>……...</w:t>
            </w:r>
          </w:p>
        </w:tc>
        <w:tc>
          <w:tcPr>
            <w:tcW w:w="576" w:type="dxa"/>
            <w:vAlign w:val="bottom"/>
          </w:tcPr>
          <w:p w14:paraId="65B14211" w14:textId="38F94A70" w:rsidR="00E31F29" w:rsidRPr="00112B82" w:rsidRDefault="00E31F29"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4</w:t>
            </w:r>
            <w:r w:rsidR="00997869" w:rsidRPr="00112B82">
              <w:rPr>
                <w:rFonts w:eastAsia="Times New Roman" w:cs="Times New Roman"/>
                <w:szCs w:val="28"/>
                <w:lang w:val="uk-UA" w:eastAsia="ru-RU"/>
              </w:rPr>
              <w:t>6</w:t>
            </w:r>
          </w:p>
        </w:tc>
      </w:tr>
      <w:tr w:rsidR="00E31F29" w:rsidRPr="00112B82" w14:paraId="370DDA80" w14:textId="77777777" w:rsidTr="00AE61FD">
        <w:tc>
          <w:tcPr>
            <w:tcW w:w="9489" w:type="dxa"/>
          </w:tcPr>
          <w:p w14:paraId="2E653778" w14:textId="4A6844DA"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3.2. </w:t>
            </w:r>
            <w:r w:rsidR="00920557" w:rsidRPr="00112B82">
              <w:rPr>
                <w:rFonts w:cs="Times New Roman"/>
                <w:szCs w:val="28"/>
                <w:lang w:val="uk-UA"/>
              </w:rPr>
              <w:t>Критичне мислення та інформаційна гігієна громадян</w:t>
            </w:r>
            <w:r w:rsidR="00920557" w:rsidRPr="00112B82">
              <w:rPr>
                <w:rFonts w:cs="Times New Roman"/>
                <w:szCs w:val="28"/>
                <w:lang w:val="uk-UA"/>
              </w:rPr>
              <w:t xml:space="preserve"> ……………………</w:t>
            </w:r>
          </w:p>
        </w:tc>
        <w:tc>
          <w:tcPr>
            <w:tcW w:w="576" w:type="dxa"/>
            <w:vAlign w:val="bottom"/>
          </w:tcPr>
          <w:p w14:paraId="7C0DC364" w14:textId="12683AFF" w:rsidR="00E31F29" w:rsidRPr="00112B82" w:rsidRDefault="00D656CC"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5</w:t>
            </w:r>
            <w:r w:rsidR="00997869" w:rsidRPr="00112B82">
              <w:rPr>
                <w:rFonts w:eastAsia="Times New Roman" w:cs="Times New Roman"/>
                <w:szCs w:val="28"/>
                <w:lang w:val="uk-UA" w:eastAsia="ru-RU"/>
              </w:rPr>
              <w:t>3</w:t>
            </w:r>
          </w:p>
        </w:tc>
      </w:tr>
      <w:tr w:rsidR="00E31F29" w:rsidRPr="00112B82" w14:paraId="2285C01E" w14:textId="77777777" w:rsidTr="00AE61FD">
        <w:tc>
          <w:tcPr>
            <w:tcW w:w="9489" w:type="dxa"/>
          </w:tcPr>
          <w:p w14:paraId="29842E0D" w14:textId="799EE5C1"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 xml:space="preserve">3.3. </w:t>
            </w:r>
            <w:r w:rsidR="00920557" w:rsidRPr="00112B82">
              <w:rPr>
                <w:rFonts w:cs="Times New Roman"/>
                <w:szCs w:val="28"/>
                <w:lang w:val="uk-UA"/>
              </w:rPr>
              <w:t>Міжнародний досвід і колективна відповідь на інформаційні загрози</w:t>
            </w:r>
            <w:r w:rsidR="00920557" w:rsidRPr="00112B82">
              <w:rPr>
                <w:rFonts w:eastAsia="Times New Roman" w:cs="Times New Roman"/>
                <w:szCs w:val="28"/>
                <w:lang w:val="uk-UA" w:eastAsia="ru-RU"/>
              </w:rPr>
              <w:t xml:space="preserve"> …..</w:t>
            </w:r>
          </w:p>
        </w:tc>
        <w:tc>
          <w:tcPr>
            <w:tcW w:w="576" w:type="dxa"/>
            <w:vAlign w:val="bottom"/>
          </w:tcPr>
          <w:p w14:paraId="4EE7827C" w14:textId="70B301ED" w:rsidR="00E31F29" w:rsidRPr="00112B82" w:rsidRDefault="00D656CC"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5</w:t>
            </w:r>
            <w:r w:rsidR="00997869" w:rsidRPr="00112B82">
              <w:rPr>
                <w:rFonts w:eastAsia="Times New Roman" w:cs="Times New Roman"/>
                <w:szCs w:val="28"/>
                <w:lang w:val="uk-UA" w:eastAsia="ru-RU"/>
              </w:rPr>
              <w:t>7</w:t>
            </w:r>
          </w:p>
        </w:tc>
      </w:tr>
      <w:tr w:rsidR="00CB4549" w:rsidRPr="00112B82" w14:paraId="34B4D47E" w14:textId="77777777" w:rsidTr="00AE61FD">
        <w:tc>
          <w:tcPr>
            <w:tcW w:w="9489" w:type="dxa"/>
          </w:tcPr>
          <w:p w14:paraId="26CC0DCB" w14:textId="688C5C84" w:rsidR="00CB4549" w:rsidRPr="00112B82" w:rsidRDefault="00CB454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Висновок за розділом 3</w:t>
            </w:r>
          </w:p>
        </w:tc>
        <w:tc>
          <w:tcPr>
            <w:tcW w:w="576" w:type="dxa"/>
            <w:vAlign w:val="bottom"/>
          </w:tcPr>
          <w:p w14:paraId="7D39FD3C" w14:textId="4CFA27B0" w:rsidR="00CB4549" w:rsidRPr="00112B82" w:rsidRDefault="00D656CC"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61</w:t>
            </w:r>
          </w:p>
        </w:tc>
      </w:tr>
      <w:tr w:rsidR="00E31F29" w:rsidRPr="00112B82" w14:paraId="77AE96E3" w14:textId="77777777" w:rsidTr="00AE61FD">
        <w:tc>
          <w:tcPr>
            <w:tcW w:w="9489" w:type="dxa"/>
          </w:tcPr>
          <w:p w14:paraId="7240268E" w14:textId="25D815F4"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РОЗДІЛ</w:t>
            </w:r>
            <w:r w:rsidR="00920557" w:rsidRPr="00112B82">
              <w:rPr>
                <w:rFonts w:eastAsia="Times New Roman" w:cs="Times New Roman"/>
                <w:szCs w:val="28"/>
                <w:lang w:val="uk-UA" w:eastAsia="ru-RU"/>
              </w:rPr>
              <w:t> </w:t>
            </w:r>
            <w:r w:rsidRPr="00112B82">
              <w:rPr>
                <w:rFonts w:eastAsia="Times New Roman" w:cs="Times New Roman"/>
                <w:szCs w:val="28"/>
                <w:lang w:val="uk-UA" w:eastAsia="ru-RU"/>
              </w:rPr>
              <w:t>4.</w:t>
            </w:r>
            <w:r w:rsidR="00920557" w:rsidRPr="00112B82">
              <w:rPr>
                <w:rFonts w:eastAsia="Times New Roman" w:cs="Times New Roman"/>
                <w:szCs w:val="28"/>
                <w:lang w:val="uk-UA" w:eastAsia="ru-RU"/>
              </w:rPr>
              <w:t> </w:t>
            </w:r>
            <w:r w:rsidR="00920557" w:rsidRPr="00112B82">
              <w:rPr>
                <w:rFonts w:cs="Times New Roman"/>
                <w:szCs w:val="28"/>
                <w:lang w:val="uk-UA"/>
              </w:rPr>
              <w:t>РОСІЙСЬКО-УКРАЇНСЬКА ВІЙНА ЯК КЕЙС ІНФОРМАЦІЙНОГО ПРОТИСТОЯННЯ</w:t>
            </w:r>
            <w:r w:rsidR="00326223" w:rsidRPr="00112B82">
              <w:rPr>
                <w:rFonts w:eastAsia="Calibri" w:cs="Times New Roman"/>
                <w:szCs w:val="28"/>
                <w:lang w:val="uk-UA"/>
              </w:rPr>
              <w:t xml:space="preserve"> </w:t>
            </w:r>
            <w:r w:rsidR="00920557" w:rsidRPr="00112B82">
              <w:rPr>
                <w:rFonts w:eastAsia="Calibri" w:cs="Times New Roman"/>
                <w:szCs w:val="28"/>
                <w:lang w:val="uk-UA"/>
              </w:rPr>
              <w:t>………………………………………</w:t>
            </w:r>
          </w:p>
        </w:tc>
        <w:tc>
          <w:tcPr>
            <w:tcW w:w="576" w:type="dxa"/>
            <w:vAlign w:val="bottom"/>
          </w:tcPr>
          <w:p w14:paraId="22141677" w14:textId="5DAD80A2" w:rsidR="00E31F29" w:rsidRPr="00112B82" w:rsidRDefault="000B4C9E"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6</w:t>
            </w:r>
            <w:r w:rsidR="00FC1C3C" w:rsidRPr="00112B82">
              <w:rPr>
                <w:rFonts w:eastAsia="Times New Roman" w:cs="Times New Roman"/>
                <w:szCs w:val="28"/>
                <w:lang w:val="uk-UA" w:eastAsia="ru-RU"/>
              </w:rPr>
              <w:t>3</w:t>
            </w:r>
          </w:p>
        </w:tc>
      </w:tr>
      <w:tr w:rsidR="00E31F29" w:rsidRPr="00112B82" w14:paraId="516BB0C0" w14:textId="77777777" w:rsidTr="00AE61FD">
        <w:tc>
          <w:tcPr>
            <w:tcW w:w="9489" w:type="dxa"/>
          </w:tcPr>
          <w:p w14:paraId="7FDF837D" w14:textId="72D12121"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 xml:space="preserve">4.1. </w:t>
            </w:r>
            <w:r w:rsidR="00920557" w:rsidRPr="00112B82">
              <w:rPr>
                <w:rFonts w:cs="Times New Roman"/>
                <w:szCs w:val="28"/>
                <w:lang w:val="uk-UA"/>
              </w:rPr>
              <w:t>Еволюція інформаційної війни Росії проти України (2014–2025 рр.)</w:t>
            </w:r>
            <w:r w:rsidR="00920557" w:rsidRPr="00112B82">
              <w:rPr>
                <w:rFonts w:eastAsia="Times New Roman" w:cs="Times New Roman"/>
                <w:szCs w:val="28"/>
                <w:lang w:val="uk-UA" w:eastAsia="ru-RU"/>
              </w:rPr>
              <w:t xml:space="preserve"> ……</w:t>
            </w:r>
          </w:p>
        </w:tc>
        <w:tc>
          <w:tcPr>
            <w:tcW w:w="576" w:type="dxa"/>
            <w:vAlign w:val="bottom"/>
          </w:tcPr>
          <w:p w14:paraId="3CC44A85" w14:textId="1EB5FCA1" w:rsidR="00E31F29" w:rsidRPr="00112B82" w:rsidRDefault="000B4C9E"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6</w:t>
            </w:r>
            <w:r w:rsidR="00FC1C3C" w:rsidRPr="00112B82">
              <w:rPr>
                <w:rFonts w:eastAsia="Times New Roman" w:cs="Times New Roman"/>
                <w:szCs w:val="28"/>
                <w:lang w:val="uk-UA" w:eastAsia="ru-RU"/>
              </w:rPr>
              <w:t>3</w:t>
            </w:r>
          </w:p>
        </w:tc>
      </w:tr>
      <w:tr w:rsidR="00E31F29" w:rsidRPr="00112B82" w14:paraId="4B6A6039" w14:textId="77777777" w:rsidTr="00AE61FD">
        <w:tc>
          <w:tcPr>
            <w:tcW w:w="9489" w:type="dxa"/>
          </w:tcPr>
          <w:p w14:paraId="2B6886D3" w14:textId="454C182B"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 xml:space="preserve">4.2. </w:t>
            </w:r>
            <w:proofErr w:type="spellStart"/>
            <w:r w:rsidR="00920557" w:rsidRPr="00112B82">
              <w:rPr>
                <w:rFonts w:cs="Times New Roman"/>
                <w:szCs w:val="28"/>
                <w:lang w:val="uk-UA"/>
              </w:rPr>
              <w:t>Проводні</w:t>
            </w:r>
            <w:proofErr w:type="spellEnd"/>
            <w:r w:rsidR="00920557" w:rsidRPr="00112B82">
              <w:rPr>
                <w:rFonts w:cs="Times New Roman"/>
                <w:szCs w:val="28"/>
                <w:lang w:val="uk-UA"/>
              </w:rPr>
              <w:t xml:space="preserve"> російські інформаційні </w:t>
            </w:r>
            <w:proofErr w:type="spellStart"/>
            <w:r w:rsidR="00920557" w:rsidRPr="00112B82">
              <w:rPr>
                <w:rFonts w:cs="Times New Roman"/>
                <w:szCs w:val="28"/>
                <w:lang w:val="uk-UA"/>
              </w:rPr>
              <w:t>наративи</w:t>
            </w:r>
            <w:proofErr w:type="spellEnd"/>
            <w:r w:rsidR="00920557" w:rsidRPr="00112B82">
              <w:rPr>
                <w:rFonts w:eastAsia="Calibri" w:cs="Times New Roman"/>
                <w:szCs w:val="28"/>
                <w:lang w:val="uk-UA"/>
              </w:rPr>
              <w:t xml:space="preserve"> ……………………………….</w:t>
            </w:r>
          </w:p>
        </w:tc>
        <w:tc>
          <w:tcPr>
            <w:tcW w:w="576" w:type="dxa"/>
            <w:vAlign w:val="bottom"/>
          </w:tcPr>
          <w:p w14:paraId="640914A8" w14:textId="1C8D433E" w:rsidR="00E31F29" w:rsidRPr="00112B82" w:rsidRDefault="000B4C9E"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67</w:t>
            </w:r>
          </w:p>
        </w:tc>
      </w:tr>
      <w:tr w:rsidR="00E31F29" w:rsidRPr="00112B82" w14:paraId="2F8133BF" w14:textId="77777777" w:rsidTr="00AE61FD">
        <w:tc>
          <w:tcPr>
            <w:tcW w:w="9489" w:type="dxa"/>
          </w:tcPr>
          <w:p w14:paraId="4AFA59D3" w14:textId="60D323C2"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4.3.</w:t>
            </w:r>
            <w:r w:rsidR="00920557" w:rsidRPr="00112B82">
              <w:rPr>
                <w:rFonts w:eastAsia="Times New Roman" w:cs="Times New Roman"/>
                <w:szCs w:val="28"/>
                <w:lang w:val="uk-UA" w:eastAsia="ru-RU"/>
              </w:rPr>
              <w:t> </w:t>
            </w:r>
            <w:r w:rsidR="00920557" w:rsidRPr="00112B82">
              <w:rPr>
                <w:rFonts w:cs="Times New Roman"/>
                <w:szCs w:val="28"/>
                <w:lang w:val="uk-UA"/>
              </w:rPr>
              <w:t>Українська модель інформаційного спротиву</w:t>
            </w:r>
            <w:r w:rsidR="00920557" w:rsidRPr="00112B82">
              <w:rPr>
                <w:rFonts w:eastAsia="Calibri" w:cs="Times New Roman"/>
                <w:szCs w:val="28"/>
                <w:lang w:val="uk-UA"/>
              </w:rPr>
              <w:t xml:space="preserve"> …………………………….</w:t>
            </w:r>
          </w:p>
        </w:tc>
        <w:tc>
          <w:tcPr>
            <w:tcW w:w="576" w:type="dxa"/>
            <w:vAlign w:val="bottom"/>
          </w:tcPr>
          <w:p w14:paraId="0154DBCF" w14:textId="68C4F374" w:rsidR="00E31F29" w:rsidRPr="00112B82" w:rsidRDefault="00FC1C3C"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71</w:t>
            </w:r>
          </w:p>
        </w:tc>
      </w:tr>
      <w:tr w:rsidR="00E31F29" w:rsidRPr="00112B82" w14:paraId="07B7B032" w14:textId="77777777" w:rsidTr="00AE61FD">
        <w:tc>
          <w:tcPr>
            <w:tcW w:w="9489" w:type="dxa"/>
          </w:tcPr>
          <w:p w14:paraId="0AAAEBED" w14:textId="77777777" w:rsidR="00E31F29" w:rsidRPr="00112B82" w:rsidRDefault="00E31F29" w:rsidP="00E31F29">
            <w:pPr>
              <w:spacing w:line="276" w:lineRule="auto"/>
              <w:jc w:val="both"/>
              <w:rPr>
                <w:rFonts w:eastAsia="Times New Roman" w:cs="Times New Roman"/>
                <w:szCs w:val="28"/>
                <w:lang w:val="uk-UA" w:eastAsia="ru-RU"/>
              </w:rPr>
            </w:pPr>
            <w:r w:rsidRPr="00112B82">
              <w:rPr>
                <w:rFonts w:eastAsia="Times New Roman" w:cs="Times New Roman"/>
                <w:szCs w:val="28"/>
                <w:lang w:val="uk-UA" w:eastAsia="ru-RU"/>
              </w:rPr>
              <w:t>Висновок за розділом 4 ………………………………………………………….</w:t>
            </w:r>
          </w:p>
        </w:tc>
        <w:tc>
          <w:tcPr>
            <w:tcW w:w="576" w:type="dxa"/>
            <w:vAlign w:val="bottom"/>
          </w:tcPr>
          <w:p w14:paraId="5A29914A" w14:textId="6BB7094C" w:rsidR="00E31F29" w:rsidRPr="00112B82" w:rsidRDefault="00E31F29" w:rsidP="00E31F29">
            <w:pPr>
              <w:spacing w:line="360" w:lineRule="auto"/>
              <w:jc w:val="center"/>
              <w:rPr>
                <w:rFonts w:eastAsia="Times New Roman" w:cs="Times New Roman"/>
                <w:szCs w:val="28"/>
                <w:lang w:val="uk-UA" w:eastAsia="ru-RU"/>
              </w:rPr>
            </w:pPr>
            <w:r w:rsidRPr="00112B82">
              <w:rPr>
                <w:rFonts w:eastAsia="Times New Roman" w:cs="Times New Roman"/>
                <w:szCs w:val="28"/>
                <w:lang w:val="uk-UA" w:eastAsia="ru-RU"/>
              </w:rPr>
              <w:t>7</w:t>
            </w:r>
            <w:r w:rsidR="00FC1C3C" w:rsidRPr="00112B82">
              <w:rPr>
                <w:rFonts w:eastAsia="Times New Roman" w:cs="Times New Roman"/>
                <w:szCs w:val="28"/>
                <w:lang w:val="uk-UA" w:eastAsia="ru-RU"/>
              </w:rPr>
              <w:t>5</w:t>
            </w:r>
          </w:p>
        </w:tc>
      </w:tr>
      <w:tr w:rsidR="00C91A14" w:rsidRPr="00112B82" w14:paraId="725CBD40" w14:textId="77777777" w:rsidTr="00AE61FD">
        <w:tc>
          <w:tcPr>
            <w:tcW w:w="9489" w:type="dxa"/>
          </w:tcPr>
          <w:p w14:paraId="0F28312C" w14:textId="5BFE674B" w:rsidR="00C91A14" w:rsidRPr="00112B82" w:rsidRDefault="00C91A14" w:rsidP="00C91A14">
            <w:pPr>
              <w:spacing w:line="276" w:lineRule="auto"/>
              <w:jc w:val="both"/>
              <w:rPr>
                <w:rFonts w:eastAsia="Times New Roman" w:cs="Times New Roman"/>
                <w:szCs w:val="28"/>
                <w:lang w:val="uk-UA" w:eastAsia="ru-RU"/>
              </w:rPr>
            </w:pPr>
            <w:r w:rsidRPr="00112B82">
              <w:rPr>
                <w:rFonts w:cs="Times New Roman"/>
                <w:szCs w:val="28"/>
                <w:lang w:val="uk-UA"/>
              </w:rPr>
              <w:t>ВИСНОВКИ ………………………………………………………………………</w:t>
            </w:r>
          </w:p>
        </w:tc>
        <w:tc>
          <w:tcPr>
            <w:tcW w:w="576" w:type="dxa"/>
            <w:vAlign w:val="bottom"/>
          </w:tcPr>
          <w:p w14:paraId="13F32846" w14:textId="5E38B383" w:rsidR="00C91A14" w:rsidRPr="00112B82" w:rsidRDefault="000B4C9E" w:rsidP="00C91A14">
            <w:pPr>
              <w:spacing w:line="360" w:lineRule="auto"/>
              <w:jc w:val="center"/>
              <w:rPr>
                <w:rFonts w:eastAsia="Times New Roman" w:cs="Times New Roman"/>
                <w:szCs w:val="28"/>
                <w:lang w:val="uk-UA" w:eastAsia="ru-RU"/>
              </w:rPr>
            </w:pPr>
            <w:r w:rsidRPr="00112B82">
              <w:rPr>
                <w:rFonts w:cs="Times New Roman"/>
                <w:szCs w:val="28"/>
                <w:lang w:val="uk-UA"/>
              </w:rPr>
              <w:t>7</w:t>
            </w:r>
            <w:r w:rsidR="006607F7" w:rsidRPr="00112B82">
              <w:rPr>
                <w:rFonts w:cs="Times New Roman"/>
                <w:szCs w:val="28"/>
                <w:lang w:val="uk-UA"/>
              </w:rPr>
              <w:t>7</w:t>
            </w:r>
          </w:p>
        </w:tc>
      </w:tr>
      <w:tr w:rsidR="00C91A14" w:rsidRPr="00112B82" w14:paraId="3BACCC22" w14:textId="77777777" w:rsidTr="00AE61FD">
        <w:tc>
          <w:tcPr>
            <w:tcW w:w="9489" w:type="dxa"/>
          </w:tcPr>
          <w:p w14:paraId="27E4ADD0" w14:textId="6D578867" w:rsidR="00C91A14" w:rsidRPr="00112B82" w:rsidRDefault="00C91A14" w:rsidP="00C91A14">
            <w:pPr>
              <w:spacing w:line="276" w:lineRule="auto"/>
              <w:jc w:val="both"/>
              <w:rPr>
                <w:rFonts w:eastAsia="Times New Roman" w:cs="Times New Roman"/>
                <w:szCs w:val="28"/>
                <w:lang w:val="uk-UA" w:eastAsia="ru-RU"/>
              </w:rPr>
            </w:pPr>
            <w:r w:rsidRPr="00112B82">
              <w:rPr>
                <w:rFonts w:cs="Times New Roman"/>
                <w:szCs w:val="28"/>
                <w:lang w:val="uk-UA"/>
              </w:rPr>
              <w:t>СПИСОК ВИКОРИСТАНИХ ДЖЕРЕЛ ……………………………………….</w:t>
            </w:r>
          </w:p>
        </w:tc>
        <w:tc>
          <w:tcPr>
            <w:tcW w:w="576" w:type="dxa"/>
            <w:vAlign w:val="bottom"/>
          </w:tcPr>
          <w:p w14:paraId="0AECDB7C" w14:textId="0D7361AF" w:rsidR="00C91A14" w:rsidRPr="00112B82" w:rsidRDefault="00050941" w:rsidP="00C91A14">
            <w:pPr>
              <w:spacing w:line="360" w:lineRule="auto"/>
              <w:jc w:val="center"/>
              <w:rPr>
                <w:rFonts w:eastAsia="Times New Roman" w:cs="Times New Roman"/>
                <w:szCs w:val="28"/>
                <w:lang w:val="uk-UA" w:eastAsia="ru-RU"/>
              </w:rPr>
            </w:pPr>
            <w:r w:rsidRPr="00112B82">
              <w:rPr>
                <w:rFonts w:cs="Times New Roman"/>
                <w:szCs w:val="28"/>
                <w:lang w:val="uk-UA"/>
              </w:rPr>
              <w:t>7</w:t>
            </w:r>
            <w:r w:rsidR="006607F7" w:rsidRPr="00112B82">
              <w:rPr>
                <w:rFonts w:cs="Times New Roman"/>
                <w:szCs w:val="28"/>
                <w:lang w:val="uk-UA"/>
              </w:rPr>
              <w:t>4</w:t>
            </w:r>
          </w:p>
        </w:tc>
      </w:tr>
    </w:tbl>
    <w:p w14:paraId="06A4AEB5" w14:textId="77777777" w:rsidR="00DF6007" w:rsidRPr="00112B82" w:rsidRDefault="00DF6007">
      <w:pPr>
        <w:rPr>
          <w:rFonts w:ascii="Times New Roman" w:hAnsi="Times New Roman" w:cs="Times New Roman"/>
          <w:lang w:val="uk-UA"/>
        </w:rPr>
      </w:pPr>
    </w:p>
    <w:p w14:paraId="6CB6253B" w14:textId="77777777" w:rsidR="0017675D" w:rsidRPr="00112B82" w:rsidRDefault="0017675D">
      <w:pPr>
        <w:rPr>
          <w:rFonts w:ascii="Times New Roman" w:hAnsi="Times New Roman" w:cs="Times New Roman"/>
          <w:sz w:val="28"/>
          <w:szCs w:val="28"/>
          <w:lang w:val="uk-UA"/>
        </w:rPr>
      </w:pPr>
    </w:p>
    <w:p w14:paraId="2C2A32C1" w14:textId="77777777" w:rsidR="00920556" w:rsidRPr="00112B82" w:rsidRDefault="00920556">
      <w:pPr>
        <w:rPr>
          <w:rFonts w:ascii="Times New Roman" w:hAnsi="Times New Roman" w:cs="Times New Roman"/>
          <w:sz w:val="28"/>
          <w:szCs w:val="28"/>
          <w:lang w:val="uk-UA"/>
        </w:rPr>
      </w:pPr>
    </w:p>
    <w:p w14:paraId="0BC42969" w14:textId="77777777" w:rsidR="009C521E" w:rsidRPr="00112B82" w:rsidRDefault="009C521E" w:rsidP="009C521E">
      <w:pPr>
        <w:spacing w:after="0" w:line="360" w:lineRule="auto"/>
        <w:ind w:firstLine="567"/>
        <w:jc w:val="center"/>
        <w:rPr>
          <w:rFonts w:ascii="Times New Roman" w:hAnsi="Times New Roman" w:cs="Times New Roman"/>
          <w:b/>
          <w:bCs/>
          <w:sz w:val="28"/>
          <w:szCs w:val="28"/>
          <w:lang w:val="uk-UA"/>
        </w:rPr>
      </w:pPr>
      <w:r w:rsidRPr="00112B82">
        <w:rPr>
          <w:rFonts w:ascii="Times New Roman" w:hAnsi="Times New Roman" w:cs="Times New Roman"/>
          <w:b/>
          <w:bCs/>
          <w:sz w:val="28"/>
          <w:szCs w:val="28"/>
          <w:lang w:val="uk-UA"/>
        </w:rPr>
        <w:lastRenderedPageBreak/>
        <w:t>ВСТУП</w:t>
      </w:r>
    </w:p>
    <w:p w14:paraId="7F754F99"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p>
    <w:p w14:paraId="527B9219"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Актуальність дослідження інформаційних війн зумовлена тим, що інформаційний простір дедалі частіше використовується як поле цілеспрямованого впливу на політичні інститути, громадську думку, колективні ідентичності та поведінкові моделі суспільства. Інформаційні операції, </w:t>
      </w:r>
      <w:proofErr w:type="spellStart"/>
      <w:r w:rsidRPr="00112B82">
        <w:rPr>
          <w:rFonts w:ascii="Times New Roman" w:hAnsi="Times New Roman" w:cs="Times New Roman"/>
          <w:sz w:val="28"/>
          <w:szCs w:val="28"/>
          <w:lang w:val="uk-UA"/>
        </w:rPr>
        <w:t>дезінформаційні</w:t>
      </w:r>
      <w:proofErr w:type="spellEnd"/>
      <w:r w:rsidRPr="00112B82">
        <w:rPr>
          <w:rFonts w:ascii="Times New Roman" w:hAnsi="Times New Roman" w:cs="Times New Roman"/>
          <w:sz w:val="28"/>
          <w:szCs w:val="28"/>
          <w:lang w:val="uk-UA"/>
        </w:rPr>
        <w:t xml:space="preserve"> кампанії, пропаганда, психологічні та кібернетичні впливи дозволяють досягати стратегічних цілей без прямого застосування збройної сили або ж істотно підсилюють її ефективність. Саме тому інформаційна війна набуває рис перманентного процесу, який може розгортатися як у мирний час, так і в умовах відкритого воєнного протистояння, змінюючи лише інтенсивність, інструментарій і масштаби.</w:t>
      </w:r>
    </w:p>
    <w:p w14:paraId="69A0AA1D"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Особливої наукової та практичної значущості проблема інформаційних війн набуває в контексті гібридних конфліктів, де поєднуються військові та невійськові засоби впливу, а межа між миром і війною стає розмитою. У такій моделі протистояння інформаційна війна виконує інтегративну функцію, забезпечуючи підготовку сприятливого інформаційно-психологічного середовища для реалізації політичних, економічних, дипломатичних і воєнних цілей. Через контроль над інформаційними потоками, маніпуляцію </w:t>
      </w:r>
      <w:proofErr w:type="spellStart"/>
      <w:r w:rsidRPr="00112B82">
        <w:rPr>
          <w:rFonts w:ascii="Times New Roman" w:hAnsi="Times New Roman" w:cs="Times New Roman"/>
          <w:sz w:val="28"/>
          <w:szCs w:val="28"/>
          <w:lang w:val="uk-UA"/>
        </w:rPr>
        <w:t>наративами</w:t>
      </w:r>
      <w:proofErr w:type="spellEnd"/>
      <w:r w:rsidRPr="00112B82">
        <w:rPr>
          <w:rFonts w:ascii="Times New Roman" w:hAnsi="Times New Roman" w:cs="Times New Roman"/>
          <w:sz w:val="28"/>
          <w:szCs w:val="28"/>
          <w:lang w:val="uk-UA"/>
        </w:rPr>
        <w:t xml:space="preserve"> та вплив на когнітивні установки суспільства здійснюється підрив довіри до державних інститутів, </w:t>
      </w:r>
      <w:proofErr w:type="spellStart"/>
      <w:r w:rsidRPr="00112B82">
        <w:rPr>
          <w:rFonts w:ascii="Times New Roman" w:hAnsi="Times New Roman" w:cs="Times New Roman"/>
          <w:sz w:val="28"/>
          <w:szCs w:val="28"/>
          <w:lang w:val="uk-UA"/>
        </w:rPr>
        <w:t>делегітимація</w:t>
      </w:r>
      <w:proofErr w:type="spellEnd"/>
      <w:r w:rsidRPr="00112B82">
        <w:rPr>
          <w:rFonts w:ascii="Times New Roman" w:hAnsi="Times New Roman" w:cs="Times New Roman"/>
          <w:sz w:val="28"/>
          <w:szCs w:val="28"/>
          <w:lang w:val="uk-UA"/>
        </w:rPr>
        <w:t xml:space="preserve"> влади, поляризація соціуму та ерозія національної ідентичності, що значно підвищує вразливість держави до зовнішнього тиску.</w:t>
      </w:r>
    </w:p>
    <w:p w14:paraId="53AAFCFD"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Водночас російсько-українська війна засвідчила і формування унікального досвіду протидії інформаційним загрозам. Україна, опинившись у ситуації реального та тривалого інформаційного тиску, була змушена в прискореному режимі вибудовувати власну модель інформаційного спротиву, що поєднала державні стратегії, активну роль громадянського суспільства, незалежних медіа, експертних і волонтерських ініціатив, а також розвиток критичного мислення та інформаційної гігієни громадян. Цей досвід має не лише прикладне, а й вагоме </w:t>
      </w:r>
      <w:r w:rsidRPr="00112B82">
        <w:rPr>
          <w:rFonts w:ascii="Times New Roman" w:hAnsi="Times New Roman" w:cs="Times New Roman"/>
          <w:sz w:val="28"/>
          <w:szCs w:val="28"/>
          <w:lang w:val="uk-UA"/>
        </w:rPr>
        <w:lastRenderedPageBreak/>
        <w:t>теоретичне значення для осмислення механізмів формування інформаційної стійкості в умовах гібридних загроз.</w:t>
      </w:r>
    </w:p>
    <w:p w14:paraId="61B869AC"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b/>
          <w:bCs/>
          <w:sz w:val="28"/>
          <w:szCs w:val="28"/>
          <w:lang w:val="uk-UA"/>
        </w:rPr>
        <w:t>Метою</w:t>
      </w:r>
      <w:r w:rsidRPr="00112B82">
        <w:rPr>
          <w:rFonts w:ascii="Times New Roman" w:hAnsi="Times New Roman" w:cs="Times New Roman"/>
          <w:sz w:val="28"/>
          <w:szCs w:val="28"/>
          <w:lang w:val="uk-UA"/>
        </w:rPr>
        <w:t xml:space="preserve"> магістерської роботи є комплексний аналіз інформаційних війн сучасності як специфічної форми політичного протиборства, виявлення їх засобів і механізмів ведення, а також дослідження особливостей інформаційного виміру російсько-української війни та української моделі інформаційного спротиву. </w:t>
      </w:r>
    </w:p>
    <w:p w14:paraId="7ABADDAC"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Для досягнення поставленої мети магістерської роботи у дослідженні передбачається розв’язання таких </w:t>
      </w:r>
      <w:r w:rsidRPr="00112B82">
        <w:rPr>
          <w:rFonts w:ascii="Times New Roman" w:hAnsi="Times New Roman" w:cs="Times New Roman"/>
          <w:b/>
          <w:bCs/>
          <w:sz w:val="28"/>
          <w:szCs w:val="28"/>
          <w:lang w:val="uk-UA"/>
        </w:rPr>
        <w:t xml:space="preserve">  завдань</w:t>
      </w:r>
      <w:r w:rsidRPr="00112B82">
        <w:rPr>
          <w:rFonts w:ascii="Times New Roman" w:hAnsi="Times New Roman" w:cs="Times New Roman"/>
          <w:sz w:val="28"/>
          <w:szCs w:val="28"/>
          <w:lang w:val="uk-UA"/>
        </w:rPr>
        <w:t>:</w:t>
      </w:r>
    </w:p>
    <w:p w14:paraId="6DD708CA" w14:textId="77777777" w:rsidR="009C521E" w:rsidRPr="00112B82" w:rsidRDefault="009C521E" w:rsidP="009C521E">
      <w:pPr>
        <w:numPr>
          <w:ilvl w:val="0"/>
          <w:numId w:val="6"/>
        </w:numPr>
        <w:spacing w:after="0" w:line="360" w:lineRule="auto"/>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Теоретично осмислити феномен інформаційної війни в сучасному політико-науковому дискурсі, з’ясувати його зміст, структуру та місце у системі гібридних конфліктів, а також визначити ключові підходи до аналізу інформаційного протиборства.</w:t>
      </w:r>
    </w:p>
    <w:p w14:paraId="6D793094" w14:textId="77777777" w:rsidR="009C521E" w:rsidRPr="00112B82" w:rsidRDefault="009C521E" w:rsidP="009C521E">
      <w:pPr>
        <w:numPr>
          <w:ilvl w:val="0"/>
          <w:numId w:val="6"/>
        </w:numPr>
        <w:spacing w:after="0" w:line="360" w:lineRule="auto"/>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Дослідити архітектоніку інформаційної війни, виокремивши основні засоби та механізми інформаційного впливу, а також охарактеризувавши їхній вплив на когнітивні, поведінкові й політичні процеси в суспільстві.</w:t>
      </w:r>
    </w:p>
    <w:p w14:paraId="5D49A011" w14:textId="77777777" w:rsidR="009C521E" w:rsidRPr="00112B82" w:rsidRDefault="009C521E" w:rsidP="009C521E">
      <w:pPr>
        <w:numPr>
          <w:ilvl w:val="0"/>
          <w:numId w:val="6"/>
        </w:numPr>
        <w:spacing w:after="0" w:line="360" w:lineRule="auto"/>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Проаналізувати державні та суспільні механізми протидії інформаційним війнам, зокрема політику інформаційної безпеки, роль стратегічних комунікацій, критичного мислення та інформаційної гігієни у формуванні стійкості суспільства.</w:t>
      </w:r>
    </w:p>
    <w:p w14:paraId="6C8E8138" w14:textId="77777777" w:rsidR="009C521E" w:rsidRPr="00112B82" w:rsidRDefault="009C521E" w:rsidP="009C521E">
      <w:pPr>
        <w:numPr>
          <w:ilvl w:val="0"/>
          <w:numId w:val="6"/>
        </w:numPr>
        <w:spacing w:after="0" w:line="360" w:lineRule="auto"/>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Розкрити специфіку російсько-української війни як кейсу інформаційного протистояння, дослідивши еволюцію російської інформаційної агресії, її ключові </w:t>
      </w:r>
      <w:proofErr w:type="spellStart"/>
      <w:r w:rsidRPr="00112B82">
        <w:rPr>
          <w:rFonts w:ascii="Times New Roman" w:hAnsi="Times New Roman" w:cs="Times New Roman"/>
          <w:sz w:val="28"/>
          <w:szCs w:val="28"/>
          <w:lang w:val="uk-UA"/>
        </w:rPr>
        <w:t>наративи</w:t>
      </w:r>
      <w:proofErr w:type="spellEnd"/>
      <w:r w:rsidRPr="00112B82">
        <w:rPr>
          <w:rFonts w:ascii="Times New Roman" w:hAnsi="Times New Roman" w:cs="Times New Roman"/>
          <w:sz w:val="28"/>
          <w:szCs w:val="28"/>
          <w:lang w:val="uk-UA"/>
        </w:rPr>
        <w:t xml:space="preserve"> та особливості української моделі інформаційного спротиву.</w:t>
      </w:r>
    </w:p>
    <w:p w14:paraId="32002167"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b/>
          <w:bCs/>
          <w:sz w:val="28"/>
          <w:szCs w:val="28"/>
          <w:lang w:val="uk-UA"/>
        </w:rPr>
        <w:t>Об’єктом дослідження</w:t>
      </w:r>
      <w:r w:rsidRPr="00112B82">
        <w:rPr>
          <w:rFonts w:ascii="Times New Roman" w:hAnsi="Times New Roman" w:cs="Times New Roman"/>
          <w:sz w:val="28"/>
          <w:szCs w:val="28"/>
          <w:lang w:val="uk-UA"/>
        </w:rPr>
        <w:t xml:space="preserve"> у магістерській роботі є сучасні інформаційні війни як форма політичного та гібридного протиборства в міжнародних відносинах і внутрішньополітичних процесах.</w:t>
      </w:r>
    </w:p>
    <w:p w14:paraId="4A0E4129"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b/>
          <w:bCs/>
          <w:sz w:val="28"/>
          <w:szCs w:val="28"/>
          <w:lang w:val="uk-UA"/>
        </w:rPr>
        <w:t>Предметом дослідження</w:t>
      </w:r>
      <w:r w:rsidRPr="00112B82">
        <w:rPr>
          <w:rFonts w:ascii="Times New Roman" w:hAnsi="Times New Roman" w:cs="Times New Roman"/>
          <w:sz w:val="28"/>
          <w:szCs w:val="28"/>
          <w:lang w:val="uk-UA"/>
        </w:rPr>
        <w:t xml:space="preserve"> є засоби, механізми та політико-поведінкові ефекти інформаційних війн, а також особливості інформаційного протистояння в </w:t>
      </w:r>
      <w:r w:rsidRPr="00112B82">
        <w:rPr>
          <w:rFonts w:ascii="Times New Roman" w:hAnsi="Times New Roman" w:cs="Times New Roman"/>
          <w:sz w:val="28"/>
          <w:szCs w:val="28"/>
          <w:lang w:val="uk-UA"/>
        </w:rPr>
        <w:lastRenderedPageBreak/>
        <w:t>межах російсько-української війни й української моделі інформаційного спротиву.</w:t>
      </w:r>
    </w:p>
    <w:p w14:paraId="1FE6AC72"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b/>
          <w:bCs/>
          <w:sz w:val="28"/>
          <w:szCs w:val="28"/>
          <w:lang w:val="uk-UA"/>
        </w:rPr>
        <w:t>Методологічну основу</w:t>
      </w:r>
      <w:r w:rsidRPr="00112B82">
        <w:rPr>
          <w:rFonts w:ascii="Times New Roman" w:hAnsi="Times New Roman" w:cs="Times New Roman"/>
          <w:sz w:val="28"/>
          <w:szCs w:val="28"/>
          <w:lang w:val="uk-UA"/>
        </w:rPr>
        <w:t xml:space="preserve"> магістерської роботи становить комплексний міждисциплінарний підхід, що поєднує теоретичні положення політичної науки, теорії міжнародних відносин, конфліктології, теорії комунікації, безпекових студій та соціально-психологічного аналізу. Такий підхід зумовлений багатовимірною природою інформаційних війн, які поєднують політичні, комунікативні, когнітивні й технологічні компоненти та потребують цілісного наукового осмислення.</w:t>
      </w:r>
    </w:p>
    <w:p w14:paraId="6F725020"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Теоретичною основою дослідження є положення теорії гібридних конфліктів, відповідно до яких інформаційна війна розглядається як </w:t>
      </w:r>
      <w:proofErr w:type="spellStart"/>
      <w:r w:rsidRPr="00112B82">
        <w:rPr>
          <w:rFonts w:ascii="Times New Roman" w:hAnsi="Times New Roman" w:cs="Times New Roman"/>
          <w:sz w:val="28"/>
          <w:szCs w:val="28"/>
          <w:lang w:val="uk-UA"/>
        </w:rPr>
        <w:t>системоутворюючий</w:t>
      </w:r>
      <w:proofErr w:type="spellEnd"/>
      <w:r w:rsidRPr="00112B82">
        <w:rPr>
          <w:rFonts w:ascii="Times New Roman" w:hAnsi="Times New Roman" w:cs="Times New Roman"/>
          <w:sz w:val="28"/>
          <w:szCs w:val="28"/>
          <w:lang w:val="uk-UA"/>
        </w:rPr>
        <w:t xml:space="preserve"> елемент сучасного протиборства, а також концепції інформаційної безпеки, стратегічних комунікацій і </w:t>
      </w:r>
      <w:proofErr w:type="spellStart"/>
      <w:r w:rsidRPr="00112B82">
        <w:rPr>
          <w:rFonts w:ascii="Times New Roman" w:hAnsi="Times New Roman" w:cs="Times New Roman"/>
          <w:sz w:val="28"/>
          <w:szCs w:val="28"/>
          <w:lang w:val="uk-UA"/>
        </w:rPr>
        <w:t>наративного</w:t>
      </w:r>
      <w:proofErr w:type="spellEnd"/>
      <w:r w:rsidRPr="00112B82">
        <w:rPr>
          <w:rFonts w:ascii="Times New Roman" w:hAnsi="Times New Roman" w:cs="Times New Roman"/>
          <w:sz w:val="28"/>
          <w:szCs w:val="28"/>
          <w:lang w:val="uk-UA"/>
        </w:rPr>
        <w:t xml:space="preserve"> аналізу політики, що дозволяють дослідити боротьбу за смисли, легітимність і контроль над інформаційним простором. У межах роботи також використано ідеї когнітивного та соціально-психологічного підходів, які дають змогу проаналізувати механізми впливу інформації на свідомість, ідентичність і політичну поведінку індивідів і соціальних груп.</w:t>
      </w:r>
    </w:p>
    <w:p w14:paraId="0F78DD1B"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У процесі дослідження застосовано сукупність загальнонаукових і спеціально-наукових методів. Загальнонаукові методи (аналіз і синтез, індукція і дедукція, узагальнення та абстрагування) використано для систематизації наукових підходів до розуміння інформаційних війн і формування концептуального каркаса дослідження. Системний метод дозволив розглянути інформаційну війну як цілісну багаторівневу систему, що включає інструментальний, когнітивний і політико-поведінковий виміри.</w:t>
      </w:r>
    </w:p>
    <w:p w14:paraId="2AC7037E"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Для з’ясування особливостей функціонування інформаційних війн у сучасних гібридних конфліктах застосовано структурно-функціональний метод, який уможливив аналіз ролі окремих засобів, механізмів і суб’єктів інформаційного впливу. Порівняльний метод використано з метою зіставлення </w:t>
      </w:r>
      <w:r w:rsidRPr="00112B82">
        <w:rPr>
          <w:rFonts w:ascii="Times New Roman" w:hAnsi="Times New Roman" w:cs="Times New Roman"/>
          <w:sz w:val="28"/>
          <w:szCs w:val="28"/>
          <w:lang w:val="uk-UA"/>
        </w:rPr>
        <w:lastRenderedPageBreak/>
        <w:t>підходів до протидії інформаційним загрозам у різних державах, а також для виявлення специфіки української моделі інформаційного спротиву.</w:t>
      </w:r>
    </w:p>
    <w:p w14:paraId="2FDDB278"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Важливе місце в дослідженні посідає кейс-стаді метод, за допомогою якого російсько-українська війна проаналізована як репрезентативний приклад сучасного інформаційного протистояння. У межах цього підходу використано також історико-хронологічний метод, що дозволив простежити еволюцію російської інформаційної агресії проти України у 2014–2025 рр. та динаміку трансформації інформаційних </w:t>
      </w:r>
      <w:proofErr w:type="spellStart"/>
      <w:r w:rsidRPr="00112B82">
        <w:rPr>
          <w:rFonts w:ascii="Times New Roman" w:hAnsi="Times New Roman" w:cs="Times New Roman"/>
          <w:sz w:val="28"/>
          <w:szCs w:val="28"/>
          <w:lang w:val="uk-UA"/>
        </w:rPr>
        <w:t>наративів</w:t>
      </w:r>
      <w:proofErr w:type="spellEnd"/>
      <w:r w:rsidRPr="00112B82">
        <w:rPr>
          <w:rFonts w:ascii="Times New Roman" w:hAnsi="Times New Roman" w:cs="Times New Roman"/>
          <w:sz w:val="28"/>
          <w:szCs w:val="28"/>
          <w:lang w:val="uk-UA"/>
        </w:rPr>
        <w:t xml:space="preserve"> і технологій впливу.</w:t>
      </w:r>
    </w:p>
    <w:p w14:paraId="67147A30"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Для дослідження смислового наповнення інформаційних кампаній і пропагандистських повідомлень застосовано дискурс-аналіз і </w:t>
      </w:r>
      <w:proofErr w:type="spellStart"/>
      <w:r w:rsidRPr="00112B82">
        <w:rPr>
          <w:rFonts w:ascii="Times New Roman" w:hAnsi="Times New Roman" w:cs="Times New Roman"/>
          <w:sz w:val="28"/>
          <w:szCs w:val="28"/>
          <w:lang w:val="uk-UA"/>
        </w:rPr>
        <w:t>наративний</w:t>
      </w:r>
      <w:proofErr w:type="spellEnd"/>
      <w:r w:rsidRPr="00112B82">
        <w:rPr>
          <w:rFonts w:ascii="Times New Roman" w:hAnsi="Times New Roman" w:cs="Times New Roman"/>
          <w:sz w:val="28"/>
          <w:szCs w:val="28"/>
          <w:lang w:val="uk-UA"/>
        </w:rPr>
        <w:t xml:space="preserve"> аналіз, які дали змогу виявити ключові російські інформаційні </w:t>
      </w:r>
      <w:proofErr w:type="spellStart"/>
      <w:r w:rsidRPr="00112B82">
        <w:rPr>
          <w:rFonts w:ascii="Times New Roman" w:hAnsi="Times New Roman" w:cs="Times New Roman"/>
          <w:sz w:val="28"/>
          <w:szCs w:val="28"/>
          <w:lang w:val="uk-UA"/>
        </w:rPr>
        <w:t>наративи</w:t>
      </w:r>
      <w:proofErr w:type="spellEnd"/>
      <w:r w:rsidRPr="00112B82">
        <w:rPr>
          <w:rFonts w:ascii="Times New Roman" w:hAnsi="Times New Roman" w:cs="Times New Roman"/>
          <w:sz w:val="28"/>
          <w:szCs w:val="28"/>
          <w:lang w:val="uk-UA"/>
        </w:rPr>
        <w:t>, їхні ідеологічні підстави та цільові аудиторії. Контент-аналіз використано для узагальнення типових форм і інструментів інформаційного впливу, а також для систематизації матеріалів медіа, офіційних повідомлень і аналітичних джерел.</w:t>
      </w:r>
    </w:p>
    <w:p w14:paraId="17A0600D"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Таким чином, використання поєднання різнорівневих методів і підходів забезпечує наукову обґрунтованість, цілісність і достовірність результатів дослідження та дозволяє комплексно розкрити феномен інформаційних війн сучасності, їхні засоби, механізми й політичні наслідки.</w:t>
      </w:r>
    </w:p>
    <w:p w14:paraId="7E9199AD"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b/>
          <w:bCs/>
          <w:sz w:val="28"/>
          <w:szCs w:val="28"/>
          <w:lang w:val="uk-UA"/>
        </w:rPr>
        <w:t>Магістерська робота складається</w:t>
      </w:r>
      <w:r w:rsidRPr="00112B82">
        <w:rPr>
          <w:rFonts w:ascii="Times New Roman" w:hAnsi="Times New Roman" w:cs="Times New Roman"/>
          <w:sz w:val="28"/>
          <w:szCs w:val="28"/>
          <w:lang w:val="uk-UA"/>
        </w:rPr>
        <w:t xml:space="preserve"> зі вступу, чотирьох розділів, висновків, списку використаних джерел та додатків.</w:t>
      </w:r>
    </w:p>
    <w:p w14:paraId="32C18293"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У вступі обґрунтовано актуальність теми дослідження, визначено мету й завдання роботи, окреслено об’єкт і предмет дослідження, подано методологічну основу та наукову новизну, а також висвітлено практичне значення отриманих результатів.</w:t>
      </w:r>
    </w:p>
    <w:p w14:paraId="44BB1DA4"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Перший розділ </w:t>
      </w:r>
      <w:r w:rsidRPr="00112B82">
        <w:rPr>
          <w:rFonts w:ascii="Times New Roman" w:hAnsi="Times New Roman" w:cs="Times New Roman"/>
          <w:i/>
          <w:iCs/>
          <w:sz w:val="28"/>
          <w:szCs w:val="28"/>
          <w:lang w:val="uk-UA"/>
        </w:rPr>
        <w:t>«Теоретико-концептуальні засади дослідження інформаційних війн»</w:t>
      </w:r>
      <w:r w:rsidRPr="00112B82">
        <w:rPr>
          <w:rFonts w:ascii="Times New Roman" w:hAnsi="Times New Roman" w:cs="Times New Roman"/>
          <w:sz w:val="28"/>
          <w:szCs w:val="28"/>
          <w:lang w:val="uk-UA"/>
        </w:rPr>
        <w:t xml:space="preserve">  присвячено аналізу основних наукових підходів до трактування поняття інформаційної війни, її місця в сучасному політико-науковому дискурсі та ролі в структурі гібридних конфліктів. У розділі також розглянуто інституційних і неінституційних суб’єктів інформаційних війн та їхній вплив на інформаційний простір.</w:t>
      </w:r>
    </w:p>
    <w:p w14:paraId="596CE70E"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lastRenderedPageBreak/>
        <w:t xml:space="preserve">Другий розділ  </w:t>
      </w:r>
      <w:r w:rsidRPr="00112B82">
        <w:rPr>
          <w:rFonts w:ascii="Times New Roman" w:hAnsi="Times New Roman" w:cs="Times New Roman"/>
          <w:i/>
          <w:iCs/>
          <w:sz w:val="28"/>
          <w:szCs w:val="28"/>
          <w:lang w:val="uk-UA"/>
        </w:rPr>
        <w:t>«Архітектоніка інформаційної війни»</w:t>
      </w:r>
      <w:r w:rsidRPr="00112B82">
        <w:rPr>
          <w:rFonts w:ascii="Times New Roman" w:hAnsi="Times New Roman" w:cs="Times New Roman"/>
          <w:sz w:val="28"/>
          <w:szCs w:val="28"/>
          <w:lang w:val="uk-UA"/>
        </w:rPr>
        <w:t xml:space="preserve"> — спрямований на дослідження внутрішньої структури інформаційної війни. У ньому проаналізовано основні засоби інформаційного впливу, механізми їх реалізації на процесуально-когнітивному рівні, а також політико-поведінкові ефекти інформаційних війн для суспільства та держави.</w:t>
      </w:r>
    </w:p>
    <w:p w14:paraId="41E8F30E"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Третій розділ </w:t>
      </w:r>
      <w:r w:rsidRPr="00112B82">
        <w:rPr>
          <w:rFonts w:ascii="Times New Roman" w:hAnsi="Times New Roman" w:cs="Times New Roman"/>
          <w:i/>
          <w:iCs/>
          <w:sz w:val="28"/>
          <w:szCs w:val="28"/>
          <w:lang w:val="uk-UA"/>
        </w:rPr>
        <w:t>«Протидія інформаційним війнам та формування стійкості»</w:t>
      </w:r>
      <w:r w:rsidRPr="00112B82">
        <w:rPr>
          <w:rFonts w:ascii="Times New Roman" w:hAnsi="Times New Roman" w:cs="Times New Roman"/>
          <w:sz w:val="28"/>
          <w:szCs w:val="28"/>
          <w:lang w:val="uk-UA"/>
        </w:rPr>
        <w:t xml:space="preserve">  присвячено розгляду державної політики у сфері інформаційної безпеки, ролі стратегічних комунікацій, критичного мислення та інформаційної гігієни громадян у протидії інформаційним загрозам. Окрему увагу приділено аналізу міжнародного досвіду та колективних механізмів реагування на інформаційні війни.</w:t>
      </w:r>
    </w:p>
    <w:p w14:paraId="20C13A4D"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 xml:space="preserve">Четвертий розділ </w:t>
      </w:r>
      <w:r w:rsidRPr="00112B82">
        <w:rPr>
          <w:rFonts w:ascii="Times New Roman" w:hAnsi="Times New Roman" w:cs="Times New Roman"/>
          <w:i/>
          <w:iCs/>
          <w:sz w:val="28"/>
          <w:szCs w:val="28"/>
          <w:lang w:val="uk-UA"/>
        </w:rPr>
        <w:t>«Російсько-українська війна як кейс інформаційного протистояння»</w:t>
      </w:r>
      <w:r w:rsidRPr="00112B82">
        <w:rPr>
          <w:rFonts w:ascii="Times New Roman" w:hAnsi="Times New Roman" w:cs="Times New Roman"/>
          <w:sz w:val="28"/>
          <w:szCs w:val="28"/>
          <w:lang w:val="uk-UA"/>
        </w:rPr>
        <w:t xml:space="preserve">  містить комплексний аналіз еволюції інформаційної війни Російської Федерації проти України у 2014–2025 рр., систематизацію провідних російських інформаційних </w:t>
      </w:r>
      <w:proofErr w:type="spellStart"/>
      <w:r w:rsidRPr="00112B82">
        <w:rPr>
          <w:rFonts w:ascii="Times New Roman" w:hAnsi="Times New Roman" w:cs="Times New Roman"/>
          <w:sz w:val="28"/>
          <w:szCs w:val="28"/>
          <w:lang w:val="uk-UA"/>
        </w:rPr>
        <w:t>наративів</w:t>
      </w:r>
      <w:proofErr w:type="spellEnd"/>
      <w:r w:rsidRPr="00112B82">
        <w:rPr>
          <w:rFonts w:ascii="Times New Roman" w:hAnsi="Times New Roman" w:cs="Times New Roman"/>
          <w:sz w:val="28"/>
          <w:szCs w:val="28"/>
          <w:lang w:val="uk-UA"/>
        </w:rPr>
        <w:t>, а також характеристику української моделі інформаційного спротиву в умовах гібридної агресії.</w:t>
      </w:r>
    </w:p>
    <w:p w14:paraId="2FE66A20"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У висновках узагальнено результати проведеного дослідження, сформульовано основні теоретичні та практичні висновки відповідно до поставленої мети й завдань, а також окреслено перспективи подальших наукових розвідок у сфері дослідження інформаційних війн.</w:t>
      </w:r>
    </w:p>
    <w:p w14:paraId="35821269"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r w:rsidRPr="00112B82">
        <w:rPr>
          <w:rFonts w:ascii="Times New Roman" w:hAnsi="Times New Roman" w:cs="Times New Roman"/>
          <w:sz w:val="28"/>
          <w:szCs w:val="28"/>
          <w:lang w:val="uk-UA"/>
        </w:rPr>
        <w:t>Список використаних джерел містить наукові праці вітчизняних і зарубіжних авторів, аналітичні матеріали, що стали теоретичною та емпіричною базою дослідження.</w:t>
      </w:r>
    </w:p>
    <w:p w14:paraId="5A09163E"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p>
    <w:p w14:paraId="29A72908"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p>
    <w:p w14:paraId="0CDDEFF3"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p>
    <w:p w14:paraId="394B012A" w14:textId="77777777" w:rsidR="009C521E" w:rsidRPr="00112B82" w:rsidRDefault="009C521E" w:rsidP="009C521E">
      <w:pPr>
        <w:spacing w:after="0" w:line="360" w:lineRule="auto"/>
        <w:ind w:firstLine="567"/>
        <w:jc w:val="both"/>
        <w:rPr>
          <w:rFonts w:ascii="Times New Roman" w:hAnsi="Times New Roman" w:cs="Times New Roman"/>
          <w:sz w:val="28"/>
          <w:szCs w:val="28"/>
          <w:lang w:val="uk-UA"/>
        </w:rPr>
      </w:pPr>
    </w:p>
    <w:p w14:paraId="453D2C34" w14:textId="77777777" w:rsidR="00920557" w:rsidRPr="00112B82" w:rsidRDefault="00920557">
      <w:pPr>
        <w:rPr>
          <w:rFonts w:ascii="Times New Roman" w:hAnsi="Times New Roman" w:cs="Times New Roman"/>
          <w:sz w:val="28"/>
          <w:szCs w:val="28"/>
          <w:lang w:val="uk-UA"/>
        </w:rPr>
      </w:pPr>
    </w:p>
    <w:p w14:paraId="5EF3BB8A" w14:textId="77777777" w:rsidR="00920557" w:rsidRPr="00112B82" w:rsidRDefault="00920557">
      <w:pPr>
        <w:rPr>
          <w:rFonts w:ascii="Times New Roman" w:hAnsi="Times New Roman" w:cs="Times New Roman"/>
          <w:sz w:val="28"/>
          <w:szCs w:val="28"/>
          <w:lang w:val="uk-UA"/>
        </w:rPr>
      </w:pPr>
    </w:p>
    <w:p w14:paraId="2A01EA30" w14:textId="77777777" w:rsidR="00112B82" w:rsidRPr="00112B82" w:rsidRDefault="00112B82">
      <w:pPr>
        <w:rPr>
          <w:rFonts w:ascii="Times New Roman" w:hAnsi="Times New Roman" w:cs="Times New Roman"/>
          <w:sz w:val="28"/>
          <w:szCs w:val="28"/>
          <w:lang w:val="uk-UA"/>
        </w:rPr>
      </w:pPr>
    </w:p>
    <w:p w14:paraId="42AD7E56" w14:textId="77777777" w:rsidR="009C521E" w:rsidRPr="009C521E" w:rsidRDefault="009C521E" w:rsidP="009C521E">
      <w:pPr>
        <w:spacing w:after="0" w:line="360" w:lineRule="auto"/>
        <w:ind w:firstLine="567"/>
        <w:jc w:val="center"/>
        <w:rPr>
          <w:rFonts w:ascii="Times New Roman" w:eastAsia="Calibri" w:hAnsi="Times New Roman" w:cs="Times New Roman"/>
          <w:b/>
          <w:bCs/>
          <w:sz w:val="28"/>
          <w:szCs w:val="28"/>
          <w:lang w:val="uk-UA"/>
        </w:rPr>
      </w:pPr>
      <w:r w:rsidRPr="009C521E">
        <w:rPr>
          <w:rFonts w:ascii="Times New Roman" w:eastAsia="Calibri" w:hAnsi="Times New Roman" w:cs="Times New Roman"/>
          <w:b/>
          <w:bCs/>
          <w:sz w:val="28"/>
          <w:szCs w:val="28"/>
          <w:lang w:val="uk-UA"/>
        </w:rPr>
        <w:lastRenderedPageBreak/>
        <w:t>РОЗДІЛ 1</w:t>
      </w:r>
    </w:p>
    <w:p w14:paraId="14D46F4E" w14:textId="77777777" w:rsidR="009C521E" w:rsidRPr="009C521E" w:rsidRDefault="009C521E" w:rsidP="009C521E">
      <w:pPr>
        <w:spacing w:after="0" w:line="360" w:lineRule="auto"/>
        <w:ind w:firstLine="567"/>
        <w:jc w:val="center"/>
        <w:rPr>
          <w:rFonts w:ascii="Times New Roman" w:eastAsia="Calibri" w:hAnsi="Times New Roman" w:cs="Times New Roman"/>
          <w:b/>
          <w:bCs/>
          <w:sz w:val="28"/>
          <w:szCs w:val="28"/>
          <w:lang w:val="uk-UA"/>
        </w:rPr>
      </w:pPr>
      <w:r w:rsidRPr="009C521E">
        <w:rPr>
          <w:rFonts w:ascii="Times New Roman" w:eastAsia="Calibri" w:hAnsi="Times New Roman" w:cs="Times New Roman"/>
          <w:b/>
          <w:bCs/>
          <w:sz w:val="28"/>
          <w:szCs w:val="28"/>
          <w:lang w:val="uk-UA"/>
        </w:rPr>
        <w:t>ТЕОРЕТИКО-КОНЦЕПТУАЛЬНІ ЗАСАДИ ДОСЛІДЖЕННЯ ІНФОРМАЦІЙНИХ ВІЙН</w:t>
      </w:r>
    </w:p>
    <w:p w14:paraId="34BEB072" w14:textId="77777777" w:rsidR="009C521E" w:rsidRPr="009C521E" w:rsidRDefault="009C521E" w:rsidP="009C521E">
      <w:pPr>
        <w:spacing w:after="0" w:line="360" w:lineRule="auto"/>
        <w:ind w:firstLine="567"/>
        <w:jc w:val="center"/>
        <w:rPr>
          <w:rFonts w:ascii="Times New Roman" w:eastAsia="Calibri" w:hAnsi="Times New Roman" w:cs="Times New Roman"/>
          <w:b/>
          <w:bCs/>
          <w:sz w:val="28"/>
          <w:szCs w:val="28"/>
          <w:lang w:val="uk-UA"/>
        </w:rPr>
      </w:pPr>
    </w:p>
    <w:p w14:paraId="1283C63B" w14:textId="77777777" w:rsidR="009C521E" w:rsidRPr="009C521E" w:rsidRDefault="009C521E" w:rsidP="009C521E">
      <w:pPr>
        <w:spacing w:after="0" w:line="360" w:lineRule="auto"/>
        <w:ind w:firstLine="567"/>
        <w:jc w:val="both"/>
        <w:rPr>
          <w:rFonts w:ascii="Times New Roman" w:eastAsia="Calibri" w:hAnsi="Times New Roman" w:cs="Times New Roman"/>
          <w:b/>
          <w:bCs/>
          <w:sz w:val="28"/>
          <w:szCs w:val="28"/>
          <w:lang w:val="uk-UA"/>
        </w:rPr>
      </w:pPr>
      <w:r w:rsidRPr="009C521E">
        <w:rPr>
          <w:rFonts w:ascii="Times New Roman" w:eastAsia="Calibri" w:hAnsi="Times New Roman" w:cs="Times New Roman"/>
          <w:b/>
          <w:bCs/>
          <w:sz w:val="28"/>
          <w:szCs w:val="28"/>
          <w:lang w:val="uk-UA"/>
        </w:rPr>
        <w:t>1.1. Поняття «інформаційна війна» в сучасному науковому дискурсі</w:t>
      </w:r>
    </w:p>
    <w:p w14:paraId="64587D7A"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p w14:paraId="31D2AC6E"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Поняття «інформаційна війна» посідає одне з центральних місць у сучасному політико-науковому дискурсі, що зумовлено докорінною трансформацією характеру конфліктів у ХХІ ст. та зростанням ролі інформації як стратегічного ресурсу влади, впливу й домінування. Умови глобалізації, </w:t>
      </w:r>
      <w:proofErr w:type="spellStart"/>
      <w:r w:rsidRPr="009C521E">
        <w:rPr>
          <w:rFonts w:ascii="Times New Roman" w:eastAsia="Calibri" w:hAnsi="Times New Roman" w:cs="Times New Roman"/>
          <w:sz w:val="28"/>
          <w:szCs w:val="28"/>
          <w:lang w:val="uk-UA"/>
        </w:rPr>
        <w:t>цифровізації</w:t>
      </w:r>
      <w:proofErr w:type="spellEnd"/>
      <w:r w:rsidRPr="009C521E">
        <w:rPr>
          <w:rFonts w:ascii="Times New Roman" w:eastAsia="Calibri" w:hAnsi="Times New Roman" w:cs="Times New Roman"/>
          <w:sz w:val="28"/>
          <w:szCs w:val="28"/>
          <w:lang w:val="uk-UA"/>
        </w:rPr>
        <w:t xml:space="preserve"> суспільних процесів і розвитку мережевих комунікацій спричинили зміну традиційних уявлень про війну як виключно збройне протистояння, розширивши її до багатовимірного феномену, в якому інформаційний вимір набуває автономного та водночас </w:t>
      </w:r>
      <w:proofErr w:type="spellStart"/>
      <w:r w:rsidRPr="009C521E">
        <w:rPr>
          <w:rFonts w:ascii="Times New Roman" w:eastAsia="Calibri" w:hAnsi="Times New Roman" w:cs="Times New Roman"/>
          <w:sz w:val="28"/>
          <w:szCs w:val="28"/>
          <w:lang w:val="uk-UA"/>
        </w:rPr>
        <w:t>системоутворювального</w:t>
      </w:r>
      <w:proofErr w:type="spellEnd"/>
      <w:r w:rsidRPr="009C521E">
        <w:rPr>
          <w:rFonts w:ascii="Times New Roman" w:eastAsia="Calibri" w:hAnsi="Times New Roman" w:cs="Times New Roman"/>
          <w:sz w:val="28"/>
          <w:szCs w:val="28"/>
          <w:lang w:val="uk-UA"/>
        </w:rPr>
        <w:t xml:space="preserve"> значення. Саме в цьому контексті формується і розвивається концепт інформаційної війни, який використовується для пояснення нових форм політичного та геополітичного суперництва.</w:t>
      </w:r>
    </w:p>
    <w:p w14:paraId="7A2DBC24"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У науковій літературі відсутнє єдине універсальне визначення інформаційної війни, що зумовлено міждисциплінарним характером цього явища та різними дослідницькими ракурсами політологічною, військово-стратегічною, соціологічною, комунікативною, психологічною та правовою. </w:t>
      </w:r>
    </w:p>
    <w:p w14:paraId="4797BC85"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Дослідження І. Пронози (Проноза, 2018) доводить варіативність трактувань поняття «інформаційна війна» у сучасному науковому дискурсі зумовлена складністю та </w:t>
      </w:r>
      <w:proofErr w:type="spellStart"/>
      <w:r w:rsidRPr="009C521E">
        <w:rPr>
          <w:rFonts w:ascii="Times New Roman" w:eastAsia="Calibri" w:hAnsi="Times New Roman" w:cs="Times New Roman"/>
          <w:sz w:val="28"/>
          <w:szCs w:val="28"/>
          <w:lang w:val="uk-UA"/>
        </w:rPr>
        <w:t>багатовимірністю</w:t>
      </w:r>
      <w:proofErr w:type="spellEnd"/>
      <w:r w:rsidRPr="009C521E">
        <w:rPr>
          <w:rFonts w:ascii="Times New Roman" w:eastAsia="Calibri" w:hAnsi="Times New Roman" w:cs="Times New Roman"/>
          <w:sz w:val="28"/>
          <w:szCs w:val="28"/>
          <w:lang w:val="uk-UA"/>
        </w:rPr>
        <w:t xml:space="preserve"> цього феномена, а також належністю дослідників до різних теоретико-методологічних парадигм, більш того у  межах політичної науки, соціальних комунікацій, психології, конфліктології та воєнних студій інформаційна війна осмислюється крізь призму різних об’єктів впливу, цілей, інструментів і рівнів реалізації.  Відповідно, можна скласти укласти таблицю (Див. табл.).</w:t>
      </w:r>
    </w:p>
    <w:p w14:paraId="23281582" w14:textId="77777777" w:rsidR="009C521E" w:rsidRPr="009C521E" w:rsidRDefault="009C521E" w:rsidP="009C521E">
      <w:pPr>
        <w:spacing w:after="0" w:line="360" w:lineRule="auto"/>
        <w:rPr>
          <w:rFonts w:ascii="Times New Roman" w:eastAsia="Calibri" w:hAnsi="Times New Roman" w:cs="Times New Roman"/>
          <w:kern w:val="0"/>
          <w:sz w:val="28"/>
          <w:szCs w:val="28"/>
          <w:lang w:val="uk-UA"/>
          <w14:ligatures w14:val="none"/>
        </w:rPr>
        <w:sectPr w:rsidR="009C521E" w:rsidRPr="009C521E" w:rsidSect="009C521E">
          <w:headerReference w:type="default" r:id="rId7"/>
          <w:pgSz w:w="11906" w:h="16838"/>
          <w:pgMar w:top="850" w:right="850" w:bottom="850" w:left="1417" w:header="708" w:footer="708" w:gutter="0"/>
          <w:cols w:space="720"/>
        </w:sectPr>
      </w:pPr>
    </w:p>
    <w:p w14:paraId="53CDD1E0"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tbl>
      <w:tblPr>
        <w:tblStyle w:val="91"/>
        <w:tblW w:w="0" w:type="auto"/>
        <w:tblInd w:w="0" w:type="dxa"/>
        <w:tblLook w:val="04A0" w:firstRow="1" w:lastRow="0" w:firstColumn="1" w:lastColumn="0" w:noHBand="0" w:noVBand="1"/>
      </w:tblPr>
      <w:tblGrid>
        <w:gridCol w:w="3079"/>
        <w:gridCol w:w="2586"/>
        <w:gridCol w:w="5245"/>
        <w:gridCol w:w="4218"/>
      </w:tblGrid>
      <w:tr w:rsidR="009C521E" w:rsidRPr="009C521E" w14:paraId="2B5B02EF" w14:textId="77777777">
        <w:trPr>
          <w:cantSplit/>
          <w:trHeight w:val="631"/>
        </w:trPr>
        <w:tc>
          <w:tcPr>
            <w:tcW w:w="3079" w:type="dxa"/>
            <w:tcBorders>
              <w:top w:val="single" w:sz="4" w:space="0" w:color="auto"/>
              <w:left w:val="single" w:sz="4" w:space="0" w:color="auto"/>
              <w:bottom w:val="single" w:sz="4" w:space="0" w:color="auto"/>
              <w:right w:val="single" w:sz="4" w:space="0" w:color="auto"/>
            </w:tcBorders>
            <w:hideMark/>
          </w:tcPr>
          <w:p w14:paraId="19F95A51"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Підхід</w:t>
            </w:r>
          </w:p>
        </w:tc>
        <w:tc>
          <w:tcPr>
            <w:tcW w:w="2586" w:type="dxa"/>
            <w:tcBorders>
              <w:top w:val="single" w:sz="4" w:space="0" w:color="auto"/>
              <w:left w:val="single" w:sz="4" w:space="0" w:color="auto"/>
              <w:bottom w:val="single" w:sz="4" w:space="0" w:color="auto"/>
              <w:right w:val="single" w:sz="4" w:space="0" w:color="auto"/>
            </w:tcBorders>
            <w:hideMark/>
          </w:tcPr>
          <w:p w14:paraId="0E0A8409"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Представники</w:t>
            </w:r>
          </w:p>
        </w:tc>
        <w:tc>
          <w:tcPr>
            <w:tcW w:w="5245" w:type="dxa"/>
            <w:tcBorders>
              <w:top w:val="single" w:sz="4" w:space="0" w:color="auto"/>
              <w:left w:val="single" w:sz="4" w:space="0" w:color="auto"/>
              <w:bottom w:val="single" w:sz="4" w:space="0" w:color="auto"/>
              <w:right w:val="single" w:sz="4" w:space="0" w:color="auto"/>
            </w:tcBorders>
            <w:hideMark/>
          </w:tcPr>
          <w:p w14:paraId="4477FFFF"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Визначення поняття</w:t>
            </w:r>
          </w:p>
        </w:tc>
        <w:tc>
          <w:tcPr>
            <w:tcW w:w="4218" w:type="dxa"/>
            <w:tcBorders>
              <w:top w:val="single" w:sz="4" w:space="0" w:color="auto"/>
              <w:left w:val="single" w:sz="4" w:space="0" w:color="auto"/>
              <w:bottom w:val="single" w:sz="4" w:space="0" w:color="auto"/>
              <w:right w:val="single" w:sz="4" w:space="0" w:color="auto"/>
            </w:tcBorders>
            <w:hideMark/>
          </w:tcPr>
          <w:p w14:paraId="4AA4B25A"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Сутність</w:t>
            </w:r>
          </w:p>
        </w:tc>
      </w:tr>
      <w:tr w:rsidR="009C521E" w:rsidRPr="009C521E" w14:paraId="4AFB7EC8"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5D8C554D"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Психологічний</w:t>
            </w:r>
          </w:p>
        </w:tc>
        <w:tc>
          <w:tcPr>
            <w:tcW w:w="2586" w:type="dxa"/>
            <w:tcBorders>
              <w:top w:val="single" w:sz="4" w:space="0" w:color="auto"/>
              <w:left w:val="single" w:sz="4" w:space="0" w:color="auto"/>
              <w:bottom w:val="single" w:sz="4" w:space="0" w:color="auto"/>
              <w:right w:val="single" w:sz="4" w:space="0" w:color="auto"/>
            </w:tcBorders>
            <w:hideMark/>
          </w:tcPr>
          <w:p w14:paraId="6BB159F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В. </w:t>
            </w:r>
            <w:proofErr w:type="spellStart"/>
            <w:r w:rsidRPr="009C521E">
              <w:rPr>
                <w:rFonts w:ascii="Times New Roman" w:hAnsi="Times New Roman"/>
                <w:sz w:val="28"/>
                <w:szCs w:val="28"/>
              </w:rPr>
              <w:t>Лисичкін</w:t>
            </w:r>
            <w:proofErr w:type="spellEnd"/>
            <w:r w:rsidRPr="009C521E">
              <w:rPr>
                <w:rFonts w:ascii="Times New Roman" w:hAnsi="Times New Roman"/>
                <w:sz w:val="28"/>
                <w:szCs w:val="28"/>
              </w:rPr>
              <w:t xml:space="preserve">, </w:t>
            </w:r>
          </w:p>
          <w:p w14:paraId="0DD44CC5"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Л. </w:t>
            </w:r>
            <w:proofErr w:type="spellStart"/>
            <w:r w:rsidRPr="009C521E">
              <w:rPr>
                <w:rFonts w:ascii="Times New Roman" w:hAnsi="Times New Roman"/>
                <w:sz w:val="28"/>
                <w:szCs w:val="28"/>
              </w:rPr>
              <w:t>Шелепін</w:t>
            </w:r>
            <w:proofErr w:type="spellEnd"/>
            <w:r w:rsidRPr="009C521E">
              <w:rPr>
                <w:rFonts w:ascii="Times New Roman" w:hAnsi="Times New Roman"/>
                <w:sz w:val="28"/>
                <w:szCs w:val="28"/>
              </w:rPr>
              <w:t xml:space="preserve">; </w:t>
            </w:r>
          </w:p>
          <w:p w14:paraId="2491C95B"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Д. </w:t>
            </w:r>
            <w:proofErr w:type="spellStart"/>
            <w:r w:rsidRPr="009C521E">
              <w:rPr>
                <w:rFonts w:ascii="Times New Roman" w:hAnsi="Times New Roman"/>
                <w:sz w:val="28"/>
                <w:szCs w:val="28"/>
              </w:rPr>
              <w:t>Волкогонов</w:t>
            </w:r>
            <w:proofErr w:type="spellEnd"/>
            <w:r w:rsidRPr="009C521E">
              <w:rPr>
                <w:rFonts w:ascii="Times New Roman" w:hAnsi="Times New Roman"/>
                <w:sz w:val="28"/>
                <w:szCs w:val="28"/>
              </w:rPr>
              <w:t xml:space="preserve">; </w:t>
            </w:r>
          </w:p>
          <w:p w14:paraId="07E66CD9"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Н. </w:t>
            </w:r>
            <w:proofErr w:type="spellStart"/>
            <w:r w:rsidRPr="009C521E">
              <w:rPr>
                <w:rFonts w:ascii="Times New Roman" w:hAnsi="Times New Roman"/>
                <w:sz w:val="28"/>
                <w:szCs w:val="28"/>
              </w:rPr>
              <w:t>Жівейнов</w:t>
            </w:r>
            <w:proofErr w:type="spellEnd"/>
            <w:r w:rsidRPr="009C521E">
              <w:rPr>
                <w:rFonts w:ascii="Times New Roman" w:hAnsi="Times New Roman"/>
                <w:sz w:val="28"/>
                <w:szCs w:val="28"/>
              </w:rPr>
              <w:t xml:space="preserve">; </w:t>
            </w:r>
          </w:p>
          <w:p w14:paraId="2DEA6A92"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А. </w:t>
            </w:r>
            <w:proofErr w:type="spellStart"/>
            <w:r w:rsidRPr="009C521E">
              <w:rPr>
                <w:rFonts w:ascii="Times New Roman" w:hAnsi="Times New Roman"/>
                <w:sz w:val="28"/>
                <w:szCs w:val="28"/>
              </w:rPr>
              <w:t>Караяні</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15071D3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 це латентний вплив на індивідуальну, групову та масову свідомість за допомогою пропаганди, дезінформації та маніпуляції</w:t>
            </w:r>
          </w:p>
        </w:tc>
        <w:tc>
          <w:tcPr>
            <w:tcW w:w="4218" w:type="dxa"/>
            <w:tcBorders>
              <w:top w:val="single" w:sz="4" w:space="0" w:color="auto"/>
              <w:left w:val="single" w:sz="4" w:space="0" w:color="auto"/>
              <w:bottom w:val="single" w:sz="4" w:space="0" w:color="auto"/>
              <w:right w:val="single" w:sz="4" w:space="0" w:color="auto"/>
            </w:tcBorders>
            <w:hideMark/>
          </w:tcPr>
          <w:p w14:paraId="4CF76C1D"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Об’єкт: </w:t>
            </w:r>
            <w:proofErr w:type="spellStart"/>
            <w:r w:rsidRPr="009C521E">
              <w:rPr>
                <w:rFonts w:ascii="Times New Roman" w:hAnsi="Times New Roman"/>
                <w:sz w:val="28"/>
                <w:szCs w:val="28"/>
              </w:rPr>
              <w:t>когнітивно</w:t>
            </w:r>
            <w:proofErr w:type="spellEnd"/>
            <w:r w:rsidRPr="009C521E">
              <w:rPr>
                <w:rFonts w:ascii="Times New Roman" w:hAnsi="Times New Roman"/>
                <w:sz w:val="28"/>
                <w:szCs w:val="28"/>
              </w:rPr>
              <w:t>-емоційна сфера людини; мета: зміна цінностей, установок і моделей поведінки; основна риса:  неусвідомленість впливу</w:t>
            </w:r>
          </w:p>
        </w:tc>
      </w:tr>
      <w:tr w:rsidR="009C521E" w:rsidRPr="009C521E" w14:paraId="41EAE064"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2D3BAE3A"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Соціально-комунікативний</w:t>
            </w:r>
          </w:p>
        </w:tc>
        <w:tc>
          <w:tcPr>
            <w:tcW w:w="2586" w:type="dxa"/>
            <w:tcBorders>
              <w:top w:val="single" w:sz="4" w:space="0" w:color="auto"/>
              <w:left w:val="single" w:sz="4" w:space="0" w:color="auto"/>
              <w:bottom w:val="single" w:sz="4" w:space="0" w:color="auto"/>
              <w:right w:val="single" w:sz="4" w:space="0" w:color="auto"/>
            </w:tcBorders>
            <w:hideMark/>
          </w:tcPr>
          <w:p w14:paraId="6597AC4D"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М. </w:t>
            </w:r>
            <w:proofErr w:type="spellStart"/>
            <w:r w:rsidRPr="009C521E">
              <w:rPr>
                <w:rFonts w:ascii="Times New Roman" w:hAnsi="Times New Roman"/>
                <w:sz w:val="28"/>
                <w:szCs w:val="28"/>
              </w:rPr>
              <w:t>Павлютенкова</w:t>
            </w:r>
            <w:proofErr w:type="spellEnd"/>
            <w:r w:rsidRPr="009C521E">
              <w:rPr>
                <w:rFonts w:ascii="Times New Roman" w:hAnsi="Times New Roman"/>
                <w:sz w:val="28"/>
                <w:szCs w:val="28"/>
              </w:rPr>
              <w:t>; Д. Швець</w:t>
            </w:r>
          </w:p>
        </w:tc>
        <w:tc>
          <w:tcPr>
            <w:tcW w:w="5245" w:type="dxa"/>
            <w:tcBorders>
              <w:top w:val="single" w:sz="4" w:space="0" w:color="auto"/>
              <w:left w:val="single" w:sz="4" w:space="0" w:color="auto"/>
              <w:bottom w:val="single" w:sz="4" w:space="0" w:color="auto"/>
              <w:right w:val="single" w:sz="4" w:space="0" w:color="auto"/>
            </w:tcBorders>
            <w:hideMark/>
          </w:tcPr>
          <w:p w14:paraId="06B9FFE3"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як комунікативна технологія досягнення інформаційної переваги</w:t>
            </w:r>
          </w:p>
        </w:tc>
        <w:tc>
          <w:tcPr>
            <w:tcW w:w="4218" w:type="dxa"/>
            <w:tcBorders>
              <w:top w:val="single" w:sz="4" w:space="0" w:color="auto"/>
              <w:left w:val="single" w:sz="4" w:space="0" w:color="auto"/>
              <w:bottom w:val="single" w:sz="4" w:space="0" w:color="auto"/>
              <w:right w:val="single" w:sz="4" w:space="0" w:color="auto"/>
            </w:tcBorders>
            <w:hideMark/>
          </w:tcPr>
          <w:p w14:paraId="289A48E2"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Акцент на домінуванні в інформаційному просторі, управлінні потоками інформації та формуванні когнітивних орієнтацій</w:t>
            </w:r>
          </w:p>
        </w:tc>
      </w:tr>
      <w:tr w:rsidR="009C521E" w:rsidRPr="009C521E" w14:paraId="386837B5"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6AAF3172"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Геополітичний</w:t>
            </w:r>
          </w:p>
        </w:tc>
        <w:tc>
          <w:tcPr>
            <w:tcW w:w="2586" w:type="dxa"/>
            <w:tcBorders>
              <w:top w:val="single" w:sz="4" w:space="0" w:color="auto"/>
              <w:left w:val="single" w:sz="4" w:space="0" w:color="auto"/>
              <w:bottom w:val="single" w:sz="4" w:space="0" w:color="auto"/>
              <w:right w:val="single" w:sz="4" w:space="0" w:color="auto"/>
            </w:tcBorders>
            <w:hideMark/>
          </w:tcPr>
          <w:p w14:paraId="5E08C97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І. Михальченко; </w:t>
            </w:r>
          </w:p>
          <w:p w14:paraId="1224C487"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І. </w:t>
            </w:r>
            <w:proofErr w:type="spellStart"/>
            <w:r w:rsidRPr="009C521E">
              <w:rPr>
                <w:rFonts w:ascii="Times New Roman" w:hAnsi="Times New Roman"/>
                <w:sz w:val="28"/>
                <w:szCs w:val="28"/>
              </w:rPr>
              <w:t>Панарін</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279425AB"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 цілісна технологія міждержавного протиборства, спрямована на гуманітарне поневолення</w:t>
            </w:r>
          </w:p>
        </w:tc>
        <w:tc>
          <w:tcPr>
            <w:tcW w:w="4218" w:type="dxa"/>
            <w:tcBorders>
              <w:top w:val="single" w:sz="4" w:space="0" w:color="auto"/>
              <w:left w:val="single" w:sz="4" w:space="0" w:color="auto"/>
              <w:bottom w:val="single" w:sz="4" w:space="0" w:color="auto"/>
              <w:right w:val="single" w:sz="4" w:space="0" w:color="auto"/>
            </w:tcBorders>
            <w:hideMark/>
          </w:tcPr>
          <w:p w14:paraId="7975D48E"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Інструмент досягнення зовнішньополітичних цілей без прямого застосування збройної сили; домінування через контроль ноосфери</w:t>
            </w:r>
          </w:p>
        </w:tc>
      </w:tr>
      <w:tr w:rsidR="009C521E" w:rsidRPr="009C521E" w14:paraId="3235A87C"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112DF8CB"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lastRenderedPageBreak/>
              <w:t>Політико-ідеологічний</w:t>
            </w:r>
          </w:p>
        </w:tc>
        <w:tc>
          <w:tcPr>
            <w:tcW w:w="2586" w:type="dxa"/>
            <w:tcBorders>
              <w:top w:val="single" w:sz="4" w:space="0" w:color="auto"/>
              <w:left w:val="single" w:sz="4" w:space="0" w:color="auto"/>
              <w:bottom w:val="single" w:sz="4" w:space="0" w:color="auto"/>
              <w:right w:val="single" w:sz="4" w:space="0" w:color="auto"/>
            </w:tcBorders>
            <w:hideMark/>
          </w:tcPr>
          <w:p w14:paraId="2BAE35A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А. </w:t>
            </w:r>
            <w:proofErr w:type="spellStart"/>
            <w:r w:rsidRPr="009C521E">
              <w:rPr>
                <w:rFonts w:ascii="Times New Roman" w:hAnsi="Times New Roman"/>
                <w:sz w:val="28"/>
                <w:szCs w:val="28"/>
              </w:rPr>
              <w:t>Манойло</w:t>
            </w:r>
            <w:proofErr w:type="spellEnd"/>
            <w:r w:rsidRPr="009C521E">
              <w:rPr>
                <w:rFonts w:ascii="Times New Roman" w:hAnsi="Times New Roman"/>
                <w:sz w:val="28"/>
                <w:szCs w:val="28"/>
              </w:rPr>
              <w:t xml:space="preserve">; </w:t>
            </w:r>
          </w:p>
          <w:p w14:paraId="554CFA18"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Ю. Корольов</w:t>
            </w:r>
          </w:p>
        </w:tc>
        <w:tc>
          <w:tcPr>
            <w:tcW w:w="5245" w:type="dxa"/>
            <w:tcBorders>
              <w:top w:val="single" w:sz="4" w:space="0" w:color="auto"/>
              <w:left w:val="single" w:sz="4" w:space="0" w:color="auto"/>
              <w:bottom w:val="single" w:sz="4" w:space="0" w:color="auto"/>
              <w:right w:val="single" w:sz="4" w:space="0" w:color="auto"/>
            </w:tcBorders>
            <w:hideMark/>
          </w:tcPr>
          <w:p w14:paraId="05234DED"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 форма політичної боротьби через інформаційно-психологічні операції</w:t>
            </w:r>
          </w:p>
        </w:tc>
        <w:tc>
          <w:tcPr>
            <w:tcW w:w="4218" w:type="dxa"/>
            <w:tcBorders>
              <w:top w:val="single" w:sz="4" w:space="0" w:color="auto"/>
              <w:left w:val="single" w:sz="4" w:space="0" w:color="auto"/>
              <w:bottom w:val="single" w:sz="4" w:space="0" w:color="auto"/>
              <w:right w:val="single" w:sz="4" w:space="0" w:color="auto"/>
            </w:tcBorders>
            <w:hideMark/>
          </w:tcPr>
          <w:p w14:paraId="36714375"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Засіб нарощування владного капіталу; використання мас-медіа для загострення внутрішніх і зовнішніх протиріч</w:t>
            </w:r>
          </w:p>
        </w:tc>
      </w:tr>
      <w:tr w:rsidR="009C521E" w:rsidRPr="009C521E" w14:paraId="7D2468FC"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4F8D73BD" w14:textId="77777777" w:rsidR="009C521E" w:rsidRPr="009C521E" w:rsidRDefault="009C521E" w:rsidP="009C521E">
            <w:pPr>
              <w:spacing w:line="360" w:lineRule="auto"/>
              <w:ind w:left="113" w:right="113"/>
              <w:jc w:val="both"/>
              <w:rPr>
                <w:rFonts w:ascii="Times New Roman" w:hAnsi="Times New Roman"/>
                <w:sz w:val="28"/>
                <w:szCs w:val="28"/>
              </w:rPr>
            </w:pPr>
            <w:proofErr w:type="spellStart"/>
            <w:r w:rsidRPr="009C521E">
              <w:rPr>
                <w:rFonts w:ascii="Times New Roman" w:hAnsi="Times New Roman"/>
                <w:b/>
                <w:bCs/>
                <w:sz w:val="28"/>
                <w:szCs w:val="28"/>
              </w:rPr>
              <w:t>Конфліктологічний</w:t>
            </w:r>
            <w:proofErr w:type="spellEnd"/>
          </w:p>
        </w:tc>
        <w:tc>
          <w:tcPr>
            <w:tcW w:w="2586" w:type="dxa"/>
            <w:tcBorders>
              <w:top w:val="single" w:sz="4" w:space="0" w:color="auto"/>
              <w:left w:val="single" w:sz="4" w:space="0" w:color="auto"/>
              <w:bottom w:val="single" w:sz="4" w:space="0" w:color="auto"/>
              <w:right w:val="single" w:sz="4" w:space="0" w:color="auto"/>
            </w:tcBorders>
            <w:hideMark/>
          </w:tcPr>
          <w:p w14:paraId="009DF993"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Р. </w:t>
            </w:r>
            <w:proofErr w:type="spellStart"/>
            <w:r w:rsidRPr="009C521E">
              <w:rPr>
                <w:rFonts w:ascii="Times New Roman" w:hAnsi="Times New Roman"/>
                <w:sz w:val="28"/>
                <w:szCs w:val="28"/>
              </w:rPr>
              <w:t>Шафранський</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477C1CB2"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 збройні дії проти системи знань і переконань супротивника</w:t>
            </w:r>
          </w:p>
        </w:tc>
        <w:tc>
          <w:tcPr>
            <w:tcW w:w="4218" w:type="dxa"/>
            <w:tcBorders>
              <w:top w:val="single" w:sz="4" w:space="0" w:color="auto"/>
              <w:left w:val="single" w:sz="4" w:space="0" w:color="auto"/>
              <w:bottom w:val="single" w:sz="4" w:space="0" w:color="auto"/>
              <w:right w:val="single" w:sz="4" w:space="0" w:color="auto"/>
            </w:tcBorders>
            <w:hideMark/>
          </w:tcPr>
          <w:p w14:paraId="7F65BD84"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Мета: деструкція процесу прийняття політичних рішень; вразливість зростає разом із технологічною розвиненістю</w:t>
            </w:r>
          </w:p>
        </w:tc>
      </w:tr>
      <w:tr w:rsidR="009C521E" w:rsidRPr="009C521E" w14:paraId="285CC7A8"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78DC8B72"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Військово-стратегічний</w:t>
            </w:r>
          </w:p>
        </w:tc>
        <w:tc>
          <w:tcPr>
            <w:tcW w:w="2586" w:type="dxa"/>
            <w:tcBorders>
              <w:top w:val="single" w:sz="4" w:space="0" w:color="auto"/>
              <w:left w:val="single" w:sz="4" w:space="0" w:color="auto"/>
              <w:bottom w:val="single" w:sz="4" w:space="0" w:color="auto"/>
              <w:right w:val="single" w:sz="4" w:space="0" w:color="auto"/>
            </w:tcBorders>
            <w:hideMark/>
          </w:tcPr>
          <w:p w14:paraId="3FDE9704" w14:textId="77777777" w:rsidR="009C521E" w:rsidRPr="009C521E" w:rsidRDefault="009C521E" w:rsidP="009C521E">
            <w:pPr>
              <w:spacing w:line="360" w:lineRule="auto"/>
              <w:jc w:val="both"/>
              <w:rPr>
                <w:rFonts w:ascii="Times New Roman" w:hAnsi="Times New Roman"/>
                <w:sz w:val="28"/>
                <w:szCs w:val="28"/>
              </w:rPr>
            </w:pPr>
            <w:proofErr w:type="spellStart"/>
            <w:r w:rsidRPr="009C521E">
              <w:rPr>
                <w:rFonts w:ascii="Times New Roman" w:hAnsi="Times New Roman"/>
                <w:sz w:val="28"/>
                <w:szCs w:val="28"/>
              </w:rPr>
              <w:t>Дж</w:t>
            </w:r>
            <w:proofErr w:type="spellEnd"/>
            <w:r w:rsidRPr="009C521E">
              <w:rPr>
                <w:rFonts w:ascii="Times New Roman" w:hAnsi="Times New Roman"/>
                <w:sz w:val="28"/>
                <w:szCs w:val="28"/>
              </w:rPr>
              <w:t xml:space="preserve">. </w:t>
            </w:r>
            <w:proofErr w:type="spellStart"/>
            <w:r w:rsidRPr="009C521E">
              <w:rPr>
                <w:rFonts w:ascii="Times New Roman" w:hAnsi="Times New Roman"/>
                <w:sz w:val="28"/>
                <w:szCs w:val="28"/>
              </w:rPr>
              <w:t>Аркілла</w:t>
            </w:r>
            <w:proofErr w:type="spellEnd"/>
            <w:r w:rsidRPr="009C521E">
              <w:rPr>
                <w:rFonts w:ascii="Times New Roman" w:hAnsi="Times New Roman"/>
                <w:sz w:val="28"/>
                <w:szCs w:val="28"/>
              </w:rPr>
              <w:t xml:space="preserve">; </w:t>
            </w:r>
          </w:p>
          <w:p w14:paraId="59543F01"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Д. </w:t>
            </w:r>
            <w:proofErr w:type="spellStart"/>
            <w:r w:rsidRPr="009C521E">
              <w:rPr>
                <w:rFonts w:ascii="Times New Roman" w:hAnsi="Times New Roman"/>
                <w:sz w:val="28"/>
                <w:szCs w:val="28"/>
              </w:rPr>
              <w:t>Ронфельдт</w:t>
            </w:r>
            <w:proofErr w:type="spellEnd"/>
            <w:r w:rsidRPr="009C521E">
              <w:rPr>
                <w:rFonts w:ascii="Times New Roman" w:hAnsi="Times New Roman"/>
                <w:sz w:val="28"/>
                <w:szCs w:val="28"/>
              </w:rPr>
              <w:t xml:space="preserve">; </w:t>
            </w:r>
          </w:p>
          <w:p w14:paraId="1001FF4E" w14:textId="77777777" w:rsidR="009C521E" w:rsidRPr="009C521E" w:rsidRDefault="009C521E" w:rsidP="009C521E">
            <w:pPr>
              <w:spacing w:line="360" w:lineRule="auto"/>
              <w:jc w:val="both"/>
              <w:rPr>
                <w:rFonts w:ascii="Times New Roman" w:hAnsi="Times New Roman"/>
                <w:sz w:val="28"/>
                <w:szCs w:val="28"/>
              </w:rPr>
            </w:pPr>
            <w:proofErr w:type="spellStart"/>
            <w:r w:rsidRPr="009C521E">
              <w:rPr>
                <w:rFonts w:ascii="Times New Roman" w:hAnsi="Times New Roman"/>
                <w:sz w:val="28"/>
                <w:szCs w:val="28"/>
              </w:rPr>
              <w:t>Дж</w:t>
            </w:r>
            <w:proofErr w:type="spellEnd"/>
            <w:r w:rsidRPr="009C521E">
              <w:rPr>
                <w:rFonts w:ascii="Times New Roman" w:hAnsi="Times New Roman"/>
                <w:sz w:val="28"/>
                <w:szCs w:val="28"/>
              </w:rPr>
              <w:t xml:space="preserve">. </w:t>
            </w:r>
            <w:proofErr w:type="spellStart"/>
            <w:r w:rsidRPr="009C521E">
              <w:rPr>
                <w:rFonts w:ascii="Times New Roman" w:hAnsi="Times New Roman"/>
                <w:sz w:val="28"/>
                <w:szCs w:val="28"/>
              </w:rPr>
              <w:t>Деріан</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37AC0311"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Інформаційна війна як різновид військового конфлікту або складова мережевих і </w:t>
            </w:r>
            <w:proofErr w:type="spellStart"/>
            <w:r w:rsidRPr="009C521E">
              <w:rPr>
                <w:rFonts w:ascii="Times New Roman" w:hAnsi="Times New Roman"/>
                <w:sz w:val="28"/>
                <w:szCs w:val="28"/>
              </w:rPr>
              <w:t>кібервійн</w:t>
            </w:r>
            <w:proofErr w:type="spellEnd"/>
          </w:p>
        </w:tc>
        <w:tc>
          <w:tcPr>
            <w:tcW w:w="4218" w:type="dxa"/>
            <w:tcBorders>
              <w:top w:val="single" w:sz="4" w:space="0" w:color="auto"/>
              <w:left w:val="single" w:sz="4" w:space="0" w:color="auto"/>
              <w:bottom w:val="single" w:sz="4" w:space="0" w:color="auto"/>
              <w:right w:val="single" w:sz="4" w:space="0" w:color="auto"/>
            </w:tcBorders>
            <w:hideMark/>
          </w:tcPr>
          <w:p w14:paraId="5CFE71B3"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Руйнування інформаційних систем противника; домінування через цифрові, мережеві та автоматизовані технології</w:t>
            </w:r>
          </w:p>
        </w:tc>
      </w:tr>
      <w:tr w:rsidR="009C521E" w:rsidRPr="009C521E" w14:paraId="6325AB58"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0A643387"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Техніко-кібернетичний</w:t>
            </w:r>
          </w:p>
        </w:tc>
        <w:tc>
          <w:tcPr>
            <w:tcW w:w="2586" w:type="dxa"/>
            <w:tcBorders>
              <w:top w:val="single" w:sz="4" w:space="0" w:color="auto"/>
              <w:left w:val="single" w:sz="4" w:space="0" w:color="auto"/>
              <w:bottom w:val="single" w:sz="4" w:space="0" w:color="auto"/>
              <w:right w:val="single" w:sz="4" w:space="0" w:color="auto"/>
            </w:tcBorders>
            <w:hideMark/>
          </w:tcPr>
          <w:p w14:paraId="41197E1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П. Шпига;</w:t>
            </w:r>
          </w:p>
          <w:p w14:paraId="0A05F24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Р. Рудник </w:t>
            </w:r>
          </w:p>
        </w:tc>
        <w:tc>
          <w:tcPr>
            <w:tcW w:w="5245" w:type="dxa"/>
            <w:tcBorders>
              <w:top w:val="single" w:sz="4" w:space="0" w:color="auto"/>
              <w:left w:val="single" w:sz="4" w:space="0" w:color="auto"/>
              <w:bottom w:val="single" w:sz="4" w:space="0" w:color="auto"/>
              <w:right w:val="single" w:sz="4" w:space="0" w:color="auto"/>
            </w:tcBorders>
            <w:hideMark/>
          </w:tcPr>
          <w:p w14:paraId="212B2AD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Інформаційна війна як </w:t>
            </w:r>
            <w:proofErr w:type="spellStart"/>
            <w:r w:rsidRPr="009C521E">
              <w:rPr>
                <w:rFonts w:ascii="Times New Roman" w:hAnsi="Times New Roman"/>
                <w:sz w:val="28"/>
                <w:szCs w:val="28"/>
              </w:rPr>
              <w:t>кібервійна</w:t>
            </w:r>
            <w:proofErr w:type="spellEnd"/>
            <w:r w:rsidRPr="009C521E">
              <w:rPr>
                <w:rFonts w:ascii="Times New Roman" w:hAnsi="Times New Roman"/>
                <w:sz w:val="28"/>
                <w:szCs w:val="28"/>
              </w:rPr>
              <w:t xml:space="preserve"> – протистояння технічних систем</w:t>
            </w:r>
          </w:p>
        </w:tc>
        <w:tc>
          <w:tcPr>
            <w:tcW w:w="4218" w:type="dxa"/>
            <w:tcBorders>
              <w:top w:val="single" w:sz="4" w:space="0" w:color="auto"/>
              <w:left w:val="single" w:sz="4" w:space="0" w:color="auto"/>
              <w:bottom w:val="single" w:sz="4" w:space="0" w:color="auto"/>
              <w:right w:val="single" w:sz="4" w:space="0" w:color="auto"/>
            </w:tcBorders>
            <w:hideMark/>
          </w:tcPr>
          <w:p w14:paraId="10172651"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Фокус на інфраструктурі, </w:t>
            </w:r>
            <w:proofErr w:type="spellStart"/>
            <w:r w:rsidRPr="009C521E">
              <w:rPr>
                <w:rFonts w:ascii="Times New Roman" w:hAnsi="Times New Roman"/>
                <w:sz w:val="28"/>
                <w:szCs w:val="28"/>
              </w:rPr>
              <w:t>кіберзасобах</w:t>
            </w:r>
            <w:proofErr w:type="spellEnd"/>
            <w:r w:rsidRPr="009C521E">
              <w:rPr>
                <w:rFonts w:ascii="Times New Roman" w:hAnsi="Times New Roman"/>
                <w:sz w:val="28"/>
                <w:szCs w:val="28"/>
              </w:rPr>
              <w:t>, цифрових каналах та технічних комунікаціях</w:t>
            </w:r>
          </w:p>
        </w:tc>
      </w:tr>
      <w:tr w:rsidR="009C521E" w:rsidRPr="009C521E" w14:paraId="43AE14BE" w14:textId="77777777">
        <w:trPr>
          <w:cantSplit/>
          <w:trHeight w:val="1134"/>
        </w:trPr>
        <w:tc>
          <w:tcPr>
            <w:tcW w:w="3079" w:type="dxa"/>
            <w:tcBorders>
              <w:top w:val="single" w:sz="4" w:space="0" w:color="auto"/>
              <w:left w:val="single" w:sz="4" w:space="0" w:color="auto"/>
              <w:bottom w:val="single" w:sz="4" w:space="0" w:color="auto"/>
              <w:right w:val="single" w:sz="4" w:space="0" w:color="auto"/>
            </w:tcBorders>
            <w:textDirection w:val="btLr"/>
            <w:hideMark/>
          </w:tcPr>
          <w:p w14:paraId="372B3878"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Системний</w:t>
            </w:r>
          </w:p>
        </w:tc>
        <w:tc>
          <w:tcPr>
            <w:tcW w:w="2586" w:type="dxa"/>
            <w:tcBorders>
              <w:top w:val="single" w:sz="4" w:space="0" w:color="auto"/>
              <w:left w:val="single" w:sz="4" w:space="0" w:color="auto"/>
              <w:bottom w:val="single" w:sz="4" w:space="0" w:color="auto"/>
              <w:right w:val="single" w:sz="4" w:space="0" w:color="auto"/>
            </w:tcBorders>
            <w:hideMark/>
          </w:tcPr>
          <w:p w14:paraId="102223D8"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С. </w:t>
            </w:r>
            <w:proofErr w:type="spellStart"/>
            <w:r w:rsidRPr="009C521E">
              <w:rPr>
                <w:rFonts w:ascii="Times New Roman" w:hAnsi="Times New Roman"/>
                <w:sz w:val="28"/>
                <w:szCs w:val="28"/>
              </w:rPr>
              <w:t>Расторгуєв</w:t>
            </w:r>
            <w:proofErr w:type="spellEnd"/>
            <w:r w:rsidRPr="009C521E">
              <w:rPr>
                <w:rFonts w:ascii="Times New Roman" w:hAnsi="Times New Roman"/>
                <w:sz w:val="28"/>
                <w:szCs w:val="28"/>
              </w:rPr>
              <w:t xml:space="preserve">; </w:t>
            </w:r>
          </w:p>
          <w:p w14:paraId="08C5DD8E"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С. Бухарін; </w:t>
            </w:r>
          </w:p>
          <w:p w14:paraId="29D13A0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В. </w:t>
            </w:r>
            <w:proofErr w:type="spellStart"/>
            <w:r w:rsidRPr="009C521E">
              <w:rPr>
                <w:rFonts w:ascii="Times New Roman" w:hAnsi="Times New Roman"/>
                <w:sz w:val="28"/>
                <w:szCs w:val="28"/>
              </w:rPr>
              <w:t>Циганов</w:t>
            </w:r>
            <w:proofErr w:type="spellEnd"/>
          </w:p>
        </w:tc>
        <w:tc>
          <w:tcPr>
            <w:tcW w:w="5245" w:type="dxa"/>
            <w:tcBorders>
              <w:top w:val="single" w:sz="4" w:space="0" w:color="auto"/>
              <w:left w:val="single" w:sz="4" w:space="0" w:color="auto"/>
              <w:bottom w:val="single" w:sz="4" w:space="0" w:color="auto"/>
              <w:right w:val="single" w:sz="4" w:space="0" w:color="auto"/>
            </w:tcBorders>
            <w:hideMark/>
          </w:tcPr>
          <w:p w14:paraId="5AABBCD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Інформаційна війна – відкритий або прихований вплив інформаційних систем одна на одну</w:t>
            </w:r>
          </w:p>
        </w:tc>
        <w:tc>
          <w:tcPr>
            <w:tcW w:w="4218" w:type="dxa"/>
            <w:tcBorders>
              <w:top w:val="single" w:sz="4" w:space="0" w:color="auto"/>
              <w:left w:val="single" w:sz="4" w:space="0" w:color="auto"/>
              <w:bottom w:val="single" w:sz="4" w:space="0" w:color="auto"/>
              <w:right w:val="single" w:sz="4" w:space="0" w:color="auto"/>
            </w:tcBorders>
            <w:hideMark/>
          </w:tcPr>
          <w:p w14:paraId="09776017"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Динамічний процес у складній </w:t>
            </w:r>
            <w:proofErr w:type="spellStart"/>
            <w:r w:rsidRPr="009C521E">
              <w:rPr>
                <w:rFonts w:ascii="Times New Roman" w:hAnsi="Times New Roman"/>
                <w:sz w:val="28"/>
                <w:szCs w:val="28"/>
              </w:rPr>
              <w:t>самоорганізованій</w:t>
            </w:r>
            <w:proofErr w:type="spellEnd"/>
            <w:r w:rsidRPr="009C521E">
              <w:rPr>
                <w:rFonts w:ascii="Times New Roman" w:hAnsi="Times New Roman"/>
                <w:sz w:val="28"/>
                <w:szCs w:val="28"/>
              </w:rPr>
              <w:t xml:space="preserve"> системі; результат: трансформація або зникнення системи</w:t>
            </w:r>
          </w:p>
        </w:tc>
      </w:tr>
    </w:tbl>
    <w:p w14:paraId="085E9452" w14:textId="77777777" w:rsidR="009C521E" w:rsidRPr="009C521E" w:rsidRDefault="009C521E" w:rsidP="009C521E">
      <w:pPr>
        <w:spacing w:after="0" w:line="360" w:lineRule="auto"/>
        <w:rPr>
          <w:rFonts w:ascii="Times New Roman" w:eastAsia="Calibri" w:hAnsi="Times New Roman" w:cs="Times New Roman"/>
          <w:kern w:val="0"/>
          <w:sz w:val="28"/>
          <w:szCs w:val="28"/>
          <w:lang w:val="uk-UA"/>
          <w14:ligatures w14:val="none"/>
        </w:rPr>
        <w:sectPr w:rsidR="009C521E" w:rsidRPr="009C521E" w:rsidSect="009C521E">
          <w:pgSz w:w="16838" w:h="11906" w:orient="landscape"/>
          <w:pgMar w:top="1417" w:right="850" w:bottom="850" w:left="850" w:header="708" w:footer="708" w:gutter="0"/>
          <w:cols w:space="720"/>
        </w:sectPr>
      </w:pPr>
    </w:p>
    <w:p w14:paraId="2F6CB25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lastRenderedPageBreak/>
        <w:t>Отже, у широкому значенні інформаційна війна розглядається як цілеспрямований процес впливу на інформаційний простір супротивника з метою досягнення політичних, військових, економічних або соціальних переваг без обов’язкового застосування прямої збройної сили, що акцентує увагу на стратегічному використанні інформації як засобу підриву суверенітету, дестабілізації політичних інститутів та трансформації масової свідомості.</w:t>
      </w:r>
    </w:p>
    <w:p w14:paraId="7803191C"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У вузькому трактуванні інформаційна війна інтерпретується як сукупність спеціальних дій, операцій та кампаній, спрямованих на маніпулювання інформаційними потоками, контролювання комунікаційних каналів, поширення дезінформації та формування вигідних для суб’єкта війни </w:t>
      </w:r>
      <w:proofErr w:type="spellStart"/>
      <w:r w:rsidRPr="009C521E">
        <w:rPr>
          <w:rFonts w:ascii="Times New Roman" w:eastAsia="Calibri" w:hAnsi="Times New Roman" w:cs="Times New Roman"/>
          <w:sz w:val="28"/>
          <w:szCs w:val="28"/>
          <w:lang w:val="uk-UA"/>
        </w:rPr>
        <w:t>наративів</w:t>
      </w:r>
      <w:proofErr w:type="spellEnd"/>
      <w:r w:rsidRPr="009C521E">
        <w:rPr>
          <w:rFonts w:ascii="Times New Roman" w:eastAsia="Calibri" w:hAnsi="Times New Roman" w:cs="Times New Roman"/>
          <w:sz w:val="28"/>
          <w:szCs w:val="28"/>
          <w:lang w:val="uk-UA"/>
        </w:rPr>
        <w:t>, що наголошує на тому, що основним об’єктом впливу стає не лише інформаційна інфраструктура держави, але й когнітивна сфера суспільства, як от: уявлення, цінності, ідентичності та моделі політичної поведінки громадян.</w:t>
      </w:r>
    </w:p>
    <w:p w14:paraId="29E72F06"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Сучасні дослідники дедалі частіше підкреслюють, що інформаційна війна не є аномальним або винятковим станом, пов’язаним виключно з фазою відкритого конфлікту, а виступає перманентним процесом у міжнародних відносинах. Вона може здійснюватися як у мирний час, так і в умовах збройного протистояння, змінюючи лише інтенсивність, інструментарій та масштаби. Така характеристика дозволяє розглядати інформаційну війну як структурний елемент сучасної політики безпеки, що виходить за межі класичних воєнних доктрин.</w:t>
      </w:r>
    </w:p>
    <w:p w14:paraId="2503C9B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Важливою рисою інформаційної війни є асиметричність. На відміну від традиційних війн, де основну роль відіграють матеріальні ресурси та військова потуга, інформаційне протистояння дає змогу слабшим акторам компенсувати дефіцит сил за рахунок ефективного використання медіа, цифрових платформ і психологічних технологій, що зумовлює залучення до інформаційних війн не лише держав, а й недержавних акторів (транснаціональних корпорацій, медіа-структур, громадських рухів, мережевих спільнот і навіть окремих індивідів, здатних впливати на публічний дискурс).</w:t>
      </w:r>
    </w:p>
    <w:p w14:paraId="1D5EC887"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У межах політичної науки інформаційна війна дедалі частіше аналізується як інструмент боротьби за легітимність. Через контроль над інтерпретацією </w:t>
      </w:r>
      <w:r w:rsidRPr="009C521E">
        <w:rPr>
          <w:rFonts w:ascii="Times New Roman" w:eastAsia="Calibri" w:hAnsi="Times New Roman" w:cs="Times New Roman"/>
          <w:sz w:val="28"/>
          <w:szCs w:val="28"/>
          <w:lang w:val="uk-UA"/>
        </w:rPr>
        <w:lastRenderedPageBreak/>
        <w:t xml:space="preserve">подій, нав’язування альтернативних версій реальності та дискредитацію політичних інститутів супротивника здійснюється підрив довіри до влади, демократичних процедур і держави як носія законного насилля. Таким чином, інформаційна війна тісно пов’язана з кризами політичної ідентичності, </w:t>
      </w:r>
      <w:proofErr w:type="spellStart"/>
      <w:r w:rsidRPr="009C521E">
        <w:rPr>
          <w:rFonts w:ascii="Times New Roman" w:eastAsia="Calibri" w:hAnsi="Times New Roman" w:cs="Times New Roman"/>
          <w:sz w:val="28"/>
          <w:szCs w:val="28"/>
          <w:lang w:val="uk-UA"/>
        </w:rPr>
        <w:t>делегітимацією</w:t>
      </w:r>
      <w:proofErr w:type="spellEnd"/>
      <w:r w:rsidRPr="009C521E">
        <w:rPr>
          <w:rFonts w:ascii="Times New Roman" w:eastAsia="Calibri" w:hAnsi="Times New Roman" w:cs="Times New Roman"/>
          <w:sz w:val="28"/>
          <w:szCs w:val="28"/>
          <w:lang w:val="uk-UA"/>
        </w:rPr>
        <w:t xml:space="preserve"> інститутів та зростанням соціальної поляризації.</w:t>
      </w:r>
    </w:p>
    <w:p w14:paraId="583FA25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Окремого наукового осмислення потребує співвідношення понять «інформаційна війна», «психологічна війна», «пропаганда» та «дезінформація». Хоча ці категорії часто вживаються як взаємозамінні, у сучасному дискурсі інформаційна війна розглядається як більш комплексне явище, що охоплює як психологічні операції, так і технічні, кібернетичні та комунікативні аспекти. Вона інтегрує різні рівні впливу — від маніпуляції фактами до руйнування інформаційних систем та зміни політичних орієнтацій суспільства.</w:t>
      </w:r>
    </w:p>
    <w:p w14:paraId="1C44698F"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Таким чином, інформаційна війна в сучасному науковому дискурсі постає багатовимірним, динамічним і структурно складним феноменом, який відображає трансформацію природи конфліктів у глобалізованому світі. Її дослідження потребує міждисциплінарного підходу та поєднання теоретичного аналізу з емпіричними кейсами, що особливо актуально в контексті сучасних гібридних протистоянь. Саме таке розуміння інформаційної війни створює концептуальне підґрунтя для подальшого аналізу її механізмів, суб’єктів та наслідків у межах даної наукової роботи</w:t>
      </w:r>
    </w:p>
    <w:p w14:paraId="07924707"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p w14:paraId="11BB943D" w14:textId="77777777" w:rsidR="009C521E" w:rsidRPr="009C521E" w:rsidRDefault="009C521E" w:rsidP="009C521E">
      <w:pPr>
        <w:spacing w:after="0" w:line="360" w:lineRule="auto"/>
        <w:ind w:firstLine="567"/>
        <w:jc w:val="both"/>
        <w:rPr>
          <w:rFonts w:ascii="Times New Roman" w:eastAsia="Calibri" w:hAnsi="Times New Roman" w:cs="Times New Roman"/>
          <w:b/>
          <w:bCs/>
          <w:sz w:val="28"/>
          <w:szCs w:val="28"/>
          <w:lang w:val="uk-UA"/>
        </w:rPr>
      </w:pPr>
      <w:r w:rsidRPr="009C521E">
        <w:rPr>
          <w:rFonts w:ascii="Times New Roman" w:eastAsia="Calibri" w:hAnsi="Times New Roman" w:cs="Times New Roman"/>
          <w:b/>
          <w:bCs/>
          <w:sz w:val="28"/>
          <w:szCs w:val="28"/>
          <w:lang w:val="uk-UA"/>
        </w:rPr>
        <w:t>1.2. Інформаційна війна в контексті гібридної війни</w:t>
      </w:r>
    </w:p>
    <w:p w14:paraId="6432A094" w14:textId="77777777" w:rsidR="009C521E" w:rsidRPr="009C521E" w:rsidRDefault="009C521E" w:rsidP="009C521E">
      <w:pPr>
        <w:spacing w:after="0" w:line="360" w:lineRule="auto"/>
        <w:ind w:firstLine="567"/>
        <w:jc w:val="both"/>
        <w:rPr>
          <w:rFonts w:ascii="Times New Roman" w:eastAsia="Calibri" w:hAnsi="Times New Roman" w:cs="Times New Roman"/>
          <w:b/>
          <w:bCs/>
          <w:sz w:val="28"/>
          <w:szCs w:val="28"/>
          <w:lang w:val="uk-UA"/>
        </w:rPr>
      </w:pPr>
    </w:p>
    <w:p w14:paraId="0547455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У сучасному науковому дискурсі поняття гібридного конфлікту використовується для позначення нової моделі протистояння, у межах якої поєднуються військові та невійськові засоби впливу, а межа між миром і війною стає розмитою. Інформаційна війна в цій моделі виступає не допоміжним або другорядним інструментом, а одним із основних структурних елементів гібридного конфлікту, що забезпечує досягнення стратегічних цілей без або до моменту масштабного застосування збройної сили. «Сучасні гібридні </w:t>
      </w:r>
      <w:r w:rsidRPr="009C521E">
        <w:rPr>
          <w:rFonts w:ascii="Times New Roman" w:eastAsia="Calibri" w:hAnsi="Times New Roman" w:cs="Times New Roman"/>
          <w:sz w:val="28"/>
          <w:szCs w:val="28"/>
          <w:lang w:val="uk-UA"/>
        </w:rPr>
        <w:lastRenderedPageBreak/>
        <w:t xml:space="preserve">протистояння кардинально змінили парадигму конфлікту, перетворивши інформаційну сферу на стратегічний театр бойових дій. Інформаційний вплив у таких конфліктах є самостійним, фундаментальним виміром, спрямованим на досягнення стратегічних цілей без використання традиційних військових засобів. Він здатний формувати необхідний інформаційний фон задовго до початку збройних дій, дезорієнтувати противника під час активних фаз конфлікту та підтримувати довгострокову дестабілізацію в </w:t>
      </w:r>
      <w:proofErr w:type="spellStart"/>
      <w:r w:rsidRPr="009C521E">
        <w:rPr>
          <w:rFonts w:ascii="Times New Roman" w:eastAsia="Calibri" w:hAnsi="Times New Roman" w:cs="Times New Roman"/>
          <w:sz w:val="28"/>
          <w:szCs w:val="28"/>
          <w:lang w:val="uk-UA"/>
        </w:rPr>
        <w:t>постконфліктний</w:t>
      </w:r>
      <w:proofErr w:type="spellEnd"/>
      <w:r w:rsidRPr="009C521E">
        <w:rPr>
          <w:rFonts w:ascii="Times New Roman" w:eastAsia="Calibri" w:hAnsi="Times New Roman" w:cs="Times New Roman"/>
          <w:sz w:val="28"/>
          <w:szCs w:val="28"/>
          <w:lang w:val="uk-UA"/>
        </w:rPr>
        <w:t xml:space="preserve"> період» (</w:t>
      </w:r>
      <w:proofErr w:type="spellStart"/>
      <w:r w:rsidRPr="009C521E">
        <w:rPr>
          <w:rFonts w:ascii="Times New Roman" w:eastAsia="Calibri" w:hAnsi="Times New Roman" w:cs="Times New Roman"/>
          <w:sz w:val="28"/>
          <w:szCs w:val="28"/>
          <w:lang w:val="uk-UA"/>
        </w:rPr>
        <w:t>Кожушко</w:t>
      </w:r>
      <w:proofErr w:type="spellEnd"/>
      <w:r w:rsidRPr="009C521E">
        <w:rPr>
          <w:rFonts w:ascii="Times New Roman" w:eastAsia="Calibri" w:hAnsi="Times New Roman" w:cs="Times New Roman"/>
          <w:sz w:val="28"/>
          <w:szCs w:val="28"/>
          <w:lang w:val="uk-UA"/>
        </w:rPr>
        <w:t>, 2025).</w:t>
      </w:r>
    </w:p>
    <w:p w14:paraId="1A3C63A4"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Гібридний конфлікт характеризується комплексним використанням політичних, економічних, дипломатичних, інформаційних, кібернетичних та військових засобів впливу, що застосовуються синхронно та взаємопов’язано. «Гібридну війну у загальному вигляді розуміють як воєнні дії, що здійснюються шляхом поєднання </w:t>
      </w:r>
      <w:proofErr w:type="spellStart"/>
      <w:r w:rsidRPr="009C521E">
        <w:rPr>
          <w:rFonts w:ascii="Times New Roman" w:eastAsia="Calibri" w:hAnsi="Times New Roman" w:cs="Times New Roman"/>
          <w:sz w:val="28"/>
          <w:szCs w:val="28"/>
          <w:lang w:val="uk-UA"/>
        </w:rPr>
        <w:t>мілітарних</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квазімілітарних</w:t>
      </w:r>
      <w:proofErr w:type="spellEnd"/>
      <w:r w:rsidRPr="009C521E">
        <w:rPr>
          <w:rFonts w:ascii="Times New Roman" w:eastAsia="Calibri" w:hAnsi="Times New Roman" w:cs="Times New Roman"/>
          <w:sz w:val="28"/>
          <w:szCs w:val="28"/>
          <w:lang w:val="uk-UA"/>
        </w:rPr>
        <w:t>, дипломатичних, інформаційних, економічних та інших засобів з метою досягнення стратегічних політичних цілей. Специфіка такого поєднання полягає в тому, що кожен з військових і невійськових способів ведення конфлікту застосовується у воєнних цілях та використовується як зброя» (</w:t>
      </w:r>
      <w:proofErr w:type="spellStart"/>
      <w:r w:rsidRPr="009C521E">
        <w:rPr>
          <w:rFonts w:ascii="Times New Roman" w:eastAsia="Calibri" w:hAnsi="Times New Roman" w:cs="Times New Roman"/>
          <w:sz w:val="28"/>
          <w:szCs w:val="28"/>
          <w:lang w:val="uk-UA"/>
        </w:rPr>
        <w:t>Діяків</w:t>
      </w:r>
      <w:proofErr w:type="spellEnd"/>
      <w:r w:rsidRPr="009C521E">
        <w:rPr>
          <w:rFonts w:ascii="Times New Roman" w:eastAsia="Calibri" w:hAnsi="Times New Roman" w:cs="Times New Roman"/>
          <w:sz w:val="28"/>
          <w:szCs w:val="28"/>
          <w:lang w:val="uk-UA"/>
        </w:rPr>
        <w:t xml:space="preserve">, 2017). У такому контексті інформаційна війна виконує функцію інтегратора різних форм тиску, створюючи сприятливе інформаційно-психологічне середовище для реалізації інших компонентів гібридної стратегії. Саме через інформаційний вплив здійснюється підготовка суспільної думки, легітимація агресивних дій та </w:t>
      </w:r>
      <w:proofErr w:type="spellStart"/>
      <w:r w:rsidRPr="009C521E">
        <w:rPr>
          <w:rFonts w:ascii="Times New Roman" w:eastAsia="Calibri" w:hAnsi="Times New Roman" w:cs="Times New Roman"/>
          <w:sz w:val="28"/>
          <w:szCs w:val="28"/>
          <w:lang w:val="uk-UA"/>
        </w:rPr>
        <w:t>делегітимація</w:t>
      </w:r>
      <w:proofErr w:type="spellEnd"/>
      <w:r w:rsidRPr="009C521E">
        <w:rPr>
          <w:rFonts w:ascii="Times New Roman" w:eastAsia="Calibri" w:hAnsi="Times New Roman" w:cs="Times New Roman"/>
          <w:sz w:val="28"/>
          <w:szCs w:val="28"/>
          <w:lang w:val="uk-UA"/>
        </w:rPr>
        <w:t xml:space="preserve"> політичних рішень супротивника.</w:t>
      </w:r>
    </w:p>
    <w:p w14:paraId="19C74B2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Однією з визначальних рис інформаційної війни в гібридному конфлікті є її превентивний характер. Інформаційні операції часто передують відкритим воєнним діям і спрямовані на послаблення держави-жертви зсередини. Йдеться про формування атмосфери недовіри до інститутів влади, загострення соціальних і регіональних протиріч, поляризацію суспільства та ерозію національної ідентичності. У такий спосіб інформаційна війна створює умови, за яких збройна агресія або політичний тиск сприймаються як менш легітимні або навіть «виправдані» в очах частини внутрішньої та зовнішньої аудиторії. </w:t>
      </w:r>
      <w:r w:rsidRPr="009C521E">
        <w:rPr>
          <w:rFonts w:ascii="Times New Roman" w:eastAsia="Calibri" w:hAnsi="Times New Roman" w:cs="Times New Roman"/>
          <w:sz w:val="28"/>
          <w:szCs w:val="28"/>
          <w:lang w:val="uk-UA"/>
        </w:rPr>
        <w:lastRenderedPageBreak/>
        <w:t>«Активній фазі гібридної агресії Росії проти України передувала стратегічна інформаційна операція, в основі якої була покладена доктрина «</w:t>
      </w:r>
      <w:proofErr w:type="spellStart"/>
      <w:r w:rsidRPr="009C521E">
        <w:rPr>
          <w:rFonts w:ascii="Times New Roman" w:eastAsia="Calibri" w:hAnsi="Times New Roman" w:cs="Times New Roman"/>
          <w:sz w:val="28"/>
          <w:szCs w:val="28"/>
          <w:lang w:val="uk-UA"/>
        </w:rPr>
        <w:t>русского</w:t>
      </w:r>
      <w:proofErr w:type="spellEnd"/>
      <w:r w:rsidRPr="009C521E">
        <w:rPr>
          <w:rFonts w:ascii="Times New Roman" w:eastAsia="Calibri" w:hAnsi="Times New Roman" w:cs="Times New Roman"/>
          <w:sz w:val="28"/>
          <w:szCs w:val="28"/>
          <w:lang w:val="uk-UA"/>
        </w:rPr>
        <w:t xml:space="preserve"> мира» та «м’яка сила». Інформаційний вплив був спрямований на руйнацію державних структур, дестабілізацію суспільства та використання внутрішніх соціальних резервів як каталізатора подальших воєнних дій» (Кравченко, 2022).</w:t>
      </w:r>
    </w:p>
    <w:p w14:paraId="0D9B7A21"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У структурі гібридного конфлікту інформаційна війна виконує також функцію маскування. Завдяки активному використанню маніпулятивних </w:t>
      </w:r>
      <w:proofErr w:type="spellStart"/>
      <w:r w:rsidRPr="009C521E">
        <w:rPr>
          <w:rFonts w:ascii="Times New Roman" w:eastAsia="Calibri" w:hAnsi="Times New Roman" w:cs="Times New Roman"/>
          <w:sz w:val="28"/>
          <w:szCs w:val="28"/>
          <w:lang w:val="uk-UA"/>
        </w:rPr>
        <w:t>наративів</w:t>
      </w:r>
      <w:proofErr w:type="spellEnd"/>
      <w:r w:rsidRPr="009C521E">
        <w:rPr>
          <w:rFonts w:ascii="Times New Roman" w:eastAsia="Calibri" w:hAnsi="Times New Roman" w:cs="Times New Roman"/>
          <w:sz w:val="28"/>
          <w:szCs w:val="28"/>
          <w:lang w:val="uk-UA"/>
        </w:rPr>
        <w:t xml:space="preserve">, фейкових новин та контрольованих медіа-платформ суб’єкт агресії може приховувати власну причетність до деструктивних дій, перекладаючи відповідальність на внутрішні чинники або третіх акторів, що ускладнює міжнародно-правову кваліфікацію конфлікту та обмежує можливості колективної відповіді з боку міжнародної спільноти. Можна погодитися з тим, що гібридна війна існує у двох асиметричних модусах - фізичному та дискурсивному. У той час як воєнні дії можуть бути локалізованими, дискурс гібридної війни набуває глобального масштабу. Конфлікт інтерпретацій і </w:t>
      </w:r>
      <w:proofErr w:type="spellStart"/>
      <w:r w:rsidRPr="009C521E">
        <w:rPr>
          <w:rFonts w:ascii="Times New Roman" w:eastAsia="Calibri" w:hAnsi="Times New Roman" w:cs="Times New Roman"/>
          <w:sz w:val="28"/>
          <w:szCs w:val="28"/>
          <w:lang w:val="uk-UA"/>
        </w:rPr>
        <w:t>наративів</w:t>
      </w:r>
      <w:proofErr w:type="spellEnd"/>
      <w:r w:rsidRPr="009C521E">
        <w:rPr>
          <w:rFonts w:ascii="Times New Roman" w:eastAsia="Calibri" w:hAnsi="Times New Roman" w:cs="Times New Roman"/>
          <w:sz w:val="28"/>
          <w:szCs w:val="28"/>
          <w:lang w:val="uk-UA"/>
        </w:rPr>
        <w:t xml:space="preserve"> використовується як різновид зброї поряд з іншими невійськовими компонентами гібридних дій» (</w:t>
      </w:r>
      <w:proofErr w:type="spellStart"/>
      <w:r w:rsidRPr="009C521E">
        <w:rPr>
          <w:rFonts w:ascii="Times New Roman" w:eastAsia="Calibri" w:hAnsi="Times New Roman" w:cs="Times New Roman"/>
          <w:sz w:val="28"/>
          <w:szCs w:val="28"/>
          <w:lang w:val="uk-UA"/>
        </w:rPr>
        <w:t>Яровська</w:t>
      </w:r>
      <w:proofErr w:type="spellEnd"/>
      <w:r w:rsidRPr="009C521E">
        <w:rPr>
          <w:rFonts w:ascii="Times New Roman" w:eastAsia="Calibri" w:hAnsi="Times New Roman" w:cs="Times New Roman"/>
          <w:sz w:val="28"/>
          <w:szCs w:val="28"/>
          <w:lang w:val="uk-UA"/>
        </w:rPr>
        <w:t xml:space="preserve"> 2016).</w:t>
      </w:r>
    </w:p>
    <w:p w14:paraId="20A8FEBC"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Важливою особливістю інформаційної війни в умовах гібридного конфлікту є її спрямованість не лише на зовнішнього супротивника, але й на власне населення. Контроль внутрішнього інформаційного простору дозволяє мобілізувати громадську підтримку, нейтралізувати опозиційні голоси та конструювати образ ворога як загрози національній безпеці. «Інформаційна війна відіграє ключову роль у формуванні громадської думки, впливає на настрої населення та має значний вплив на дипломатичні процеси й міжнародні відносини. Маніпуляція інформацією, дезінформація та контроль медіапростору стають засобами як зовнішнього тиску, так і внутрішньополітичної стабілізації режиму» (</w:t>
      </w:r>
      <w:proofErr w:type="spellStart"/>
      <w:r w:rsidRPr="009C521E">
        <w:rPr>
          <w:rFonts w:ascii="Times New Roman" w:eastAsia="Calibri" w:hAnsi="Times New Roman" w:cs="Times New Roman"/>
          <w:sz w:val="28"/>
          <w:szCs w:val="28"/>
          <w:lang w:val="uk-UA"/>
        </w:rPr>
        <w:t>Галіпчак</w:t>
      </w:r>
      <w:proofErr w:type="spellEnd"/>
      <w:r w:rsidRPr="009C521E">
        <w:rPr>
          <w:rFonts w:ascii="Times New Roman" w:eastAsia="Calibri" w:hAnsi="Times New Roman" w:cs="Times New Roman"/>
          <w:sz w:val="28"/>
          <w:szCs w:val="28"/>
          <w:lang w:val="uk-UA"/>
        </w:rPr>
        <w:t>, 2023). Відповідно, інформаційна війна стає інструментом внутрішньополітичної стабілізації режиму та підтримання його легітимності.</w:t>
      </w:r>
    </w:p>
    <w:p w14:paraId="0E41355C"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На відміну від класичних воєнних конфліктів, у гібридних протистояннях інформаційна війна не має чітко окресленого початку й завершення. Вона є </w:t>
      </w:r>
      <w:r w:rsidRPr="009C521E">
        <w:rPr>
          <w:rFonts w:ascii="Times New Roman" w:eastAsia="Calibri" w:hAnsi="Times New Roman" w:cs="Times New Roman"/>
          <w:sz w:val="28"/>
          <w:szCs w:val="28"/>
          <w:lang w:val="uk-UA"/>
        </w:rPr>
        <w:lastRenderedPageBreak/>
        <w:t>тривалою за часом, гнучкою за формами та адаптивною до змін політичної кон’юнктури. Її інтенсивність може змінюватися залежно від фази конфлікту, однак сам інформаційний тиск зберігається навіть після формального припинення бойових дій, що  зумовлює необхідність розглядати інформаційну війну як довготривалий фактор впливу на політичний простір держави.</w:t>
      </w:r>
    </w:p>
    <w:p w14:paraId="76A8D3B3"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У межах гібридного конфлікту інформаційна війна тісно пов’язана з кіберпростором. Кібератаки на інформаційні системи, втручання в роботу медіа-ресурсів, злам офіційних сайтів та поширення дезінформації через соціальні мережі посилюють ефективність інформаційного впливу. У поєднанні з традиційними медіа ці інструменти створюють багаторівневу систему впливу, спрямовану на різні цільові аудиторії від політичних еліт до широких верств населення.</w:t>
      </w:r>
    </w:p>
    <w:p w14:paraId="45CE6C98"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Таким чином, інформаційна війна як складова гібридного конфлікту постає системним явищем, що забезпечує стратегічну цілісність сучасних форм протистояння. Вона виконує функції підготовки, супроводу та закріплення результатів гібридних дій, впливаючи на політичні процеси, суспільну свідомість і міжнародне сприйняття конфлікту. Усвідомлення цієї ролі інформаційної війни є необхідною передумовою для формування ефективних механізмів протидії, що поєднують державну політику безпеки, розвиток критичного мислення громадян та міжнародну координацію зусиль у сфері інформаційної стійкості.</w:t>
      </w:r>
    </w:p>
    <w:p w14:paraId="1B28D2B8" w14:textId="77777777" w:rsidR="009C521E" w:rsidRPr="009C521E" w:rsidRDefault="009C521E" w:rsidP="009C521E">
      <w:pPr>
        <w:spacing w:after="0" w:line="360" w:lineRule="auto"/>
        <w:ind w:firstLine="567"/>
        <w:jc w:val="both"/>
        <w:rPr>
          <w:rFonts w:ascii="Times New Roman" w:eastAsia="Calibri" w:hAnsi="Times New Roman" w:cs="Times New Roman"/>
          <w:b/>
          <w:bCs/>
          <w:sz w:val="28"/>
          <w:szCs w:val="28"/>
          <w:lang w:val="uk-UA"/>
        </w:rPr>
      </w:pPr>
    </w:p>
    <w:p w14:paraId="0828ABF9" w14:textId="77777777" w:rsidR="009C521E" w:rsidRPr="009C521E" w:rsidRDefault="009C521E" w:rsidP="009C521E">
      <w:pPr>
        <w:spacing w:after="0" w:line="360" w:lineRule="auto"/>
        <w:ind w:firstLine="567"/>
        <w:jc w:val="both"/>
        <w:rPr>
          <w:rFonts w:ascii="Times New Roman" w:eastAsia="Calibri" w:hAnsi="Times New Roman" w:cs="Times New Roman"/>
          <w:b/>
          <w:bCs/>
          <w:sz w:val="28"/>
          <w:szCs w:val="28"/>
          <w:lang w:val="uk-UA"/>
        </w:rPr>
      </w:pPr>
      <w:r w:rsidRPr="009C521E">
        <w:rPr>
          <w:rFonts w:ascii="Times New Roman" w:eastAsia="Calibri" w:hAnsi="Times New Roman" w:cs="Times New Roman"/>
          <w:b/>
          <w:bCs/>
          <w:sz w:val="28"/>
          <w:szCs w:val="28"/>
          <w:lang w:val="uk-UA"/>
        </w:rPr>
        <w:t>1.3. Інституційні та неінституційні суб’єкти інформаційних війн</w:t>
      </w:r>
    </w:p>
    <w:p w14:paraId="1B5A1BBE"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p w14:paraId="6AE708E9"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Аналіз інформаційних війн у сучасному науковому дискурсі неможливий без ґрунтовного осмислення кола суб’єктів, які беруть участь у формуванні, реалізації та підтримці інформаційного впливу. На відміну від класичних воєн, де основними суб’єктами виступають держави та їхні збройні сили, інформаційні війни характеризуються значно ширшим і більш дифузним складом акторів. У цьому контексті доцільним є поділ суб’єктів інформаційних війн на інституційні </w:t>
      </w:r>
      <w:r w:rsidRPr="009C521E">
        <w:rPr>
          <w:rFonts w:ascii="Times New Roman" w:eastAsia="Calibri" w:hAnsi="Times New Roman" w:cs="Times New Roman"/>
          <w:sz w:val="28"/>
          <w:szCs w:val="28"/>
          <w:lang w:val="uk-UA"/>
        </w:rPr>
        <w:lastRenderedPageBreak/>
        <w:t>та неінституційні, що дозволяє систематизувати різні форми участі у інформаційному протистоянні та виявити специфіку їхнього функціонування.</w:t>
      </w:r>
    </w:p>
    <w:p w14:paraId="3C4DB806" w14:textId="77777777" w:rsidR="009C521E" w:rsidRPr="009C521E" w:rsidRDefault="009C521E" w:rsidP="009C521E">
      <w:pPr>
        <w:spacing w:after="0" w:line="360" w:lineRule="auto"/>
        <w:rPr>
          <w:rFonts w:ascii="Times New Roman" w:eastAsia="Calibri" w:hAnsi="Times New Roman" w:cs="Times New Roman"/>
          <w:kern w:val="0"/>
          <w:sz w:val="28"/>
          <w:szCs w:val="28"/>
          <w:lang w:val="uk-UA"/>
          <w14:ligatures w14:val="none"/>
        </w:rPr>
        <w:sectPr w:rsidR="009C521E" w:rsidRPr="009C521E" w:rsidSect="009C521E">
          <w:pgSz w:w="11906" w:h="16838"/>
          <w:pgMar w:top="850" w:right="850" w:bottom="850" w:left="1417" w:header="708" w:footer="708" w:gutter="0"/>
          <w:cols w:space="720"/>
        </w:sectPr>
      </w:pPr>
    </w:p>
    <w:p w14:paraId="0C998EE2"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tbl>
      <w:tblPr>
        <w:tblStyle w:val="91"/>
        <w:tblW w:w="15304" w:type="dxa"/>
        <w:tblInd w:w="0" w:type="dxa"/>
        <w:tblLook w:val="04A0" w:firstRow="1" w:lastRow="0" w:firstColumn="1" w:lastColumn="0" w:noHBand="0" w:noVBand="1"/>
      </w:tblPr>
      <w:tblGrid>
        <w:gridCol w:w="1356"/>
        <w:gridCol w:w="2892"/>
        <w:gridCol w:w="4304"/>
        <w:gridCol w:w="6752"/>
      </w:tblGrid>
      <w:tr w:rsidR="009C521E" w:rsidRPr="009C521E" w14:paraId="5921E4F0" w14:textId="77777777">
        <w:tc>
          <w:tcPr>
            <w:tcW w:w="1356" w:type="dxa"/>
            <w:tcBorders>
              <w:top w:val="single" w:sz="4" w:space="0" w:color="auto"/>
              <w:left w:val="single" w:sz="4" w:space="0" w:color="auto"/>
              <w:bottom w:val="single" w:sz="4" w:space="0" w:color="auto"/>
              <w:right w:val="single" w:sz="4" w:space="0" w:color="auto"/>
            </w:tcBorders>
            <w:hideMark/>
          </w:tcPr>
          <w:p w14:paraId="7A0B1943"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Група суб’єктів</w:t>
            </w:r>
          </w:p>
        </w:tc>
        <w:tc>
          <w:tcPr>
            <w:tcW w:w="2892" w:type="dxa"/>
            <w:tcBorders>
              <w:top w:val="single" w:sz="4" w:space="0" w:color="auto"/>
              <w:left w:val="single" w:sz="4" w:space="0" w:color="auto"/>
              <w:bottom w:val="single" w:sz="4" w:space="0" w:color="auto"/>
              <w:right w:val="single" w:sz="4" w:space="0" w:color="auto"/>
            </w:tcBorders>
            <w:hideMark/>
          </w:tcPr>
          <w:p w14:paraId="16D52324"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Тип суб’єкта</w:t>
            </w:r>
          </w:p>
        </w:tc>
        <w:tc>
          <w:tcPr>
            <w:tcW w:w="4304" w:type="dxa"/>
            <w:tcBorders>
              <w:top w:val="single" w:sz="4" w:space="0" w:color="auto"/>
              <w:left w:val="single" w:sz="4" w:space="0" w:color="auto"/>
              <w:bottom w:val="single" w:sz="4" w:space="0" w:color="auto"/>
              <w:right w:val="single" w:sz="4" w:space="0" w:color="auto"/>
            </w:tcBorders>
            <w:hideMark/>
          </w:tcPr>
          <w:p w14:paraId="09B1E30A"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 xml:space="preserve"> Носії</w:t>
            </w:r>
          </w:p>
        </w:tc>
        <w:tc>
          <w:tcPr>
            <w:tcW w:w="6752" w:type="dxa"/>
            <w:tcBorders>
              <w:top w:val="single" w:sz="4" w:space="0" w:color="auto"/>
              <w:left w:val="single" w:sz="4" w:space="0" w:color="auto"/>
              <w:bottom w:val="single" w:sz="4" w:space="0" w:color="auto"/>
              <w:right w:val="single" w:sz="4" w:space="0" w:color="auto"/>
            </w:tcBorders>
            <w:hideMark/>
          </w:tcPr>
          <w:p w14:paraId="085FAAA3" w14:textId="77777777" w:rsidR="009C521E" w:rsidRPr="009C521E" w:rsidRDefault="009C521E" w:rsidP="009C521E">
            <w:pPr>
              <w:spacing w:line="360" w:lineRule="auto"/>
              <w:jc w:val="center"/>
              <w:rPr>
                <w:rFonts w:ascii="Times New Roman" w:hAnsi="Times New Roman"/>
                <w:sz w:val="28"/>
                <w:szCs w:val="28"/>
              </w:rPr>
            </w:pPr>
            <w:r w:rsidRPr="009C521E">
              <w:rPr>
                <w:rFonts w:ascii="Times New Roman" w:hAnsi="Times New Roman"/>
                <w:b/>
                <w:bCs/>
                <w:sz w:val="28"/>
                <w:szCs w:val="28"/>
              </w:rPr>
              <w:t>Типові дії</w:t>
            </w:r>
          </w:p>
        </w:tc>
      </w:tr>
      <w:tr w:rsidR="009C521E" w:rsidRPr="009C521E" w14:paraId="26B5802B" w14:textId="77777777">
        <w:tc>
          <w:tcPr>
            <w:tcW w:w="1356" w:type="dxa"/>
            <w:vMerge w:val="restart"/>
            <w:tcBorders>
              <w:top w:val="single" w:sz="4" w:space="0" w:color="auto"/>
              <w:left w:val="single" w:sz="4" w:space="0" w:color="auto"/>
              <w:bottom w:val="single" w:sz="4" w:space="0" w:color="auto"/>
              <w:right w:val="single" w:sz="4" w:space="0" w:color="auto"/>
            </w:tcBorders>
            <w:textDirection w:val="btLr"/>
            <w:hideMark/>
          </w:tcPr>
          <w:p w14:paraId="0458AE19"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Інституційні</w:t>
            </w:r>
          </w:p>
          <w:p w14:paraId="591B9F91"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rPr>
              <w:t xml:space="preserve"> </w:t>
            </w:r>
          </w:p>
        </w:tc>
        <w:tc>
          <w:tcPr>
            <w:tcW w:w="2892" w:type="dxa"/>
            <w:tcBorders>
              <w:top w:val="single" w:sz="4" w:space="0" w:color="auto"/>
              <w:left w:val="single" w:sz="4" w:space="0" w:color="auto"/>
              <w:bottom w:val="single" w:sz="4" w:space="0" w:color="auto"/>
              <w:right w:val="single" w:sz="4" w:space="0" w:color="auto"/>
            </w:tcBorders>
            <w:hideMark/>
          </w:tcPr>
          <w:p w14:paraId="13C55725"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Державне політичне керівництво та органи влади</w:t>
            </w:r>
          </w:p>
        </w:tc>
        <w:tc>
          <w:tcPr>
            <w:tcW w:w="4304" w:type="dxa"/>
            <w:tcBorders>
              <w:top w:val="single" w:sz="4" w:space="0" w:color="auto"/>
              <w:left w:val="single" w:sz="4" w:space="0" w:color="auto"/>
              <w:bottom w:val="single" w:sz="4" w:space="0" w:color="auto"/>
              <w:right w:val="single" w:sz="4" w:space="0" w:color="auto"/>
            </w:tcBorders>
            <w:hideMark/>
          </w:tcPr>
          <w:p w14:paraId="14ACD54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Президент/уряд, профільні міністерства, урядові комунікації</w:t>
            </w:r>
          </w:p>
        </w:tc>
        <w:tc>
          <w:tcPr>
            <w:tcW w:w="6752" w:type="dxa"/>
            <w:tcBorders>
              <w:top w:val="single" w:sz="4" w:space="0" w:color="auto"/>
              <w:left w:val="single" w:sz="4" w:space="0" w:color="auto"/>
              <w:bottom w:val="single" w:sz="4" w:space="0" w:color="auto"/>
              <w:right w:val="single" w:sz="4" w:space="0" w:color="auto"/>
            </w:tcBorders>
            <w:hideMark/>
          </w:tcPr>
          <w:p w14:paraId="457EA61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Формування стратегічних </w:t>
            </w:r>
            <w:proofErr w:type="spellStart"/>
            <w:r w:rsidRPr="009C521E">
              <w:rPr>
                <w:rFonts w:ascii="Times New Roman" w:hAnsi="Times New Roman"/>
                <w:sz w:val="28"/>
                <w:szCs w:val="28"/>
              </w:rPr>
              <w:t>наративів</w:t>
            </w:r>
            <w:proofErr w:type="spellEnd"/>
            <w:r w:rsidRPr="009C521E">
              <w:rPr>
                <w:rFonts w:ascii="Times New Roman" w:hAnsi="Times New Roman"/>
                <w:sz w:val="28"/>
                <w:szCs w:val="28"/>
              </w:rPr>
              <w:t>, легітимація/</w:t>
            </w:r>
            <w:proofErr w:type="spellStart"/>
            <w:r w:rsidRPr="009C521E">
              <w:rPr>
                <w:rFonts w:ascii="Times New Roman" w:hAnsi="Times New Roman"/>
                <w:sz w:val="28"/>
                <w:szCs w:val="28"/>
              </w:rPr>
              <w:t>делегітимація</w:t>
            </w:r>
            <w:proofErr w:type="spellEnd"/>
            <w:r w:rsidRPr="009C521E">
              <w:rPr>
                <w:rFonts w:ascii="Times New Roman" w:hAnsi="Times New Roman"/>
                <w:sz w:val="28"/>
                <w:szCs w:val="28"/>
              </w:rPr>
              <w:t xml:space="preserve"> рішень, управління інформаційними кампаніями, кризові комунікації</w:t>
            </w:r>
          </w:p>
        </w:tc>
      </w:tr>
      <w:tr w:rsidR="009C521E" w:rsidRPr="009C521E" w14:paraId="4E11B173"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1C02A89F"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2D0B9BAD"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Сектор безпеки і оборони (ЗС, штаби, підрозділи ІО/PSYOPS, РЕБ)</w:t>
            </w:r>
          </w:p>
        </w:tc>
        <w:tc>
          <w:tcPr>
            <w:tcW w:w="4304" w:type="dxa"/>
            <w:tcBorders>
              <w:top w:val="single" w:sz="4" w:space="0" w:color="auto"/>
              <w:left w:val="single" w:sz="4" w:space="0" w:color="auto"/>
              <w:bottom w:val="single" w:sz="4" w:space="0" w:color="auto"/>
              <w:right w:val="single" w:sz="4" w:space="0" w:color="auto"/>
            </w:tcBorders>
            <w:hideMark/>
          </w:tcPr>
          <w:p w14:paraId="3160135D"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Збройні сили, підрозділи психологічних операцій, РЕБ/OSINT/SIGINT</w:t>
            </w:r>
          </w:p>
        </w:tc>
        <w:tc>
          <w:tcPr>
            <w:tcW w:w="6752" w:type="dxa"/>
            <w:tcBorders>
              <w:top w:val="single" w:sz="4" w:space="0" w:color="auto"/>
              <w:left w:val="single" w:sz="4" w:space="0" w:color="auto"/>
              <w:bottom w:val="single" w:sz="4" w:space="0" w:color="auto"/>
              <w:right w:val="single" w:sz="4" w:space="0" w:color="auto"/>
            </w:tcBorders>
            <w:hideMark/>
          </w:tcPr>
          <w:p w14:paraId="4DD3B69E"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Інформаційні операції як частина воєнної стратегії: вплив на рішення супротивника, дезінформація, маскування, захист власних рішень</w:t>
            </w:r>
          </w:p>
        </w:tc>
      </w:tr>
      <w:tr w:rsidR="009C521E" w:rsidRPr="009C521E" w14:paraId="7E9D5439"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17D171C1"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5905BEF2"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Розвідка і контррозвідка</w:t>
            </w:r>
          </w:p>
        </w:tc>
        <w:tc>
          <w:tcPr>
            <w:tcW w:w="4304" w:type="dxa"/>
            <w:tcBorders>
              <w:top w:val="single" w:sz="4" w:space="0" w:color="auto"/>
              <w:left w:val="single" w:sz="4" w:space="0" w:color="auto"/>
              <w:bottom w:val="single" w:sz="4" w:space="0" w:color="auto"/>
              <w:right w:val="single" w:sz="4" w:space="0" w:color="auto"/>
            </w:tcBorders>
            <w:hideMark/>
          </w:tcPr>
          <w:p w14:paraId="4C7B2ED8"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спецслужби, контррозвідка, </w:t>
            </w:r>
            <w:proofErr w:type="spellStart"/>
            <w:r w:rsidRPr="009C521E">
              <w:rPr>
                <w:rFonts w:ascii="Times New Roman" w:hAnsi="Times New Roman"/>
                <w:sz w:val="28"/>
                <w:szCs w:val="28"/>
              </w:rPr>
              <w:t>кіберрозвідка</w:t>
            </w:r>
            <w:proofErr w:type="spellEnd"/>
          </w:p>
        </w:tc>
        <w:tc>
          <w:tcPr>
            <w:tcW w:w="6752" w:type="dxa"/>
            <w:tcBorders>
              <w:top w:val="single" w:sz="4" w:space="0" w:color="auto"/>
              <w:left w:val="single" w:sz="4" w:space="0" w:color="auto"/>
              <w:bottom w:val="single" w:sz="4" w:space="0" w:color="auto"/>
              <w:right w:val="single" w:sz="4" w:space="0" w:color="auto"/>
            </w:tcBorders>
            <w:hideMark/>
          </w:tcPr>
          <w:p w14:paraId="2CC0E1A5"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Планування та підтримка впливових операцій, агентурні мережі, здобуття/використання інформації, підтримка «</w:t>
            </w:r>
            <w:proofErr w:type="spellStart"/>
            <w:r w:rsidRPr="009C521E">
              <w:rPr>
                <w:rFonts w:ascii="Times New Roman" w:hAnsi="Times New Roman"/>
                <w:sz w:val="28"/>
                <w:szCs w:val="28"/>
              </w:rPr>
              <w:t>hack-and-leak</w:t>
            </w:r>
            <w:proofErr w:type="spellEnd"/>
            <w:r w:rsidRPr="009C521E">
              <w:rPr>
                <w:rFonts w:ascii="Times New Roman" w:hAnsi="Times New Roman"/>
                <w:sz w:val="28"/>
                <w:szCs w:val="28"/>
              </w:rPr>
              <w:t>»</w:t>
            </w:r>
          </w:p>
        </w:tc>
      </w:tr>
      <w:tr w:rsidR="009C521E" w:rsidRPr="009C521E" w14:paraId="3CE90DC0"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74B51460"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61DBA8E0"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 xml:space="preserve">Правоохоронні органи, </w:t>
            </w:r>
            <w:proofErr w:type="spellStart"/>
            <w:r w:rsidRPr="009C521E">
              <w:rPr>
                <w:rFonts w:ascii="Times New Roman" w:hAnsi="Times New Roman"/>
                <w:b/>
                <w:bCs/>
                <w:i/>
                <w:iCs/>
                <w:sz w:val="28"/>
                <w:szCs w:val="28"/>
              </w:rPr>
              <w:t>кіберполіція</w:t>
            </w:r>
            <w:proofErr w:type="spellEnd"/>
            <w:r w:rsidRPr="009C521E">
              <w:rPr>
                <w:rFonts w:ascii="Times New Roman" w:hAnsi="Times New Roman"/>
                <w:b/>
                <w:bCs/>
                <w:i/>
                <w:iCs/>
                <w:sz w:val="28"/>
                <w:szCs w:val="28"/>
              </w:rPr>
              <w:t>, прокуратура</w:t>
            </w:r>
          </w:p>
        </w:tc>
        <w:tc>
          <w:tcPr>
            <w:tcW w:w="4304" w:type="dxa"/>
            <w:tcBorders>
              <w:top w:val="single" w:sz="4" w:space="0" w:color="auto"/>
              <w:left w:val="single" w:sz="4" w:space="0" w:color="auto"/>
              <w:bottom w:val="single" w:sz="4" w:space="0" w:color="auto"/>
              <w:right w:val="single" w:sz="4" w:space="0" w:color="auto"/>
            </w:tcBorders>
            <w:hideMark/>
          </w:tcPr>
          <w:p w14:paraId="42EA78E9" w14:textId="77777777" w:rsidR="009C521E" w:rsidRPr="009C521E" w:rsidRDefault="009C521E" w:rsidP="009C521E">
            <w:pPr>
              <w:spacing w:line="360" w:lineRule="auto"/>
              <w:jc w:val="both"/>
              <w:rPr>
                <w:rFonts w:ascii="Times New Roman" w:hAnsi="Times New Roman"/>
                <w:sz w:val="28"/>
                <w:szCs w:val="28"/>
              </w:rPr>
            </w:pPr>
            <w:proofErr w:type="spellStart"/>
            <w:r w:rsidRPr="009C521E">
              <w:rPr>
                <w:rFonts w:ascii="Times New Roman" w:hAnsi="Times New Roman"/>
                <w:sz w:val="28"/>
                <w:szCs w:val="28"/>
              </w:rPr>
              <w:t>нацполіція</w:t>
            </w:r>
            <w:proofErr w:type="spellEnd"/>
            <w:r w:rsidRPr="009C521E">
              <w:rPr>
                <w:rFonts w:ascii="Times New Roman" w:hAnsi="Times New Roman"/>
                <w:sz w:val="28"/>
                <w:szCs w:val="28"/>
              </w:rPr>
              <w:t xml:space="preserve">, </w:t>
            </w:r>
            <w:proofErr w:type="spellStart"/>
            <w:r w:rsidRPr="009C521E">
              <w:rPr>
                <w:rFonts w:ascii="Times New Roman" w:hAnsi="Times New Roman"/>
                <w:sz w:val="28"/>
                <w:szCs w:val="28"/>
              </w:rPr>
              <w:t>кіберполіція</w:t>
            </w:r>
            <w:proofErr w:type="spellEnd"/>
            <w:r w:rsidRPr="009C521E">
              <w:rPr>
                <w:rFonts w:ascii="Times New Roman" w:hAnsi="Times New Roman"/>
                <w:sz w:val="28"/>
                <w:szCs w:val="28"/>
              </w:rPr>
              <w:t>, прокуратура</w:t>
            </w:r>
          </w:p>
        </w:tc>
        <w:tc>
          <w:tcPr>
            <w:tcW w:w="6752" w:type="dxa"/>
            <w:tcBorders>
              <w:top w:val="single" w:sz="4" w:space="0" w:color="auto"/>
              <w:left w:val="single" w:sz="4" w:space="0" w:color="auto"/>
              <w:bottom w:val="single" w:sz="4" w:space="0" w:color="auto"/>
              <w:right w:val="single" w:sz="4" w:space="0" w:color="auto"/>
            </w:tcBorders>
            <w:hideMark/>
          </w:tcPr>
          <w:p w14:paraId="382D4CD3"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Розслідування інформаційних атак, протидія мережам ботів/шахрайству, правове реагування на ІПСО/</w:t>
            </w:r>
            <w:proofErr w:type="spellStart"/>
            <w:r w:rsidRPr="009C521E">
              <w:rPr>
                <w:rFonts w:ascii="Times New Roman" w:hAnsi="Times New Roman"/>
                <w:sz w:val="28"/>
                <w:szCs w:val="28"/>
              </w:rPr>
              <w:t>кіберінциденти</w:t>
            </w:r>
            <w:proofErr w:type="spellEnd"/>
          </w:p>
        </w:tc>
      </w:tr>
      <w:tr w:rsidR="009C521E" w:rsidRPr="009C521E" w14:paraId="63E0F012"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53C14315"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38376FA5"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Регулятори й органи нагляду за медіа/зв’язком</w:t>
            </w:r>
          </w:p>
        </w:tc>
        <w:tc>
          <w:tcPr>
            <w:tcW w:w="4304" w:type="dxa"/>
            <w:tcBorders>
              <w:top w:val="single" w:sz="4" w:space="0" w:color="auto"/>
              <w:left w:val="single" w:sz="4" w:space="0" w:color="auto"/>
              <w:bottom w:val="single" w:sz="4" w:space="0" w:color="auto"/>
              <w:right w:val="single" w:sz="4" w:space="0" w:color="auto"/>
            </w:tcBorders>
            <w:hideMark/>
          </w:tcPr>
          <w:p w14:paraId="41C2DFD0" w14:textId="77777777" w:rsidR="009C521E" w:rsidRPr="009C521E" w:rsidRDefault="009C521E" w:rsidP="009C521E">
            <w:pPr>
              <w:spacing w:line="360" w:lineRule="auto"/>
              <w:jc w:val="both"/>
              <w:rPr>
                <w:rFonts w:ascii="Times New Roman" w:hAnsi="Times New Roman"/>
                <w:sz w:val="28"/>
                <w:szCs w:val="28"/>
              </w:rPr>
            </w:pPr>
            <w:proofErr w:type="spellStart"/>
            <w:r w:rsidRPr="009C521E">
              <w:rPr>
                <w:rFonts w:ascii="Times New Roman" w:hAnsi="Times New Roman"/>
                <w:sz w:val="28"/>
                <w:szCs w:val="28"/>
              </w:rPr>
              <w:t>нацради</w:t>
            </w:r>
            <w:proofErr w:type="spellEnd"/>
            <w:r w:rsidRPr="009C521E">
              <w:rPr>
                <w:rFonts w:ascii="Times New Roman" w:hAnsi="Times New Roman"/>
                <w:sz w:val="28"/>
                <w:szCs w:val="28"/>
              </w:rPr>
              <w:t xml:space="preserve">/комісії з медіа, </w:t>
            </w:r>
            <w:proofErr w:type="spellStart"/>
            <w:r w:rsidRPr="009C521E">
              <w:rPr>
                <w:rFonts w:ascii="Times New Roman" w:hAnsi="Times New Roman"/>
                <w:sz w:val="28"/>
                <w:szCs w:val="28"/>
              </w:rPr>
              <w:t>телеком</w:t>
            </w:r>
            <w:proofErr w:type="spellEnd"/>
            <w:r w:rsidRPr="009C521E">
              <w:rPr>
                <w:rFonts w:ascii="Times New Roman" w:hAnsi="Times New Roman"/>
                <w:sz w:val="28"/>
                <w:szCs w:val="28"/>
              </w:rPr>
              <w:t>-регулятори</w:t>
            </w:r>
          </w:p>
        </w:tc>
        <w:tc>
          <w:tcPr>
            <w:tcW w:w="6752" w:type="dxa"/>
            <w:tcBorders>
              <w:top w:val="single" w:sz="4" w:space="0" w:color="auto"/>
              <w:left w:val="single" w:sz="4" w:space="0" w:color="auto"/>
              <w:bottom w:val="single" w:sz="4" w:space="0" w:color="auto"/>
              <w:right w:val="single" w:sz="4" w:space="0" w:color="auto"/>
            </w:tcBorders>
            <w:hideMark/>
          </w:tcPr>
          <w:p w14:paraId="6C11045A"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Політика протидії дезінформації (в межах законодавства), санкції проти медіа-майданчиків, стандарти прозорості</w:t>
            </w:r>
          </w:p>
        </w:tc>
      </w:tr>
      <w:tr w:rsidR="009C521E" w:rsidRPr="009C521E" w14:paraId="0B7301F8"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4766DAA6"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4FDEF2A9"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Міжнародні організації та наддержавні інституції</w:t>
            </w:r>
          </w:p>
        </w:tc>
        <w:tc>
          <w:tcPr>
            <w:tcW w:w="4304" w:type="dxa"/>
            <w:tcBorders>
              <w:top w:val="single" w:sz="4" w:space="0" w:color="auto"/>
              <w:left w:val="single" w:sz="4" w:space="0" w:color="auto"/>
              <w:bottom w:val="single" w:sz="4" w:space="0" w:color="auto"/>
              <w:right w:val="single" w:sz="4" w:space="0" w:color="auto"/>
            </w:tcBorders>
            <w:hideMark/>
          </w:tcPr>
          <w:p w14:paraId="37102DDD"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NATO, ЄС (EEAS), ООН, UNESCO</w:t>
            </w:r>
          </w:p>
        </w:tc>
        <w:tc>
          <w:tcPr>
            <w:tcW w:w="6752" w:type="dxa"/>
            <w:tcBorders>
              <w:top w:val="single" w:sz="4" w:space="0" w:color="auto"/>
              <w:left w:val="single" w:sz="4" w:space="0" w:color="auto"/>
              <w:bottom w:val="single" w:sz="4" w:space="0" w:color="auto"/>
              <w:right w:val="single" w:sz="4" w:space="0" w:color="auto"/>
            </w:tcBorders>
            <w:hideMark/>
          </w:tcPr>
          <w:p w14:paraId="02BC436B"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Координація реагування, моніторинг, розбудова стійкості, стандарти/рекомендації для держав і суспільств</w:t>
            </w:r>
          </w:p>
        </w:tc>
      </w:tr>
      <w:tr w:rsidR="009C521E" w:rsidRPr="009C521E" w14:paraId="16ABD49F"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561F2D02"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050E931E"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Державні/суспільні медіа та офіційні інформаційні канали</w:t>
            </w:r>
          </w:p>
        </w:tc>
        <w:tc>
          <w:tcPr>
            <w:tcW w:w="4304" w:type="dxa"/>
            <w:tcBorders>
              <w:top w:val="single" w:sz="4" w:space="0" w:color="auto"/>
              <w:left w:val="single" w:sz="4" w:space="0" w:color="auto"/>
              <w:bottom w:val="single" w:sz="4" w:space="0" w:color="auto"/>
              <w:right w:val="single" w:sz="4" w:space="0" w:color="auto"/>
            </w:tcBorders>
            <w:hideMark/>
          </w:tcPr>
          <w:p w14:paraId="1B2E919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суспільне мовлення, державні агенції</w:t>
            </w:r>
          </w:p>
        </w:tc>
        <w:tc>
          <w:tcPr>
            <w:tcW w:w="6752" w:type="dxa"/>
            <w:tcBorders>
              <w:top w:val="single" w:sz="4" w:space="0" w:color="auto"/>
              <w:left w:val="single" w:sz="4" w:space="0" w:color="auto"/>
              <w:bottom w:val="single" w:sz="4" w:space="0" w:color="auto"/>
              <w:right w:val="single" w:sz="4" w:space="0" w:color="auto"/>
            </w:tcBorders>
            <w:hideMark/>
          </w:tcPr>
          <w:p w14:paraId="6493D6FF"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Поширення офіційних повідомлень, </w:t>
            </w:r>
            <w:proofErr w:type="spellStart"/>
            <w:r w:rsidRPr="009C521E">
              <w:rPr>
                <w:rFonts w:ascii="Times New Roman" w:hAnsi="Times New Roman"/>
                <w:sz w:val="28"/>
                <w:szCs w:val="28"/>
              </w:rPr>
              <w:t>контрнаративи</w:t>
            </w:r>
            <w:proofErr w:type="spellEnd"/>
            <w:r w:rsidRPr="009C521E">
              <w:rPr>
                <w:rFonts w:ascii="Times New Roman" w:hAnsi="Times New Roman"/>
                <w:sz w:val="28"/>
                <w:szCs w:val="28"/>
              </w:rPr>
              <w:t>, формування порядку денного; інколи, інструмент пропаганди</w:t>
            </w:r>
          </w:p>
        </w:tc>
      </w:tr>
      <w:tr w:rsidR="009C521E" w:rsidRPr="009C521E" w14:paraId="07B9225B"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5908A563"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3BBDA7B3"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Дипломатія та публічна дипломатія</w:t>
            </w:r>
          </w:p>
        </w:tc>
        <w:tc>
          <w:tcPr>
            <w:tcW w:w="4304" w:type="dxa"/>
            <w:tcBorders>
              <w:top w:val="single" w:sz="4" w:space="0" w:color="auto"/>
              <w:left w:val="single" w:sz="4" w:space="0" w:color="auto"/>
              <w:bottom w:val="single" w:sz="4" w:space="0" w:color="auto"/>
              <w:right w:val="single" w:sz="4" w:space="0" w:color="auto"/>
            </w:tcBorders>
            <w:hideMark/>
          </w:tcPr>
          <w:p w14:paraId="75D7449B"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МЗС, культурні інститути, інформаційні центри</w:t>
            </w:r>
          </w:p>
        </w:tc>
        <w:tc>
          <w:tcPr>
            <w:tcW w:w="6752" w:type="dxa"/>
            <w:tcBorders>
              <w:top w:val="single" w:sz="4" w:space="0" w:color="auto"/>
              <w:left w:val="single" w:sz="4" w:space="0" w:color="auto"/>
              <w:bottom w:val="single" w:sz="4" w:space="0" w:color="auto"/>
              <w:right w:val="single" w:sz="4" w:space="0" w:color="auto"/>
            </w:tcBorders>
            <w:hideMark/>
          </w:tcPr>
          <w:p w14:paraId="5E6FF28E"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Формування міжнародного сприйняття, підтримка коаліцій, </w:t>
            </w:r>
            <w:proofErr w:type="spellStart"/>
            <w:r w:rsidRPr="009C521E">
              <w:rPr>
                <w:rFonts w:ascii="Times New Roman" w:hAnsi="Times New Roman"/>
                <w:sz w:val="28"/>
                <w:szCs w:val="28"/>
              </w:rPr>
              <w:t>делегітимація</w:t>
            </w:r>
            <w:proofErr w:type="spellEnd"/>
            <w:r w:rsidRPr="009C521E">
              <w:rPr>
                <w:rFonts w:ascii="Times New Roman" w:hAnsi="Times New Roman"/>
                <w:sz w:val="28"/>
                <w:szCs w:val="28"/>
              </w:rPr>
              <w:t xml:space="preserve"> агресора/його </w:t>
            </w:r>
            <w:proofErr w:type="spellStart"/>
            <w:r w:rsidRPr="009C521E">
              <w:rPr>
                <w:rFonts w:ascii="Times New Roman" w:hAnsi="Times New Roman"/>
                <w:sz w:val="28"/>
                <w:szCs w:val="28"/>
              </w:rPr>
              <w:t>наративів</w:t>
            </w:r>
            <w:proofErr w:type="spellEnd"/>
          </w:p>
        </w:tc>
      </w:tr>
      <w:tr w:rsidR="009C521E" w:rsidRPr="009C521E" w14:paraId="0D2938F0" w14:textId="77777777">
        <w:tc>
          <w:tcPr>
            <w:tcW w:w="1356" w:type="dxa"/>
            <w:vMerge w:val="restart"/>
            <w:tcBorders>
              <w:top w:val="single" w:sz="4" w:space="0" w:color="auto"/>
              <w:left w:val="single" w:sz="4" w:space="0" w:color="auto"/>
              <w:bottom w:val="single" w:sz="4" w:space="0" w:color="auto"/>
              <w:right w:val="single" w:sz="4" w:space="0" w:color="auto"/>
            </w:tcBorders>
            <w:textDirection w:val="btLr"/>
            <w:hideMark/>
          </w:tcPr>
          <w:p w14:paraId="6467BEB2"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sz w:val="28"/>
                <w:szCs w:val="28"/>
              </w:rPr>
              <w:t>Неінституційні</w:t>
            </w:r>
          </w:p>
          <w:p w14:paraId="7B0B90FF" w14:textId="77777777" w:rsidR="009C521E" w:rsidRPr="009C521E" w:rsidRDefault="009C521E" w:rsidP="009C521E">
            <w:pPr>
              <w:spacing w:line="360" w:lineRule="auto"/>
              <w:ind w:left="113" w:right="113"/>
              <w:jc w:val="both"/>
              <w:rPr>
                <w:rFonts w:ascii="Times New Roman" w:hAnsi="Times New Roman"/>
                <w:sz w:val="28"/>
                <w:szCs w:val="28"/>
              </w:rPr>
            </w:pPr>
            <w:r w:rsidRPr="009C521E">
              <w:rPr>
                <w:rFonts w:ascii="Times New Roman" w:hAnsi="Times New Roman"/>
                <w:b/>
                <w:bCs/>
              </w:rPr>
              <w:t xml:space="preserve"> </w:t>
            </w:r>
          </w:p>
        </w:tc>
        <w:tc>
          <w:tcPr>
            <w:tcW w:w="2892" w:type="dxa"/>
            <w:tcBorders>
              <w:top w:val="single" w:sz="4" w:space="0" w:color="auto"/>
              <w:left w:val="single" w:sz="4" w:space="0" w:color="auto"/>
              <w:bottom w:val="single" w:sz="4" w:space="0" w:color="auto"/>
              <w:right w:val="single" w:sz="4" w:space="0" w:color="auto"/>
            </w:tcBorders>
            <w:hideMark/>
          </w:tcPr>
          <w:p w14:paraId="05C67AC8" w14:textId="77777777" w:rsidR="009C521E" w:rsidRPr="009C521E" w:rsidRDefault="009C521E" w:rsidP="009C521E">
            <w:pPr>
              <w:spacing w:line="360" w:lineRule="auto"/>
              <w:jc w:val="both"/>
              <w:rPr>
                <w:rFonts w:ascii="Times New Roman" w:hAnsi="Times New Roman"/>
                <w:b/>
                <w:bCs/>
                <w:i/>
                <w:iCs/>
                <w:sz w:val="28"/>
                <w:szCs w:val="28"/>
              </w:rPr>
            </w:pPr>
            <w:proofErr w:type="spellStart"/>
            <w:r w:rsidRPr="009C521E">
              <w:rPr>
                <w:rFonts w:ascii="Times New Roman" w:hAnsi="Times New Roman"/>
                <w:b/>
                <w:bCs/>
                <w:i/>
                <w:iCs/>
                <w:sz w:val="28"/>
                <w:szCs w:val="28"/>
              </w:rPr>
              <w:t>Хакерські</w:t>
            </w:r>
            <w:proofErr w:type="spellEnd"/>
            <w:r w:rsidRPr="009C521E">
              <w:rPr>
                <w:rFonts w:ascii="Times New Roman" w:hAnsi="Times New Roman"/>
                <w:b/>
                <w:bCs/>
                <w:i/>
                <w:iCs/>
                <w:sz w:val="28"/>
                <w:szCs w:val="28"/>
              </w:rPr>
              <w:t xml:space="preserve"> угруповання / </w:t>
            </w:r>
            <w:proofErr w:type="spellStart"/>
            <w:r w:rsidRPr="009C521E">
              <w:rPr>
                <w:rFonts w:ascii="Times New Roman" w:hAnsi="Times New Roman"/>
                <w:b/>
                <w:bCs/>
                <w:i/>
                <w:iCs/>
                <w:sz w:val="28"/>
                <w:szCs w:val="28"/>
              </w:rPr>
              <w:t>кіберзлочинці</w:t>
            </w:r>
            <w:proofErr w:type="spellEnd"/>
            <w:r w:rsidRPr="009C521E">
              <w:rPr>
                <w:rFonts w:ascii="Times New Roman" w:hAnsi="Times New Roman"/>
                <w:b/>
                <w:bCs/>
                <w:i/>
                <w:iCs/>
                <w:sz w:val="28"/>
                <w:szCs w:val="28"/>
              </w:rPr>
              <w:t xml:space="preserve">  </w:t>
            </w:r>
          </w:p>
        </w:tc>
        <w:tc>
          <w:tcPr>
            <w:tcW w:w="4304" w:type="dxa"/>
            <w:tcBorders>
              <w:top w:val="single" w:sz="4" w:space="0" w:color="auto"/>
              <w:left w:val="single" w:sz="4" w:space="0" w:color="auto"/>
              <w:bottom w:val="single" w:sz="4" w:space="0" w:color="auto"/>
              <w:right w:val="single" w:sz="4" w:space="0" w:color="auto"/>
            </w:tcBorders>
            <w:hideMark/>
          </w:tcPr>
          <w:p w14:paraId="2A60ECC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кримінальні групи, «патроновані» групи, </w:t>
            </w:r>
            <w:proofErr w:type="spellStart"/>
            <w:r w:rsidRPr="009C521E">
              <w:rPr>
                <w:rFonts w:ascii="Times New Roman" w:hAnsi="Times New Roman"/>
                <w:sz w:val="28"/>
                <w:szCs w:val="28"/>
              </w:rPr>
              <w:t>leak</w:t>
            </w:r>
            <w:proofErr w:type="spellEnd"/>
            <w:r w:rsidRPr="009C521E">
              <w:rPr>
                <w:rFonts w:ascii="Times New Roman" w:hAnsi="Times New Roman"/>
                <w:sz w:val="28"/>
                <w:szCs w:val="28"/>
              </w:rPr>
              <w:t>-операції</w:t>
            </w:r>
          </w:p>
        </w:tc>
        <w:tc>
          <w:tcPr>
            <w:tcW w:w="6752" w:type="dxa"/>
            <w:tcBorders>
              <w:top w:val="single" w:sz="4" w:space="0" w:color="auto"/>
              <w:left w:val="single" w:sz="4" w:space="0" w:color="auto"/>
              <w:bottom w:val="single" w:sz="4" w:space="0" w:color="auto"/>
              <w:right w:val="single" w:sz="4" w:space="0" w:color="auto"/>
            </w:tcBorders>
            <w:hideMark/>
          </w:tcPr>
          <w:p w14:paraId="63674E0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Кібератаки на інфраструктуру і медіа, «</w:t>
            </w:r>
            <w:proofErr w:type="spellStart"/>
            <w:r w:rsidRPr="009C521E">
              <w:rPr>
                <w:rFonts w:ascii="Times New Roman" w:hAnsi="Times New Roman"/>
                <w:sz w:val="28"/>
                <w:szCs w:val="28"/>
              </w:rPr>
              <w:t>hack-and-leak</w:t>
            </w:r>
            <w:proofErr w:type="spellEnd"/>
            <w:r w:rsidRPr="009C521E">
              <w:rPr>
                <w:rFonts w:ascii="Times New Roman" w:hAnsi="Times New Roman"/>
                <w:sz w:val="28"/>
                <w:szCs w:val="28"/>
              </w:rPr>
              <w:t>», злам акаунтів, підміна контенту</w:t>
            </w:r>
          </w:p>
        </w:tc>
      </w:tr>
      <w:tr w:rsidR="009C521E" w:rsidRPr="009C521E" w14:paraId="40D49A40"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017A133A"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434048D9"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w:t>
            </w:r>
            <w:proofErr w:type="spellStart"/>
            <w:r w:rsidRPr="009C521E">
              <w:rPr>
                <w:rFonts w:ascii="Times New Roman" w:hAnsi="Times New Roman"/>
                <w:b/>
                <w:bCs/>
                <w:i/>
                <w:iCs/>
                <w:sz w:val="28"/>
                <w:szCs w:val="28"/>
              </w:rPr>
              <w:t>Тролеферми</w:t>
            </w:r>
            <w:proofErr w:type="spellEnd"/>
            <w:r w:rsidRPr="009C521E">
              <w:rPr>
                <w:rFonts w:ascii="Times New Roman" w:hAnsi="Times New Roman"/>
                <w:b/>
                <w:bCs/>
                <w:i/>
                <w:iCs/>
                <w:sz w:val="28"/>
                <w:szCs w:val="28"/>
              </w:rPr>
              <w:t xml:space="preserve">», </w:t>
            </w:r>
            <w:proofErr w:type="spellStart"/>
            <w:r w:rsidRPr="009C521E">
              <w:rPr>
                <w:rFonts w:ascii="Times New Roman" w:hAnsi="Times New Roman"/>
                <w:b/>
                <w:bCs/>
                <w:i/>
                <w:iCs/>
                <w:sz w:val="28"/>
                <w:szCs w:val="28"/>
              </w:rPr>
              <w:t>ботоферми</w:t>
            </w:r>
            <w:proofErr w:type="spellEnd"/>
            <w:r w:rsidRPr="009C521E">
              <w:rPr>
                <w:rFonts w:ascii="Times New Roman" w:hAnsi="Times New Roman"/>
                <w:b/>
                <w:bCs/>
                <w:i/>
                <w:iCs/>
                <w:sz w:val="28"/>
                <w:szCs w:val="28"/>
              </w:rPr>
              <w:t xml:space="preserve">, </w:t>
            </w:r>
            <w:r w:rsidRPr="009C521E">
              <w:rPr>
                <w:rFonts w:ascii="Times New Roman" w:hAnsi="Times New Roman"/>
                <w:b/>
                <w:bCs/>
                <w:i/>
                <w:iCs/>
                <w:sz w:val="28"/>
                <w:szCs w:val="28"/>
              </w:rPr>
              <w:lastRenderedPageBreak/>
              <w:t>координовані мережі акаунтів</w:t>
            </w:r>
          </w:p>
        </w:tc>
        <w:tc>
          <w:tcPr>
            <w:tcW w:w="4304" w:type="dxa"/>
            <w:tcBorders>
              <w:top w:val="single" w:sz="4" w:space="0" w:color="auto"/>
              <w:left w:val="single" w:sz="4" w:space="0" w:color="auto"/>
              <w:bottom w:val="single" w:sz="4" w:space="0" w:color="auto"/>
              <w:right w:val="single" w:sz="4" w:space="0" w:color="auto"/>
            </w:tcBorders>
            <w:hideMark/>
          </w:tcPr>
          <w:p w14:paraId="14379031"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lastRenderedPageBreak/>
              <w:t>IRA/«фабрики тролів», мережі ботів</w:t>
            </w:r>
          </w:p>
        </w:tc>
        <w:tc>
          <w:tcPr>
            <w:tcW w:w="6752" w:type="dxa"/>
            <w:tcBorders>
              <w:top w:val="single" w:sz="4" w:space="0" w:color="auto"/>
              <w:left w:val="single" w:sz="4" w:space="0" w:color="auto"/>
              <w:bottom w:val="single" w:sz="4" w:space="0" w:color="auto"/>
              <w:right w:val="single" w:sz="4" w:space="0" w:color="auto"/>
            </w:tcBorders>
            <w:hideMark/>
          </w:tcPr>
          <w:p w14:paraId="32A36132"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Масове поширення дезінформації, штучне підсилення </w:t>
            </w:r>
            <w:proofErr w:type="spellStart"/>
            <w:r w:rsidRPr="009C521E">
              <w:rPr>
                <w:rFonts w:ascii="Times New Roman" w:hAnsi="Times New Roman"/>
                <w:sz w:val="28"/>
                <w:szCs w:val="28"/>
              </w:rPr>
              <w:t>наративів</w:t>
            </w:r>
            <w:proofErr w:type="spellEnd"/>
            <w:r w:rsidRPr="009C521E">
              <w:rPr>
                <w:rFonts w:ascii="Times New Roman" w:hAnsi="Times New Roman"/>
                <w:sz w:val="28"/>
                <w:szCs w:val="28"/>
              </w:rPr>
              <w:t>, поляризація, атаки на довіру до інститутів</w:t>
            </w:r>
          </w:p>
        </w:tc>
      </w:tr>
      <w:tr w:rsidR="009C521E" w:rsidRPr="009C521E" w14:paraId="533AEE75"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372E4FFC"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06BF3C02"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 xml:space="preserve">Приватні PR-структури, </w:t>
            </w:r>
            <w:proofErr w:type="spellStart"/>
            <w:r w:rsidRPr="009C521E">
              <w:rPr>
                <w:rFonts w:ascii="Times New Roman" w:hAnsi="Times New Roman"/>
                <w:b/>
                <w:bCs/>
                <w:i/>
                <w:iCs/>
                <w:sz w:val="28"/>
                <w:szCs w:val="28"/>
              </w:rPr>
              <w:t>політконсалтинг</w:t>
            </w:r>
            <w:proofErr w:type="spellEnd"/>
            <w:r w:rsidRPr="009C521E">
              <w:rPr>
                <w:rFonts w:ascii="Times New Roman" w:hAnsi="Times New Roman"/>
                <w:b/>
                <w:bCs/>
                <w:i/>
                <w:iCs/>
                <w:sz w:val="28"/>
                <w:szCs w:val="28"/>
              </w:rPr>
              <w:t>, «</w:t>
            </w:r>
            <w:proofErr w:type="spellStart"/>
            <w:r w:rsidRPr="009C521E">
              <w:rPr>
                <w:rFonts w:ascii="Times New Roman" w:hAnsi="Times New Roman"/>
                <w:b/>
                <w:bCs/>
                <w:i/>
                <w:iCs/>
                <w:sz w:val="28"/>
                <w:szCs w:val="28"/>
              </w:rPr>
              <w:t>інфлюенсер</w:t>
            </w:r>
            <w:proofErr w:type="spellEnd"/>
            <w:r w:rsidRPr="009C521E">
              <w:rPr>
                <w:rFonts w:ascii="Times New Roman" w:hAnsi="Times New Roman"/>
                <w:b/>
                <w:bCs/>
                <w:i/>
                <w:iCs/>
                <w:sz w:val="28"/>
                <w:szCs w:val="28"/>
              </w:rPr>
              <w:t>-маркетинг»</w:t>
            </w:r>
          </w:p>
        </w:tc>
        <w:tc>
          <w:tcPr>
            <w:tcW w:w="4304" w:type="dxa"/>
            <w:tcBorders>
              <w:top w:val="single" w:sz="4" w:space="0" w:color="auto"/>
              <w:left w:val="single" w:sz="4" w:space="0" w:color="auto"/>
              <w:bottom w:val="single" w:sz="4" w:space="0" w:color="auto"/>
              <w:right w:val="single" w:sz="4" w:space="0" w:color="auto"/>
            </w:tcBorders>
            <w:hideMark/>
          </w:tcPr>
          <w:p w14:paraId="716DDAD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PR-агенції, </w:t>
            </w:r>
            <w:proofErr w:type="spellStart"/>
            <w:r w:rsidRPr="009C521E">
              <w:rPr>
                <w:rFonts w:ascii="Times New Roman" w:hAnsi="Times New Roman"/>
                <w:sz w:val="28"/>
                <w:szCs w:val="28"/>
              </w:rPr>
              <w:t>політконсультанти</w:t>
            </w:r>
            <w:proofErr w:type="spellEnd"/>
            <w:r w:rsidRPr="009C521E">
              <w:rPr>
                <w:rFonts w:ascii="Times New Roman" w:hAnsi="Times New Roman"/>
                <w:sz w:val="28"/>
                <w:szCs w:val="28"/>
              </w:rPr>
              <w:t>, мережі «амбасадорів»</w:t>
            </w:r>
          </w:p>
        </w:tc>
        <w:tc>
          <w:tcPr>
            <w:tcW w:w="6752" w:type="dxa"/>
            <w:tcBorders>
              <w:top w:val="single" w:sz="4" w:space="0" w:color="auto"/>
              <w:left w:val="single" w:sz="4" w:space="0" w:color="auto"/>
              <w:bottom w:val="single" w:sz="4" w:space="0" w:color="auto"/>
              <w:right w:val="single" w:sz="4" w:space="0" w:color="auto"/>
            </w:tcBorders>
            <w:hideMark/>
          </w:tcPr>
          <w:p w14:paraId="1E703F59"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Легалізація/«відбілювання» </w:t>
            </w:r>
            <w:proofErr w:type="spellStart"/>
            <w:r w:rsidRPr="009C521E">
              <w:rPr>
                <w:rFonts w:ascii="Times New Roman" w:hAnsi="Times New Roman"/>
                <w:sz w:val="28"/>
                <w:szCs w:val="28"/>
              </w:rPr>
              <w:t>наративів</w:t>
            </w:r>
            <w:proofErr w:type="spellEnd"/>
            <w:r w:rsidRPr="009C521E">
              <w:rPr>
                <w:rFonts w:ascii="Times New Roman" w:hAnsi="Times New Roman"/>
                <w:sz w:val="28"/>
                <w:szCs w:val="28"/>
              </w:rPr>
              <w:t>, прихована реклама/політичний вплив, “</w:t>
            </w:r>
            <w:proofErr w:type="spellStart"/>
            <w:r w:rsidRPr="009C521E">
              <w:rPr>
                <w:rFonts w:ascii="Times New Roman" w:hAnsi="Times New Roman"/>
                <w:sz w:val="28"/>
                <w:szCs w:val="28"/>
              </w:rPr>
              <w:t>laundering</w:t>
            </w:r>
            <w:proofErr w:type="spellEnd"/>
            <w:r w:rsidRPr="009C521E">
              <w:rPr>
                <w:rFonts w:ascii="Times New Roman" w:hAnsi="Times New Roman"/>
                <w:sz w:val="28"/>
                <w:szCs w:val="28"/>
              </w:rPr>
              <w:t>” контенту</w:t>
            </w:r>
          </w:p>
        </w:tc>
      </w:tr>
      <w:tr w:rsidR="009C521E" w:rsidRPr="009C521E" w14:paraId="6D4CF495"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16DAD007"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636B67FE"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Соціальні платформи та їхня інфраструктура поширення</w:t>
            </w:r>
          </w:p>
        </w:tc>
        <w:tc>
          <w:tcPr>
            <w:tcW w:w="4304" w:type="dxa"/>
            <w:tcBorders>
              <w:top w:val="single" w:sz="4" w:space="0" w:color="auto"/>
              <w:left w:val="single" w:sz="4" w:space="0" w:color="auto"/>
              <w:bottom w:val="single" w:sz="4" w:space="0" w:color="auto"/>
              <w:right w:val="single" w:sz="4" w:space="0" w:color="auto"/>
            </w:tcBorders>
            <w:hideMark/>
          </w:tcPr>
          <w:p w14:paraId="2A81781B"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соцмережі, </w:t>
            </w:r>
            <w:proofErr w:type="spellStart"/>
            <w:r w:rsidRPr="009C521E">
              <w:rPr>
                <w:rFonts w:ascii="Times New Roman" w:hAnsi="Times New Roman"/>
                <w:sz w:val="28"/>
                <w:szCs w:val="28"/>
              </w:rPr>
              <w:t>відеоплатформи</w:t>
            </w:r>
            <w:proofErr w:type="spellEnd"/>
            <w:r w:rsidRPr="009C521E">
              <w:rPr>
                <w:rFonts w:ascii="Times New Roman" w:hAnsi="Times New Roman"/>
                <w:sz w:val="28"/>
                <w:szCs w:val="28"/>
              </w:rPr>
              <w:t>, месенджери</w:t>
            </w:r>
          </w:p>
        </w:tc>
        <w:tc>
          <w:tcPr>
            <w:tcW w:w="6752" w:type="dxa"/>
            <w:tcBorders>
              <w:top w:val="single" w:sz="4" w:space="0" w:color="auto"/>
              <w:left w:val="single" w:sz="4" w:space="0" w:color="auto"/>
              <w:bottom w:val="single" w:sz="4" w:space="0" w:color="auto"/>
              <w:right w:val="single" w:sz="4" w:space="0" w:color="auto"/>
            </w:tcBorders>
            <w:hideMark/>
          </w:tcPr>
          <w:p w14:paraId="43E96ED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Алгоритмічне підсилення контенту, </w:t>
            </w:r>
            <w:proofErr w:type="spellStart"/>
            <w:r w:rsidRPr="009C521E">
              <w:rPr>
                <w:rFonts w:ascii="Times New Roman" w:hAnsi="Times New Roman"/>
                <w:sz w:val="28"/>
                <w:szCs w:val="28"/>
              </w:rPr>
              <w:t>мікротаргетинг</w:t>
            </w:r>
            <w:proofErr w:type="spellEnd"/>
            <w:r w:rsidRPr="009C521E">
              <w:rPr>
                <w:rFonts w:ascii="Times New Roman" w:hAnsi="Times New Roman"/>
                <w:sz w:val="28"/>
                <w:szCs w:val="28"/>
              </w:rPr>
              <w:t xml:space="preserve">, </w:t>
            </w:r>
            <w:proofErr w:type="spellStart"/>
            <w:r w:rsidRPr="009C521E">
              <w:rPr>
                <w:rFonts w:ascii="Times New Roman" w:hAnsi="Times New Roman"/>
                <w:sz w:val="28"/>
                <w:szCs w:val="28"/>
              </w:rPr>
              <w:t>вірусність</w:t>
            </w:r>
            <w:proofErr w:type="spellEnd"/>
            <w:r w:rsidRPr="009C521E">
              <w:rPr>
                <w:rFonts w:ascii="Times New Roman" w:hAnsi="Times New Roman"/>
                <w:sz w:val="28"/>
                <w:szCs w:val="28"/>
              </w:rPr>
              <w:t>, швидка дифузія фейків; поле для IMI/дезінформації</w:t>
            </w:r>
          </w:p>
        </w:tc>
      </w:tr>
      <w:tr w:rsidR="009C521E" w:rsidRPr="009C521E" w14:paraId="6434DF26"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3C4FDBDC"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5EB257C5"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 xml:space="preserve">НГО, </w:t>
            </w:r>
            <w:proofErr w:type="spellStart"/>
            <w:r w:rsidRPr="009C521E">
              <w:rPr>
                <w:rFonts w:ascii="Times New Roman" w:hAnsi="Times New Roman"/>
                <w:b/>
                <w:bCs/>
                <w:i/>
                <w:iCs/>
                <w:sz w:val="28"/>
                <w:szCs w:val="28"/>
              </w:rPr>
              <w:t>фактчек</w:t>
            </w:r>
            <w:proofErr w:type="spellEnd"/>
            <w:r w:rsidRPr="009C521E">
              <w:rPr>
                <w:rFonts w:ascii="Times New Roman" w:hAnsi="Times New Roman"/>
                <w:b/>
                <w:bCs/>
                <w:i/>
                <w:iCs/>
                <w:sz w:val="28"/>
                <w:szCs w:val="28"/>
              </w:rPr>
              <w:t>-ініціативи, громадянське суспільство</w:t>
            </w:r>
          </w:p>
        </w:tc>
        <w:tc>
          <w:tcPr>
            <w:tcW w:w="4304" w:type="dxa"/>
            <w:tcBorders>
              <w:top w:val="single" w:sz="4" w:space="0" w:color="auto"/>
              <w:left w:val="single" w:sz="4" w:space="0" w:color="auto"/>
              <w:bottom w:val="single" w:sz="4" w:space="0" w:color="auto"/>
              <w:right w:val="single" w:sz="4" w:space="0" w:color="auto"/>
            </w:tcBorders>
            <w:hideMark/>
          </w:tcPr>
          <w:p w14:paraId="7ADDFA07" w14:textId="77777777" w:rsidR="009C521E" w:rsidRPr="009C521E" w:rsidRDefault="009C521E" w:rsidP="009C521E">
            <w:pPr>
              <w:spacing w:line="360" w:lineRule="auto"/>
              <w:jc w:val="both"/>
              <w:rPr>
                <w:rFonts w:ascii="Times New Roman" w:hAnsi="Times New Roman"/>
                <w:sz w:val="28"/>
                <w:szCs w:val="28"/>
              </w:rPr>
            </w:pPr>
            <w:proofErr w:type="spellStart"/>
            <w:r w:rsidRPr="009C521E">
              <w:rPr>
                <w:rFonts w:ascii="Times New Roman" w:hAnsi="Times New Roman"/>
                <w:sz w:val="28"/>
                <w:szCs w:val="28"/>
              </w:rPr>
              <w:t>фактчек-проєкти</w:t>
            </w:r>
            <w:proofErr w:type="spellEnd"/>
            <w:r w:rsidRPr="009C521E">
              <w:rPr>
                <w:rFonts w:ascii="Times New Roman" w:hAnsi="Times New Roman"/>
                <w:sz w:val="28"/>
                <w:szCs w:val="28"/>
              </w:rPr>
              <w:t xml:space="preserve">, </w:t>
            </w:r>
            <w:proofErr w:type="spellStart"/>
            <w:r w:rsidRPr="009C521E">
              <w:rPr>
                <w:rFonts w:ascii="Times New Roman" w:hAnsi="Times New Roman"/>
                <w:sz w:val="28"/>
                <w:szCs w:val="28"/>
              </w:rPr>
              <w:t>медіаосвітні</w:t>
            </w:r>
            <w:proofErr w:type="spellEnd"/>
            <w:r w:rsidRPr="009C521E">
              <w:rPr>
                <w:rFonts w:ascii="Times New Roman" w:hAnsi="Times New Roman"/>
                <w:sz w:val="28"/>
                <w:szCs w:val="28"/>
              </w:rPr>
              <w:t xml:space="preserve"> НГО</w:t>
            </w:r>
          </w:p>
        </w:tc>
        <w:tc>
          <w:tcPr>
            <w:tcW w:w="6752" w:type="dxa"/>
            <w:tcBorders>
              <w:top w:val="single" w:sz="4" w:space="0" w:color="auto"/>
              <w:left w:val="single" w:sz="4" w:space="0" w:color="auto"/>
              <w:bottom w:val="single" w:sz="4" w:space="0" w:color="auto"/>
              <w:right w:val="single" w:sz="4" w:space="0" w:color="auto"/>
            </w:tcBorders>
            <w:hideMark/>
          </w:tcPr>
          <w:p w14:paraId="30CDDA1A"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Моніторинг, спростування, просвіта, підвищення стійкості аудиторій</w:t>
            </w:r>
          </w:p>
        </w:tc>
      </w:tr>
      <w:tr w:rsidR="009C521E" w:rsidRPr="009C521E" w14:paraId="1B83B23B"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5B61AE7D"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4D6FCAA6"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Релігійні/громадські лідери, локальні спільноти</w:t>
            </w:r>
          </w:p>
        </w:tc>
        <w:tc>
          <w:tcPr>
            <w:tcW w:w="4304" w:type="dxa"/>
            <w:tcBorders>
              <w:top w:val="single" w:sz="4" w:space="0" w:color="auto"/>
              <w:left w:val="single" w:sz="4" w:space="0" w:color="auto"/>
              <w:bottom w:val="single" w:sz="4" w:space="0" w:color="auto"/>
              <w:right w:val="single" w:sz="4" w:space="0" w:color="auto"/>
            </w:tcBorders>
            <w:hideMark/>
          </w:tcPr>
          <w:p w14:paraId="54BE28F5"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лідери думок, громади, мережі активістів</w:t>
            </w:r>
          </w:p>
        </w:tc>
        <w:tc>
          <w:tcPr>
            <w:tcW w:w="6752" w:type="dxa"/>
            <w:tcBorders>
              <w:top w:val="single" w:sz="4" w:space="0" w:color="auto"/>
              <w:left w:val="single" w:sz="4" w:space="0" w:color="auto"/>
              <w:bottom w:val="single" w:sz="4" w:space="0" w:color="auto"/>
              <w:right w:val="single" w:sz="4" w:space="0" w:color="auto"/>
            </w:tcBorders>
            <w:hideMark/>
          </w:tcPr>
          <w:p w14:paraId="1E361300"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 xml:space="preserve">Мобілізація/демобілізація, легітимація </w:t>
            </w:r>
            <w:proofErr w:type="spellStart"/>
            <w:r w:rsidRPr="009C521E">
              <w:rPr>
                <w:rFonts w:ascii="Times New Roman" w:hAnsi="Times New Roman"/>
                <w:sz w:val="28"/>
                <w:szCs w:val="28"/>
              </w:rPr>
              <w:t>наративів</w:t>
            </w:r>
            <w:proofErr w:type="spellEnd"/>
            <w:r w:rsidRPr="009C521E">
              <w:rPr>
                <w:rFonts w:ascii="Times New Roman" w:hAnsi="Times New Roman"/>
                <w:sz w:val="28"/>
                <w:szCs w:val="28"/>
              </w:rPr>
              <w:t xml:space="preserve"> “знизу”, посилення або нейтралізація ворожих меседжів</w:t>
            </w:r>
          </w:p>
        </w:tc>
      </w:tr>
      <w:tr w:rsidR="009C521E" w:rsidRPr="009C521E" w14:paraId="1B30694B"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265942FF"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496C0801"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Діаспора та транснаціональні мережі</w:t>
            </w:r>
          </w:p>
        </w:tc>
        <w:tc>
          <w:tcPr>
            <w:tcW w:w="4304" w:type="dxa"/>
            <w:tcBorders>
              <w:top w:val="single" w:sz="4" w:space="0" w:color="auto"/>
              <w:left w:val="single" w:sz="4" w:space="0" w:color="auto"/>
              <w:bottom w:val="single" w:sz="4" w:space="0" w:color="auto"/>
              <w:right w:val="single" w:sz="4" w:space="0" w:color="auto"/>
            </w:tcBorders>
            <w:hideMark/>
          </w:tcPr>
          <w:p w14:paraId="507BE042"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громади за кордоном, мережі підтримки</w:t>
            </w:r>
          </w:p>
        </w:tc>
        <w:tc>
          <w:tcPr>
            <w:tcW w:w="6752" w:type="dxa"/>
            <w:tcBorders>
              <w:top w:val="single" w:sz="4" w:space="0" w:color="auto"/>
              <w:left w:val="single" w:sz="4" w:space="0" w:color="auto"/>
              <w:bottom w:val="single" w:sz="4" w:space="0" w:color="auto"/>
              <w:right w:val="single" w:sz="4" w:space="0" w:color="auto"/>
            </w:tcBorders>
            <w:hideMark/>
          </w:tcPr>
          <w:p w14:paraId="3B573246"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Лобіювання/</w:t>
            </w:r>
            <w:proofErr w:type="spellStart"/>
            <w:r w:rsidRPr="009C521E">
              <w:rPr>
                <w:rFonts w:ascii="Times New Roman" w:hAnsi="Times New Roman"/>
                <w:sz w:val="28"/>
                <w:szCs w:val="28"/>
              </w:rPr>
              <w:t>контрнаративи</w:t>
            </w:r>
            <w:proofErr w:type="spellEnd"/>
            <w:r w:rsidRPr="009C521E">
              <w:rPr>
                <w:rFonts w:ascii="Times New Roman" w:hAnsi="Times New Roman"/>
                <w:sz w:val="28"/>
                <w:szCs w:val="28"/>
              </w:rPr>
              <w:t>, донесення фактів/свідчень, інформаційна мобілізація</w:t>
            </w:r>
          </w:p>
        </w:tc>
      </w:tr>
      <w:tr w:rsidR="009C521E" w:rsidRPr="009C521E" w14:paraId="0A44ABE7"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2B442F20" w14:textId="77777777" w:rsidR="009C521E" w:rsidRPr="009C521E" w:rsidRDefault="009C521E" w:rsidP="009C521E">
            <w:pPr>
              <w:rPr>
                <w:rFonts w:ascii="Times New Roman" w:hAnsi="Times New Roman"/>
                <w:sz w:val="28"/>
                <w:szCs w:val="28"/>
              </w:rPr>
            </w:pPr>
          </w:p>
        </w:tc>
        <w:tc>
          <w:tcPr>
            <w:tcW w:w="2892" w:type="dxa"/>
            <w:tcBorders>
              <w:top w:val="single" w:sz="4" w:space="0" w:color="auto"/>
              <w:left w:val="single" w:sz="4" w:space="0" w:color="auto"/>
              <w:bottom w:val="single" w:sz="4" w:space="0" w:color="auto"/>
              <w:right w:val="single" w:sz="4" w:space="0" w:color="auto"/>
            </w:tcBorders>
            <w:hideMark/>
          </w:tcPr>
          <w:p w14:paraId="71D0A009" w14:textId="77777777" w:rsidR="009C521E" w:rsidRPr="009C521E" w:rsidRDefault="009C521E" w:rsidP="009C521E">
            <w:pPr>
              <w:spacing w:line="360" w:lineRule="auto"/>
              <w:jc w:val="both"/>
              <w:rPr>
                <w:rFonts w:ascii="Times New Roman" w:hAnsi="Times New Roman"/>
                <w:b/>
                <w:bCs/>
                <w:i/>
                <w:iCs/>
                <w:sz w:val="28"/>
                <w:szCs w:val="28"/>
              </w:rPr>
            </w:pPr>
            <w:r w:rsidRPr="009C521E">
              <w:rPr>
                <w:rFonts w:ascii="Times New Roman" w:hAnsi="Times New Roman"/>
                <w:b/>
                <w:bCs/>
                <w:i/>
                <w:iCs/>
                <w:sz w:val="28"/>
                <w:szCs w:val="28"/>
              </w:rPr>
              <w:t>Медіа (приватні), блогери, альтернативні канали</w:t>
            </w:r>
          </w:p>
        </w:tc>
        <w:tc>
          <w:tcPr>
            <w:tcW w:w="4304" w:type="dxa"/>
            <w:tcBorders>
              <w:top w:val="single" w:sz="4" w:space="0" w:color="auto"/>
              <w:left w:val="single" w:sz="4" w:space="0" w:color="auto"/>
              <w:bottom w:val="single" w:sz="4" w:space="0" w:color="auto"/>
              <w:right w:val="single" w:sz="4" w:space="0" w:color="auto"/>
            </w:tcBorders>
            <w:hideMark/>
          </w:tcPr>
          <w:p w14:paraId="6B98690F"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онлайн-медіа, блогери, “телеграм-канали”</w:t>
            </w:r>
          </w:p>
        </w:tc>
        <w:tc>
          <w:tcPr>
            <w:tcW w:w="6752" w:type="dxa"/>
            <w:tcBorders>
              <w:top w:val="single" w:sz="4" w:space="0" w:color="auto"/>
              <w:left w:val="single" w:sz="4" w:space="0" w:color="auto"/>
              <w:bottom w:val="single" w:sz="4" w:space="0" w:color="auto"/>
              <w:right w:val="single" w:sz="4" w:space="0" w:color="auto"/>
            </w:tcBorders>
            <w:hideMark/>
          </w:tcPr>
          <w:p w14:paraId="510364F3" w14:textId="77777777" w:rsidR="009C521E" w:rsidRPr="009C521E" w:rsidRDefault="009C521E" w:rsidP="009C521E">
            <w:pPr>
              <w:spacing w:line="360" w:lineRule="auto"/>
              <w:jc w:val="both"/>
              <w:rPr>
                <w:rFonts w:ascii="Times New Roman" w:hAnsi="Times New Roman"/>
                <w:sz w:val="28"/>
                <w:szCs w:val="28"/>
              </w:rPr>
            </w:pPr>
            <w:r w:rsidRPr="009C521E">
              <w:rPr>
                <w:rFonts w:ascii="Times New Roman" w:hAnsi="Times New Roman"/>
                <w:sz w:val="28"/>
                <w:szCs w:val="28"/>
              </w:rPr>
              <w:t>Формування порядку денного, «</w:t>
            </w:r>
            <w:proofErr w:type="spellStart"/>
            <w:r w:rsidRPr="009C521E">
              <w:rPr>
                <w:rFonts w:ascii="Times New Roman" w:hAnsi="Times New Roman"/>
                <w:sz w:val="28"/>
                <w:szCs w:val="28"/>
              </w:rPr>
              <w:t>рамкування</w:t>
            </w:r>
            <w:proofErr w:type="spellEnd"/>
            <w:r w:rsidRPr="009C521E">
              <w:rPr>
                <w:rFonts w:ascii="Times New Roman" w:hAnsi="Times New Roman"/>
                <w:sz w:val="28"/>
                <w:szCs w:val="28"/>
              </w:rPr>
              <w:t xml:space="preserve">» подій, нормалізація/радикалізація </w:t>
            </w:r>
            <w:proofErr w:type="spellStart"/>
            <w:r w:rsidRPr="009C521E">
              <w:rPr>
                <w:rFonts w:ascii="Times New Roman" w:hAnsi="Times New Roman"/>
                <w:sz w:val="28"/>
                <w:szCs w:val="28"/>
              </w:rPr>
              <w:t>наративів</w:t>
            </w:r>
            <w:proofErr w:type="spellEnd"/>
          </w:p>
        </w:tc>
      </w:tr>
    </w:tbl>
    <w:p w14:paraId="0783666F" w14:textId="77777777" w:rsidR="009C521E" w:rsidRPr="009C521E" w:rsidRDefault="009C521E" w:rsidP="009C521E">
      <w:pPr>
        <w:spacing w:after="0" w:line="360" w:lineRule="auto"/>
        <w:rPr>
          <w:rFonts w:ascii="Times New Roman" w:eastAsia="Calibri" w:hAnsi="Times New Roman" w:cs="Times New Roman"/>
          <w:kern w:val="0"/>
          <w:sz w:val="28"/>
          <w:szCs w:val="28"/>
          <w:lang w:val="uk-UA"/>
          <w14:ligatures w14:val="none"/>
        </w:rPr>
        <w:sectPr w:rsidR="009C521E" w:rsidRPr="009C521E" w:rsidSect="009C521E">
          <w:pgSz w:w="16838" w:h="11906" w:orient="landscape"/>
          <w:pgMar w:top="850" w:right="850" w:bottom="1417" w:left="850" w:header="708" w:footer="708" w:gutter="0"/>
          <w:cols w:space="720"/>
        </w:sectPr>
      </w:pPr>
    </w:p>
    <w:p w14:paraId="56FD5590"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lastRenderedPageBreak/>
        <w:t>Як ілюструє таблиця у структурі сучасних інформаційних війн чітко виокремлюються дві взаємопов’язані, але принципово різні групи акторів: інституційні та неінституційні суб’єкти. Їх порівняльний аналіз дозволяє глибше зрозуміти логіку гібридних конфліктів, механізми інформаційного впливу та особливості розподілу відповідальності в інформаційному просторі.</w:t>
      </w:r>
    </w:p>
    <w:p w14:paraId="4FC859B7"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Інституційні суб’єкти інформаційних війн діють у межах формалізованих політико-правових структур і наділені легітимними повноваженнями. До них належать органи державної влади, сектор безпеки і оборони, розвідувальні служби, державні та міждержавні інституції, а також офіційні медіа й дипломатичні структури. Їхня діяльність у сфері інформаційного протиборства має стратегічний, ієрархічно організований і нормативно закріплений характер. Основною перевагою інституційних акторів є доступ до значних ресурсів, зокрема,  фінансових, технологічних, кадрових і символічних, що дозволяє їм здійснювати масштабні, довготривалі та скоординовані інформаційні кампанії.</w:t>
      </w:r>
    </w:p>
    <w:p w14:paraId="5426AA9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Водночас інституційні суб’єкти обмежені рамками міжнародного права, внутрішнього законодавства та політичної відповідальності, що зумовлює необхідність легітимації інформаційних дій, дотримання офіційних </w:t>
      </w:r>
      <w:proofErr w:type="spellStart"/>
      <w:r w:rsidRPr="009C521E">
        <w:rPr>
          <w:rFonts w:ascii="Times New Roman" w:eastAsia="Calibri" w:hAnsi="Times New Roman" w:cs="Times New Roman"/>
          <w:sz w:val="28"/>
          <w:szCs w:val="28"/>
          <w:lang w:val="uk-UA"/>
        </w:rPr>
        <w:t>наративів</w:t>
      </w:r>
      <w:proofErr w:type="spellEnd"/>
      <w:r w:rsidRPr="009C521E">
        <w:rPr>
          <w:rFonts w:ascii="Times New Roman" w:eastAsia="Calibri" w:hAnsi="Times New Roman" w:cs="Times New Roman"/>
          <w:sz w:val="28"/>
          <w:szCs w:val="28"/>
          <w:lang w:val="uk-UA"/>
        </w:rPr>
        <w:t xml:space="preserve"> і врахування міжнародної реакції. Унаслідок цього інституційні актори часто змушені поєднувати відкриті інформаційні стратегії (публічну дипломатію, стратегічні комунікації) з прихованими або напівприхованими формами впливу, делегуючи частину дій неінституційним посередникам.</w:t>
      </w:r>
    </w:p>
    <w:p w14:paraId="6A6BD013"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Неінституційні суб’єкти, навпаки, функціонують поза жорстко формалізованими структурами та здебільшого не мають юридично закріпленого статусу учасників конфлікту. До них належать </w:t>
      </w:r>
      <w:proofErr w:type="spellStart"/>
      <w:r w:rsidRPr="009C521E">
        <w:rPr>
          <w:rFonts w:ascii="Times New Roman" w:eastAsia="Calibri" w:hAnsi="Times New Roman" w:cs="Times New Roman"/>
          <w:sz w:val="28"/>
          <w:szCs w:val="28"/>
          <w:lang w:val="uk-UA"/>
        </w:rPr>
        <w:t>хакерські</w:t>
      </w:r>
      <w:proofErr w:type="spellEnd"/>
      <w:r w:rsidRPr="009C521E">
        <w:rPr>
          <w:rFonts w:ascii="Times New Roman" w:eastAsia="Calibri" w:hAnsi="Times New Roman" w:cs="Times New Roman"/>
          <w:sz w:val="28"/>
          <w:szCs w:val="28"/>
          <w:lang w:val="uk-UA"/>
        </w:rPr>
        <w:t xml:space="preserve"> угруповання, </w:t>
      </w:r>
      <w:proofErr w:type="spellStart"/>
      <w:r w:rsidRPr="009C521E">
        <w:rPr>
          <w:rFonts w:ascii="Times New Roman" w:eastAsia="Calibri" w:hAnsi="Times New Roman" w:cs="Times New Roman"/>
          <w:sz w:val="28"/>
          <w:szCs w:val="28"/>
          <w:lang w:val="uk-UA"/>
        </w:rPr>
        <w:t>ботоферми</w:t>
      </w:r>
      <w:proofErr w:type="spellEnd"/>
      <w:r w:rsidRPr="009C521E">
        <w:rPr>
          <w:rFonts w:ascii="Times New Roman" w:eastAsia="Calibri" w:hAnsi="Times New Roman" w:cs="Times New Roman"/>
          <w:sz w:val="28"/>
          <w:szCs w:val="28"/>
          <w:lang w:val="uk-UA"/>
        </w:rPr>
        <w:t xml:space="preserve">, мережі тролів, приватні PR-структури, </w:t>
      </w:r>
      <w:proofErr w:type="spellStart"/>
      <w:r w:rsidRPr="009C521E">
        <w:rPr>
          <w:rFonts w:ascii="Times New Roman" w:eastAsia="Calibri" w:hAnsi="Times New Roman" w:cs="Times New Roman"/>
          <w:sz w:val="28"/>
          <w:szCs w:val="28"/>
          <w:lang w:val="uk-UA"/>
        </w:rPr>
        <w:t>інфлюенсери</w:t>
      </w:r>
      <w:proofErr w:type="spellEnd"/>
      <w:r w:rsidRPr="009C521E">
        <w:rPr>
          <w:rFonts w:ascii="Times New Roman" w:eastAsia="Calibri" w:hAnsi="Times New Roman" w:cs="Times New Roman"/>
          <w:sz w:val="28"/>
          <w:szCs w:val="28"/>
          <w:lang w:val="uk-UA"/>
        </w:rPr>
        <w:t xml:space="preserve">, альтернативні медіа, громадські рухи, діаспорні спільноти та окремі лідери думок. Їхньою  перевагою є висока гнучкість, адаптивність і здатність швидко реагувати на зміну інформаційної кон’юнктури. Саме неінституційні актори забезпечують </w:t>
      </w:r>
      <w:proofErr w:type="spellStart"/>
      <w:r w:rsidRPr="009C521E">
        <w:rPr>
          <w:rFonts w:ascii="Times New Roman" w:eastAsia="Calibri" w:hAnsi="Times New Roman" w:cs="Times New Roman"/>
          <w:sz w:val="28"/>
          <w:szCs w:val="28"/>
          <w:lang w:val="uk-UA"/>
        </w:rPr>
        <w:t>вірусність</w:t>
      </w:r>
      <w:proofErr w:type="spellEnd"/>
      <w:r w:rsidRPr="009C521E">
        <w:rPr>
          <w:rFonts w:ascii="Times New Roman" w:eastAsia="Calibri" w:hAnsi="Times New Roman" w:cs="Times New Roman"/>
          <w:sz w:val="28"/>
          <w:szCs w:val="28"/>
          <w:lang w:val="uk-UA"/>
        </w:rPr>
        <w:t xml:space="preserve"> контенту, емоційну насиченість повідомлень і проникнення інформаційних впливів у повсякденну комунікацію масової аудиторії.</w:t>
      </w:r>
    </w:p>
    <w:p w14:paraId="451A6BF4"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lastRenderedPageBreak/>
        <w:t xml:space="preserve">На відміну від інституційних суб’єктів, неінституційні актори характеризуються розмитою відповідальністю та складністю атрибуції, що створює ефект «правдоподібного заперечення» , який є надзвичайно цінним у гібридних конфліктах. Водночас </w:t>
      </w:r>
      <w:proofErr w:type="spellStart"/>
      <w:r w:rsidRPr="009C521E">
        <w:rPr>
          <w:rFonts w:ascii="Times New Roman" w:eastAsia="Calibri" w:hAnsi="Times New Roman" w:cs="Times New Roman"/>
          <w:sz w:val="28"/>
          <w:szCs w:val="28"/>
          <w:lang w:val="uk-UA"/>
        </w:rPr>
        <w:t>фрагментованість</w:t>
      </w:r>
      <w:proofErr w:type="spellEnd"/>
      <w:r w:rsidRPr="009C521E">
        <w:rPr>
          <w:rFonts w:ascii="Times New Roman" w:eastAsia="Calibri" w:hAnsi="Times New Roman" w:cs="Times New Roman"/>
          <w:sz w:val="28"/>
          <w:szCs w:val="28"/>
          <w:lang w:val="uk-UA"/>
        </w:rPr>
        <w:t>, відсутність єдиного центру управління та залежність від алгоритмів цифрових платформ роблять неінституційні мережі менш передбачуваними й потенційно неконтрольованими навіть для тих державних структур, які їх використовують у власних інтересах.</w:t>
      </w:r>
    </w:p>
    <w:p w14:paraId="21AC3D91"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 У сучасних формах гібридної війни роль недержавних акторів значною мірою зросла, часто виступаючи механізмом розповсюдження впливу, який важко віднести до формального статусу державного інституційного учасника. Такі недержавні актори включають терористичні організації, партизанські угруповання, міліції, транснаціональні мережі, приватні військові компанії, </w:t>
      </w:r>
      <w:proofErr w:type="spellStart"/>
      <w:r w:rsidRPr="009C521E">
        <w:rPr>
          <w:rFonts w:ascii="Times New Roman" w:eastAsia="Calibri" w:hAnsi="Times New Roman" w:cs="Times New Roman"/>
          <w:sz w:val="28"/>
          <w:szCs w:val="28"/>
          <w:lang w:val="uk-UA"/>
        </w:rPr>
        <w:t>кіберактивістів</w:t>
      </w:r>
      <w:proofErr w:type="spellEnd"/>
      <w:r w:rsidRPr="009C521E">
        <w:rPr>
          <w:rFonts w:ascii="Times New Roman" w:eastAsia="Calibri" w:hAnsi="Times New Roman" w:cs="Times New Roman"/>
          <w:sz w:val="28"/>
          <w:szCs w:val="28"/>
          <w:lang w:val="uk-UA"/>
        </w:rPr>
        <w:t xml:space="preserve"> і проксі-групи, що діють у сірих зонах між миром і війною та можуть здійснювати інформаційні і кібернетичні операції із суттєвим політичним впливом. Вони не мають формального статусу державного суб’єкта, але можуть суттєво впливати на хід конфліктів, використовувати інформаційні канали для пропаганди, дезінформації та мобілізації, і часто співпрацюють з державами-покровителями або діють </w:t>
      </w:r>
      <w:proofErr w:type="spellStart"/>
      <w:r w:rsidRPr="009C521E">
        <w:rPr>
          <w:rFonts w:ascii="Times New Roman" w:eastAsia="Calibri" w:hAnsi="Times New Roman" w:cs="Times New Roman"/>
          <w:sz w:val="28"/>
          <w:szCs w:val="28"/>
          <w:lang w:val="uk-UA"/>
        </w:rPr>
        <w:t>автономно</w:t>
      </w:r>
      <w:proofErr w:type="spellEnd"/>
      <w:r w:rsidRPr="009C521E">
        <w:rPr>
          <w:rFonts w:ascii="Times New Roman" w:eastAsia="Calibri" w:hAnsi="Times New Roman" w:cs="Times New Roman"/>
          <w:sz w:val="28"/>
          <w:szCs w:val="28"/>
          <w:lang w:val="uk-UA"/>
        </w:rPr>
        <w:t>, ускладнюючи як правову атрибуцію, так і дипломатичну відповідь  (</w:t>
      </w:r>
      <w:proofErr w:type="spellStart"/>
      <w:r w:rsidRPr="009C521E">
        <w:rPr>
          <w:rFonts w:ascii="Times New Roman" w:eastAsia="Calibri" w:hAnsi="Times New Roman" w:cs="Times New Roman"/>
          <w:sz w:val="28"/>
          <w:szCs w:val="28"/>
          <w:lang w:val="uk-UA"/>
        </w:rPr>
        <w:t>Ali</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et</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al</w:t>
      </w:r>
      <w:proofErr w:type="spellEnd"/>
      <w:r w:rsidRPr="009C521E">
        <w:rPr>
          <w:rFonts w:ascii="Times New Roman" w:eastAsia="Calibri" w:hAnsi="Times New Roman" w:cs="Times New Roman"/>
          <w:sz w:val="28"/>
          <w:szCs w:val="28"/>
          <w:lang w:val="uk-UA"/>
        </w:rPr>
        <w:t>., 2025).</w:t>
      </w:r>
    </w:p>
    <w:p w14:paraId="67C2B9EB"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Однією з найпомітніших форм участі недержавних акторів у сучасних інформаційних війнах є  </w:t>
      </w:r>
      <w:proofErr w:type="spellStart"/>
      <w:r w:rsidRPr="009C521E">
        <w:rPr>
          <w:rFonts w:ascii="Times New Roman" w:eastAsia="Calibri" w:hAnsi="Times New Roman" w:cs="Times New Roman"/>
          <w:sz w:val="28"/>
          <w:szCs w:val="28"/>
          <w:lang w:val="uk-UA"/>
        </w:rPr>
        <w:t>кібер</w:t>
      </w:r>
      <w:proofErr w:type="spellEnd"/>
      <w:r w:rsidRPr="009C521E">
        <w:rPr>
          <w:rFonts w:ascii="Times New Roman" w:eastAsia="Calibri" w:hAnsi="Times New Roman" w:cs="Times New Roman"/>
          <w:sz w:val="28"/>
          <w:szCs w:val="28"/>
          <w:lang w:val="uk-UA"/>
        </w:rPr>
        <w:t xml:space="preserve">-групи, </w:t>
      </w:r>
      <w:proofErr w:type="spellStart"/>
      <w:r w:rsidRPr="009C521E">
        <w:rPr>
          <w:rFonts w:ascii="Times New Roman" w:eastAsia="Calibri" w:hAnsi="Times New Roman" w:cs="Times New Roman"/>
          <w:sz w:val="28"/>
          <w:szCs w:val="28"/>
          <w:lang w:val="uk-UA"/>
        </w:rPr>
        <w:t>хактивісти</w:t>
      </w:r>
      <w:proofErr w:type="spellEnd"/>
      <w:r w:rsidRPr="009C521E">
        <w:rPr>
          <w:rFonts w:ascii="Times New Roman" w:eastAsia="Calibri" w:hAnsi="Times New Roman" w:cs="Times New Roman"/>
          <w:sz w:val="28"/>
          <w:szCs w:val="28"/>
          <w:lang w:val="uk-UA"/>
        </w:rPr>
        <w:t xml:space="preserve">, мережі ботів та автономні цифрові суб’єкти», які можуть виконувати функції провокаторів, координаторів або «проксі» для більш потужних державних стратегій. Дослідження показують, що ці групи не лише здійснюють окремі дії, а створюють великий інформаційний потік, здатний впливати на настрої мільйонів користувачів, змінювати інформаційні порядки денні та підсилювати емоційні </w:t>
      </w:r>
      <w:proofErr w:type="spellStart"/>
      <w:r w:rsidRPr="009C521E">
        <w:rPr>
          <w:rFonts w:ascii="Times New Roman" w:eastAsia="Calibri" w:hAnsi="Times New Roman" w:cs="Times New Roman"/>
          <w:sz w:val="28"/>
          <w:szCs w:val="28"/>
          <w:lang w:val="uk-UA"/>
        </w:rPr>
        <w:t>наративи</w:t>
      </w:r>
      <w:proofErr w:type="spellEnd"/>
      <w:r w:rsidRPr="009C521E">
        <w:rPr>
          <w:rFonts w:ascii="Times New Roman" w:eastAsia="Calibri" w:hAnsi="Times New Roman" w:cs="Times New Roman"/>
          <w:sz w:val="28"/>
          <w:szCs w:val="28"/>
          <w:lang w:val="uk-UA"/>
        </w:rPr>
        <w:t xml:space="preserve">. Такі групи часто працюють у сірих зонах законодавства та мають здатність еволюціонувати від </w:t>
      </w:r>
      <w:proofErr w:type="spellStart"/>
      <w:r w:rsidRPr="009C521E">
        <w:rPr>
          <w:rFonts w:ascii="Times New Roman" w:eastAsia="Calibri" w:hAnsi="Times New Roman" w:cs="Times New Roman"/>
          <w:sz w:val="28"/>
          <w:szCs w:val="28"/>
          <w:lang w:val="uk-UA"/>
        </w:rPr>
        <w:t>протестних</w:t>
      </w:r>
      <w:proofErr w:type="spellEnd"/>
      <w:r w:rsidRPr="009C521E">
        <w:rPr>
          <w:rFonts w:ascii="Times New Roman" w:eastAsia="Calibri" w:hAnsi="Times New Roman" w:cs="Times New Roman"/>
          <w:sz w:val="28"/>
          <w:szCs w:val="28"/>
          <w:lang w:val="uk-UA"/>
        </w:rPr>
        <w:t xml:space="preserve"> ініціатив до де-факто учасників інформаційно-</w:t>
      </w:r>
      <w:proofErr w:type="spellStart"/>
      <w:r w:rsidRPr="009C521E">
        <w:rPr>
          <w:rFonts w:ascii="Times New Roman" w:eastAsia="Calibri" w:hAnsi="Times New Roman" w:cs="Times New Roman"/>
          <w:sz w:val="28"/>
          <w:szCs w:val="28"/>
          <w:lang w:val="uk-UA"/>
        </w:rPr>
        <w:t>кіберних</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кампій</w:t>
      </w:r>
      <w:proofErr w:type="spellEnd"/>
      <w:r w:rsidRPr="009C521E">
        <w:rPr>
          <w:rFonts w:ascii="Times New Roman" w:eastAsia="Calibri" w:hAnsi="Times New Roman" w:cs="Times New Roman"/>
          <w:sz w:val="28"/>
          <w:szCs w:val="28"/>
          <w:lang w:val="uk-UA"/>
        </w:rPr>
        <w:t>, що ускладнює традиційні підходи до визначення відповідальності та ефективної протидії (</w:t>
      </w:r>
      <w:proofErr w:type="spellStart"/>
      <w:r w:rsidRPr="009C521E">
        <w:rPr>
          <w:rFonts w:ascii="Times New Roman" w:eastAsia="Calibri" w:hAnsi="Times New Roman" w:cs="Times New Roman"/>
          <w:sz w:val="28"/>
          <w:szCs w:val="28"/>
          <w:lang w:val="uk-UA"/>
        </w:rPr>
        <w:t>Derbyshire</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et</w:t>
      </w:r>
      <w:proofErr w:type="spellEnd"/>
      <w:r w:rsidRPr="009C521E">
        <w:rPr>
          <w:rFonts w:ascii="Times New Roman" w:eastAsia="Calibri" w:hAnsi="Times New Roman" w:cs="Times New Roman"/>
          <w:sz w:val="28"/>
          <w:szCs w:val="28"/>
          <w:lang w:val="uk-UA"/>
        </w:rPr>
        <w:t xml:space="preserve"> </w:t>
      </w:r>
      <w:proofErr w:type="spellStart"/>
      <w:r w:rsidRPr="009C521E">
        <w:rPr>
          <w:rFonts w:ascii="Times New Roman" w:eastAsia="Calibri" w:hAnsi="Times New Roman" w:cs="Times New Roman"/>
          <w:sz w:val="28"/>
          <w:szCs w:val="28"/>
          <w:lang w:val="uk-UA"/>
        </w:rPr>
        <w:t>al</w:t>
      </w:r>
      <w:proofErr w:type="spellEnd"/>
      <w:r w:rsidRPr="009C521E">
        <w:rPr>
          <w:rFonts w:ascii="Times New Roman" w:eastAsia="Calibri" w:hAnsi="Times New Roman" w:cs="Times New Roman"/>
          <w:sz w:val="28"/>
          <w:szCs w:val="28"/>
          <w:lang w:val="uk-UA"/>
        </w:rPr>
        <w:t>., 2025).</w:t>
      </w:r>
    </w:p>
    <w:p w14:paraId="346348D5"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lastRenderedPageBreak/>
        <w:t xml:space="preserve">У стратегічному вимірі інституційні та неінституційні суб’єкти не </w:t>
      </w:r>
      <w:proofErr w:type="spellStart"/>
      <w:r w:rsidRPr="009C521E">
        <w:rPr>
          <w:rFonts w:ascii="Times New Roman" w:eastAsia="Calibri" w:hAnsi="Times New Roman" w:cs="Times New Roman"/>
          <w:sz w:val="28"/>
          <w:szCs w:val="28"/>
          <w:lang w:val="uk-UA"/>
        </w:rPr>
        <w:t>протистоять</w:t>
      </w:r>
      <w:proofErr w:type="spellEnd"/>
      <w:r w:rsidRPr="009C521E">
        <w:rPr>
          <w:rFonts w:ascii="Times New Roman" w:eastAsia="Calibri" w:hAnsi="Times New Roman" w:cs="Times New Roman"/>
          <w:sz w:val="28"/>
          <w:szCs w:val="28"/>
          <w:lang w:val="uk-UA"/>
        </w:rPr>
        <w:t xml:space="preserve"> одне одному, а формують комплементарну модель інформаційної війни.  Інституційні актори задають загальну рамку, цілі та ключові </w:t>
      </w:r>
      <w:proofErr w:type="spellStart"/>
      <w:r w:rsidRPr="009C521E">
        <w:rPr>
          <w:rFonts w:ascii="Times New Roman" w:eastAsia="Calibri" w:hAnsi="Times New Roman" w:cs="Times New Roman"/>
          <w:sz w:val="28"/>
          <w:szCs w:val="28"/>
          <w:lang w:val="uk-UA"/>
        </w:rPr>
        <w:t>наративи</w:t>
      </w:r>
      <w:proofErr w:type="spellEnd"/>
      <w:r w:rsidRPr="009C521E">
        <w:rPr>
          <w:rFonts w:ascii="Times New Roman" w:eastAsia="Calibri" w:hAnsi="Times New Roman" w:cs="Times New Roman"/>
          <w:sz w:val="28"/>
          <w:szCs w:val="28"/>
          <w:lang w:val="uk-UA"/>
        </w:rPr>
        <w:t xml:space="preserve">, тоді як неінституційні забезпечують їх дифузію, радикалізацію або маскування в інформаційному середовищі. Така взаємодія розмиває межу між державними та недержавними формами насильства, між офіційною політикою і спонтанною громадською активністю. </w:t>
      </w:r>
    </w:p>
    <w:p w14:paraId="5FEDF2C3"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«Сучасні інформаційні загрози визначаються як узгоджені дії державних і недержавних акторів, спрямовані на послаблення демократичної системи, розкол суспільства, підрив довіри до інститутів і маніпуляцію інформаційним середовищем. За підходом НАТО, «інформаційні загрози» - це превентивні, навмисні, маніпулятивні і скоординовані дії, які проводять як </w:t>
      </w:r>
      <w:r w:rsidRPr="009C521E">
        <w:rPr>
          <w:rFonts w:ascii="Times New Roman" w:eastAsia="Calibri" w:hAnsi="Times New Roman" w:cs="Times New Roman"/>
          <w:i/>
          <w:iCs/>
          <w:sz w:val="28"/>
          <w:szCs w:val="28"/>
          <w:lang w:val="uk-UA"/>
        </w:rPr>
        <w:t>державні</w:t>
      </w:r>
      <w:r w:rsidRPr="009C521E">
        <w:rPr>
          <w:rFonts w:ascii="Times New Roman" w:eastAsia="Calibri" w:hAnsi="Times New Roman" w:cs="Times New Roman"/>
          <w:sz w:val="28"/>
          <w:szCs w:val="28"/>
          <w:lang w:val="uk-UA"/>
        </w:rPr>
        <w:t xml:space="preserve">, так і </w:t>
      </w:r>
      <w:r w:rsidRPr="009C521E">
        <w:rPr>
          <w:rFonts w:ascii="Times New Roman" w:eastAsia="Calibri" w:hAnsi="Times New Roman" w:cs="Times New Roman"/>
          <w:i/>
          <w:iCs/>
          <w:sz w:val="28"/>
          <w:szCs w:val="28"/>
          <w:lang w:val="uk-UA"/>
        </w:rPr>
        <w:t>недержавні</w:t>
      </w:r>
      <w:r w:rsidRPr="009C521E">
        <w:rPr>
          <w:rFonts w:ascii="Times New Roman" w:eastAsia="Calibri" w:hAnsi="Times New Roman" w:cs="Times New Roman"/>
          <w:sz w:val="28"/>
          <w:szCs w:val="28"/>
          <w:lang w:val="uk-UA"/>
        </w:rPr>
        <w:t xml:space="preserve"> суб’єкти, включно з їх проксі та мережами всередині та поза межами їхньої території» (NATO прагне визначити та протидіяти таким тактикам). Ці загрози включають широкий спектр операцій  від традиційних медіа, через маніпуляцію </w:t>
      </w:r>
      <w:proofErr w:type="spellStart"/>
      <w:r w:rsidRPr="009C521E">
        <w:rPr>
          <w:rFonts w:ascii="Times New Roman" w:eastAsia="Calibri" w:hAnsi="Times New Roman" w:cs="Times New Roman"/>
          <w:sz w:val="28"/>
          <w:szCs w:val="28"/>
          <w:lang w:val="uk-UA"/>
        </w:rPr>
        <w:t>наративами</w:t>
      </w:r>
      <w:proofErr w:type="spellEnd"/>
      <w:r w:rsidRPr="009C521E">
        <w:rPr>
          <w:rFonts w:ascii="Times New Roman" w:eastAsia="Calibri" w:hAnsi="Times New Roman" w:cs="Times New Roman"/>
          <w:sz w:val="28"/>
          <w:szCs w:val="28"/>
          <w:lang w:val="uk-UA"/>
        </w:rPr>
        <w:t xml:space="preserve"> та дезінформацію, до кібератак і економічного тиску, які розмивають межі між воєнними, політичними й інформаційними компонентами гібридної війни. Така координація між державними і недержавними акторами підкреслює, що сучасні інформаційні війни не можуть розглядатися виключно як сфера державних стратегій, оскільки недержавні групи, включно з медіа-платформами, мережами ботів, </w:t>
      </w:r>
      <w:proofErr w:type="spellStart"/>
      <w:r w:rsidRPr="009C521E">
        <w:rPr>
          <w:rFonts w:ascii="Times New Roman" w:eastAsia="Calibri" w:hAnsi="Times New Roman" w:cs="Times New Roman"/>
          <w:sz w:val="28"/>
          <w:szCs w:val="28"/>
          <w:lang w:val="uk-UA"/>
        </w:rPr>
        <w:t>хакерськими</w:t>
      </w:r>
      <w:proofErr w:type="spellEnd"/>
      <w:r w:rsidRPr="009C521E">
        <w:rPr>
          <w:rFonts w:ascii="Times New Roman" w:eastAsia="Calibri" w:hAnsi="Times New Roman" w:cs="Times New Roman"/>
          <w:sz w:val="28"/>
          <w:szCs w:val="28"/>
          <w:lang w:val="uk-UA"/>
        </w:rPr>
        <w:t xml:space="preserve"> угрупованнями та навіть окремими індивідами, також відіграють ключову роль у створенні, поширенні та підсиленні таких загроз. Їхня активність здатна підривати соціальну згоду й демократичний порядок навіть без прямого залучення традиційних збройних сил, роблячи інформаційний простір ареною, де державні і недержавні суб’єкти формують єдину спільну «екосистему впливу» (NATO, 2025).</w:t>
      </w:r>
    </w:p>
    <w:p w14:paraId="46870572"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Таким чином, принципова відмінність між інституційними та неінституційними суб’єктами полягає не лише в рівні формалізації чи легітимності, а й у </w:t>
      </w:r>
      <w:proofErr w:type="spellStart"/>
      <w:r w:rsidRPr="009C521E">
        <w:rPr>
          <w:rFonts w:ascii="Times New Roman" w:eastAsia="Calibri" w:hAnsi="Times New Roman" w:cs="Times New Roman"/>
          <w:sz w:val="28"/>
          <w:szCs w:val="28"/>
          <w:lang w:val="uk-UA"/>
        </w:rPr>
        <w:t>логіці</w:t>
      </w:r>
      <w:proofErr w:type="spellEnd"/>
      <w:r w:rsidRPr="009C521E">
        <w:rPr>
          <w:rFonts w:ascii="Times New Roman" w:eastAsia="Calibri" w:hAnsi="Times New Roman" w:cs="Times New Roman"/>
          <w:sz w:val="28"/>
          <w:szCs w:val="28"/>
          <w:lang w:val="uk-UA"/>
        </w:rPr>
        <w:t xml:space="preserve"> дії: перші орієнтовані на стратегічний контроль і довгостроковий ефект, другі – на тактичну гнучкість, емоційний вплив і </w:t>
      </w:r>
      <w:r w:rsidRPr="009C521E">
        <w:rPr>
          <w:rFonts w:ascii="Times New Roman" w:eastAsia="Calibri" w:hAnsi="Times New Roman" w:cs="Times New Roman"/>
          <w:sz w:val="28"/>
          <w:szCs w:val="28"/>
          <w:lang w:val="uk-UA"/>
        </w:rPr>
        <w:lastRenderedPageBreak/>
        <w:t>мережеву експансію. Саме поєднання цих двох типів акторів перетворює інформаційну війну на системний і тривалий фактор трансформації політичного простору в умовах гібридних конфліктів.</w:t>
      </w:r>
    </w:p>
    <w:p w14:paraId="44E8C1C0"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p>
    <w:p w14:paraId="305DCCB3" w14:textId="77777777" w:rsidR="009C521E" w:rsidRPr="009C521E" w:rsidRDefault="009C521E" w:rsidP="009C521E">
      <w:pPr>
        <w:spacing w:after="0" w:line="360" w:lineRule="auto"/>
        <w:ind w:firstLine="567"/>
        <w:jc w:val="both"/>
        <w:rPr>
          <w:rFonts w:ascii="Times New Roman" w:eastAsia="Calibri" w:hAnsi="Times New Roman" w:cs="Times New Roman"/>
          <w:i/>
          <w:iCs/>
          <w:sz w:val="28"/>
          <w:szCs w:val="28"/>
          <w:lang w:val="uk-UA"/>
        </w:rPr>
      </w:pPr>
      <w:r w:rsidRPr="009C521E">
        <w:rPr>
          <w:rFonts w:ascii="Times New Roman" w:eastAsia="Calibri" w:hAnsi="Times New Roman" w:cs="Times New Roman"/>
          <w:i/>
          <w:iCs/>
          <w:sz w:val="28"/>
          <w:szCs w:val="28"/>
          <w:lang w:val="uk-UA"/>
        </w:rPr>
        <w:t>Висновки до першого розділу</w:t>
      </w:r>
    </w:p>
    <w:p w14:paraId="1982C2BA"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Здійснено теоретико-концептуальний аналіз феномена інформаційної війни як ключового елементу сучасних політичних і безпекових процесів, що дозволило сформувати цілісне уявлення про його сутність, структуру та роль у трансформації характеру конфліктів ХХІ ст.</w:t>
      </w:r>
    </w:p>
    <w:p w14:paraId="487508ED"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По-перше, встановлено, що поняття «інформаційна війна» у сучасному науковому дискурсі не має єдиного універсального визначення, що зумовлено міждисциплінарною природою цього явища та різноманіттям теоретико-методологічних підходів до його осмислення. Політологічні, військово-стратегічні, соціально-комунікативні, психологічні, кібернетичні та системні інтерпретації акцентують увагу на різних об’єктах впливу, інструментах і рівнях реалізації інформаційного протистояння. Водночас узагальнення цих підходів дає підстави розглядати інформаційну війну як цілеспрямований і багаторівневий процес впливу на інформаційний простір, політичні інститути та масову свідомість з метою досягнення стратегічних переваг без обов’язкового застосування прямої збройної сили.</w:t>
      </w:r>
    </w:p>
    <w:p w14:paraId="4CE43E25"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По-друге, у межах аналізу інформаційної війни в контексті гібридної війни доведено, що вона перестає бути допоміжним інструментом воєнного протистояння і набуває статусу одного з базових структурних елементів гібридного конфлікту. Інформаційний вимір забезпечує підготовку, супровід і закріплення результатів гібридних дій, виконуючи інтегративну функцію щодо політичних, економічних, дипломатичних, кібернетичних і військових засобів впливу. Обґрунтовано, що інформаційна війна характеризується превентивністю, асиметричністю, тривалістю та здатністю функціонувати як у мирний час, так і в умовах відкритого збройного протистояння, що робить її перманентним фактором сучасної політики безпеки.</w:t>
      </w:r>
    </w:p>
    <w:p w14:paraId="6B30E74F"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lastRenderedPageBreak/>
        <w:t xml:space="preserve">По-третє, показано, що ключовими особливостями інформаційної війни в гібридних конфліктах є її спрямованість на підрив легітимності державних інститутів, руйнування суспільної довіри, поляризацію соціуму та трансформацію політичної ідентичності. Через контроль над </w:t>
      </w:r>
      <w:proofErr w:type="spellStart"/>
      <w:r w:rsidRPr="009C521E">
        <w:rPr>
          <w:rFonts w:ascii="Times New Roman" w:eastAsia="Calibri" w:hAnsi="Times New Roman" w:cs="Times New Roman"/>
          <w:sz w:val="28"/>
          <w:szCs w:val="28"/>
          <w:lang w:val="uk-UA"/>
        </w:rPr>
        <w:t>наративами</w:t>
      </w:r>
      <w:proofErr w:type="spellEnd"/>
      <w:r w:rsidRPr="009C521E">
        <w:rPr>
          <w:rFonts w:ascii="Times New Roman" w:eastAsia="Calibri" w:hAnsi="Times New Roman" w:cs="Times New Roman"/>
          <w:sz w:val="28"/>
          <w:szCs w:val="28"/>
          <w:lang w:val="uk-UA"/>
        </w:rPr>
        <w:t>, маніпуляцію інформаційними потоками та використання цифрових і медійних технологій інформаційна війна формує альтернативні інтерпретації реальності, що ускладнює міжнародно-правову кваліфікацію агресії та обмежує можливості колективної відповіді з боку міжнародної спільноти.</w:t>
      </w:r>
    </w:p>
    <w:p w14:paraId="4E26A1AF"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По-четверте,   обґрунтовано доцільність поділу суб’єктів інформаційних війн на інституційні та неінституційні. Інституційні суб’єкти діють у межах формалізованих політико-правових структур, мають легітимні повноваження та доступ до значних ресурсів, що дозволяє їм здійснювати стратегічно скоординовані інформаційні кампанії. Неінституційні суб’єкти, навпаки, характеризуються високою гнучкістю, мережевою природою та складністю атрибуції, що створює ефект правдоподібного заперечення і значно підвищує ефективність інформаційного впливу в умовах гібридних конфліктів. Доведено, що у сучасних інформаційних війнах ці дві групи акторів не </w:t>
      </w:r>
      <w:proofErr w:type="spellStart"/>
      <w:r w:rsidRPr="009C521E">
        <w:rPr>
          <w:rFonts w:ascii="Times New Roman" w:eastAsia="Calibri" w:hAnsi="Times New Roman" w:cs="Times New Roman"/>
          <w:sz w:val="28"/>
          <w:szCs w:val="28"/>
          <w:lang w:val="uk-UA"/>
        </w:rPr>
        <w:t>протистоять</w:t>
      </w:r>
      <w:proofErr w:type="spellEnd"/>
      <w:r w:rsidRPr="009C521E">
        <w:rPr>
          <w:rFonts w:ascii="Times New Roman" w:eastAsia="Calibri" w:hAnsi="Times New Roman" w:cs="Times New Roman"/>
          <w:sz w:val="28"/>
          <w:szCs w:val="28"/>
          <w:lang w:val="uk-UA"/>
        </w:rPr>
        <w:t xml:space="preserve"> одна одній, а формують комплементарну модель, у межах якої стратегічні </w:t>
      </w:r>
      <w:proofErr w:type="spellStart"/>
      <w:r w:rsidRPr="009C521E">
        <w:rPr>
          <w:rFonts w:ascii="Times New Roman" w:eastAsia="Calibri" w:hAnsi="Times New Roman" w:cs="Times New Roman"/>
          <w:sz w:val="28"/>
          <w:szCs w:val="28"/>
          <w:lang w:val="uk-UA"/>
        </w:rPr>
        <w:t>наративи</w:t>
      </w:r>
      <w:proofErr w:type="spellEnd"/>
      <w:r w:rsidRPr="009C521E">
        <w:rPr>
          <w:rFonts w:ascii="Times New Roman" w:eastAsia="Calibri" w:hAnsi="Times New Roman" w:cs="Times New Roman"/>
          <w:sz w:val="28"/>
          <w:szCs w:val="28"/>
          <w:lang w:val="uk-UA"/>
        </w:rPr>
        <w:t xml:space="preserve"> інституційних суб’єктів поширюються, </w:t>
      </w:r>
      <w:proofErr w:type="spellStart"/>
      <w:r w:rsidRPr="009C521E">
        <w:rPr>
          <w:rFonts w:ascii="Times New Roman" w:eastAsia="Calibri" w:hAnsi="Times New Roman" w:cs="Times New Roman"/>
          <w:sz w:val="28"/>
          <w:szCs w:val="28"/>
          <w:lang w:val="uk-UA"/>
        </w:rPr>
        <w:t>радикалізуються</w:t>
      </w:r>
      <w:proofErr w:type="spellEnd"/>
      <w:r w:rsidRPr="009C521E">
        <w:rPr>
          <w:rFonts w:ascii="Times New Roman" w:eastAsia="Calibri" w:hAnsi="Times New Roman" w:cs="Times New Roman"/>
          <w:sz w:val="28"/>
          <w:szCs w:val="28"/>
          <w:lang w:val="uk-UA"/>
        </w:rPr>
        <w:t xml:space="preserve"> або маскуються за допомогою неінституційних мереж.</w:t>
      </w:r>
    </w:p>
    <w:p w14:paraId="3B158447"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 </w:t>
      </w:r>
    </w:p>
    <w:p w14:paraId="43805921"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 </w:t>
      </w:r>
    </w:p>
    <w:p w14:paraId="2DE82FD0" w14:textId="77777777" w:rsidR="009C521E" w:rsidRPr="009C521E" w:rsidRDefault="009C521E" w:rsidP="009C521E">
      <w:pPr>
        <w:spacing w:after="0" w:line="360" w:lineRule="auto"/>
        <w:ind w:firstLine="567"/>
        <w:jc w:val="both"/>
        <w:rPr>
          <w:rFonts w:ascii="Times New Roman" w:eastAsia="Calibri" w:hAnsi="Times New Roman" w:cs="Times New Roman"/>
          <w:sz w:val="28"/>
          <w:szCs w:val="28"/>
          <w:lang w:val="uk-UA"/>
        </w:rPr>
      </w:pPr>
      <w:r w:rsidRPr="009C521E">
        <w:rPr>
          <w:rFonts w:ascii="Times New Roman" w:eastAsia="Calibri" w:hAnsi="Times New Roman" w:cs="Times New Roman"/>
          <w:sz w:val="28"/>
          <w:szCs w:val="28"/>
          <w:lang w:val="uk-UA"/>
        </w:rPr>
        <w:t xml:space="preserve"> </w:t>
      </w:r>
    </w:p>
    <w:p w14:paraId="77BC7340" w14:textId="77777777" w:rsidR="00920557" w:rsidRPr="00112B82" w:rsidRDefault="00920557">
      <w:pPr>
        <w:rPr>
          <w:rFonts w:ascii="Times New Roman" w:hAnsi="Times New Roman" w:cs="Times New Roman"/>
          <w:sz w:val="28"/>
          <w:szCs w:val="28"/>
          <w:lang w:val="uk-UA"/>
        </w:rPr>
      </w:pPr>
    </w:p>
    <w:p w14:paraId="277FA294" w14:textId="77777777" w:rsidR="00112B82" w:rsidRPr="00112B82" w:rsidRDefault="00112B82">
      <w:pPr>
        <w:rPr>
          <w:rFonts w:ascii="Times New Roman" w:hAnsi="Times New Roman" w:cs="Times New Roman"/>
          <w:sz w:val="28"/>
          <w:szCs w:val="28"/>
          <w:lang w:val="uk-UA"/>
        </w:rPr>
      </w:pPr>
    </w:p>
    <w:p w14:paraId="41E0B536" w14:textId="77777777" w:rsidR="00112B82" w:rsidRPr="00112B82" w:rsidRDefault="00112B82">
      <w:pPr>
        <w:rPr>
          <w:rFonts w:ascii="Times New Roman" w:hAnsi="Times New Roman" w:cs="Times New Roman"/>
          <w:sz w:val="28"/>
          <w:szCs w:val="28"/>
          <w:lang w:val="uk-UA"/>
        </w:rPr>
      </w:pPr>
    </w:p>
    <w:p w14:paraId="35FC9648" w14:textId="77777777" w:rsidR="00112B82" w:rsidRPr="00112B82" w:rsidRDefault="00112B82">
      <w:pPr>
        <w:rPr>
          <w:rFonts w:ascii="Times New Roman" w:hAnsi="Times New Roman" w:cs="Times New Roman"/>
          <w:sz w:val="28"/>
          <w:szCs w:val="28"/>
          <w:lang w:val="uk-UA"/>
        </w:rPr>
      </w:pPr>
    </w:p>
    <w:p w14:paraId="3D334380" w14:textId="77777777" w:rsidR="00112B82" w:rsidRPr="00112B82" w:rsidRDefault="00112B82">
      <w:pPr>
        <w:rPr>
          <w:rFonts w:ascii="Times New Roman" w:hAnsi="Times New Roman" w:cs="Times New Roman"/>
          <w:sz w:val="28"/>
          <w:szCs w:val="28"/>
          <w:lang w:val="uk-UA"/>
        </w:rPr>
      </w:pPr>
    </w:p>
    <w:p w14:paraId="16AC806C" w14:textId="77777777" w:rsidR="00112B82" w:rsidRPr="00112B82" w:rsidRDefault="00112B82">
      <w:pPr>
        <w:rPr>
          <w:rFonts w:ascii="Times New Roman" w:hAnsi="Times New Roman" w:cs="Times New Roman"/>
          <w:sz w:val="28"/>
          <w:szCs w:val="28"/>
          <w:lang w:val="uk-UA"/>
        </w:rPr>
      </w:pPr>
    </w:p>
    <w:p w14:paraId="68281A82" w14:textId="77777777" w:rsidR="00112B82" w:rsidRPr="00112B82" w:rsidRDefault="00112B82">
      <w:pPr>
        <w:rPr>
          <w:rFonts w:ascii="Times New Roman" w:hAnsi="Times New Roman" w:cs="Times New Roman"/>
          <w:sz w:val="28"/>
          <w:szCs w:val="28"/>
          <w:lang w:val="uk-UA"/>
        </w:rPr>
      </w:pPr>
    </w:p>
    <w:p w14:paraId="2900A546"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lastRenderedPageBreak/>
        <w:t>РОЗДІЛ 2</w:t>
      </w:r>
    </w:p>
    <w:p w14:paraId="18D125E1"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АРХІТЕКТОНІКА ІНФОРМАЦІЙНОЇ ВІЙНИ</w:t>
      </w:r>
    </w:p>
    <w:p w14:paraId="2AA6EC1A"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p>
    <w:p w14:paraId="60BC603C"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2.1. Засоби інформаційної війни: інструментальний рівень впливу</w:t>
      </w:r>
    </w:p>
    <w:p w14:paraId="35C4BFE1"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p>
    <w:p w14:paraId="5801EBA9"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У структурі інформаційної війни засоби впливу посідають центральне місце, оскільки саме через них реалізується практичний, інструментальний вимір інформаційного протистояння. На відміну від концептуально-теоретичних аспектів, які окреслюють сутність і логіку інформаційної війни, інструментальний рівень відображає конкретні технології, канали та методи, за допомогою яких здійснюється вплив на інформаційний простір, політичні інститути та масову свідомість. У сучасних умовах ці засоби набувають дедалі більшої складності, варіативності та адаптивності, що зумовлено розвитком цифрових технологій і трансформацією комунікаційних практик.</w:t>
      </w:r>
    </w:p>
    <w:p w14:paraId="5CBA92D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Для більш наочного та глибокого розуміння інструментального рівня впливу в межах сучасної інформаційної війни необхідним є системний аналіз та структуризація ключових засобів, що використовуються для маніпулювання інформаційним простором, впливу на масову свідомість, дестабілізації політичної ситуації та підриву національної безпеки. Різноманіття форм, у яких реалізуються ці інструменти, зумовлене як розвитком цифрових технологій, так і трансформацією соціальних комунікацій, що сприяє появі нових форм інформаційної агресії. У зв’язку з цим особливої актуальності набуває класифікація засобів інформаційної війни за критеріями каналів поширення, цільового спрямування, функціонального навантаження та прикладного впровадження. У наведеній нижче таблиці узагальнено основні типи інформаційного впливу, які активно використовуються у сучасних конфліктах гібридного типу. Представлена інформація дає змогу комплексно оцінити багатовимірну природу інформаційної агресії, визначити загрози, що виникають унаслідок її реалізації, а також прослідкувати логіку еволюції засобів </w:t>
      </w:r>
      <w:r w:rsidRPr="00B9696B">
        <w:rPr>
          <w:rFonts w:ascii="Times New Roman" w:eastAsia="Calibri" w:hAnsi="Times New Roman" w:cs="Times New Roman"/>
          <w:sz w:val="28"/>
          <w:szCs w:val="28"/>
          <w:lang w:val="uk-UA"/>
        </w:rPr>
        <w:lastRenderedPageBreak/>
        <w:t xml:space="preserve">інформаційної боротьби під впливом </w:t>
      </w:r>
      <w:proofErr w:type="spellStart"/>
      <w:r w:rsidRPr="00B9696B">
        <w:rPr>
          <w:rFonts w:ascii="Times New Roman" w:eastAsia="Calibri" w:hAnsi="Times New Roman" w:cs="Times New Roman"/>
          <w:sz w:val="28"/>
          <w:szCs w:val="28"/>
          <w:lang w:val="uk-UA"/>
        </w:rPr>
        <w:t>цифровізації</w:t>
      </w:r>
      <w:proofErr w:type="spellEnd"/>
      <w:r w:rsidRPr="00B9696B">
        <w:rPr>
          <w:rFonts w:ascii="Times New Roman" w:eastAsia="Calibri" w:hAnsi="Times New Roman" w:cs="Times New Roman"/>
          <w:sz w:val="28"/>
          <w:szCs w:val="28"/>
          <w:lang w:val="uk-UA"/>
        </w:rPr>
        <w:t>, кібернетизації та зростання ролі соціальних мереж у формуванні громадської думки.</w:t>
      </w:r>
    </w:p>
    <w:p w14:paraId="7C9FA016"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1906" w:h="16838"/>
          <w:pgMar w:top="850" w:right="850" w:bottom="850" w:left="1417" w:header="708" w:footer="708" w:gutter="0"/>
          <w:cols w:space="720"/>
        </w:sectPr>
      </w:pPr>
    </w:p>
    <w:tbl>
      <w:tblPr>
        <w:tblStyle w:val="100"/>
        <w:tblW w:w="0" w:type="auto"/>
        <w:tblInd w:w="0" w:type="dxa"/>
        <w:tblLook w:val="04A0" w:firstRow="1" w:lastRow="0" w:firstColumn="1" w:lastColumn="0" w:noHBand="0" w:noVBand="1"/>
      </w:tblPr>
      <w:tblGrid>
        <w:gridCol w:w="2547"/>
        <w:gridCol w:w="4111"/>
        <w:gridCol w:w="4110"/>
        <w:gridCol w:w="4360"/>
      </w:tblGrid>
      <w:tr w:rsidR="00B9696B" w:rsidRPr="00B9696B" w14:paraId="4CBAE8A5" w14:textId="77777777">
        <w:tc>
          <w:tcPr>
            <w:tcW w:w="2547" w:type="dxa"/>
            <w:tcBorders>
              <w:top w:val="single" w:sz="4" w:space="0" w:color="auto"/>
              <w:left w:val="single" w:sz="4" w:space="0" w:color="auto"/>
              <w:bottom w:val="single" w:sz="4" w:space="0" w:color="auto"/>
              <w:right w:val="single" w:sz="4" w:space="0" w:color="auto"/>
            </w:tcBorders>
          </w:tcPr>
          <w:p w14:paraId="12CD5A5D" w14:textId="77777777" w:rsidR="00B9696B" w:rsidRPr="00B9696B" w:rsidRDefault="00B9696B" w:rsidP="00B9696B">
            <w:pPr>
              <w:spacing w:line="360" w:lineRule="auto"/>
              <w:jc w:val="center"/>
              <w:rPr>
                <w:rFonts w:ascii="Times New Roman" w:hAnsi="Times New Roman"/>
                <w:b/>
                <w:bCs/>
              </w:rPr>
            </w:pPr>
          </w:p>
          <w:p w14:paraId="6B106AB0" w14:textId="77777777" w:rsidR="00B9696B" w:rsidRPr="00B9696B" w:rsidRDefault="00B9696B" w:rsidP="00B9696B">
            <w:pPr>
              <w:spacing w:line="360" w:lineRule="auto"/>
              <w:jc w:val="center"/>
              <w:rPr>
                <w:rFonts w:ascii="Times New Roman" w:hAnsi="Times New Roman"/>
                <w:b/>
                <w:bCs/>
                <w:sz w:val="28"/>
                <w:szCs w:val="28"/>
              </w:rPr>
            </w:pPr>
            <w:r w:rsidRPr="00B9696B">
              <w:rPr>
                <w:rFonts w:ascii="Times New Roman" w:hAnsi="Times New Roman"/>
                <w:b/>
                <w:bCs/>
                <w:sz w:val="28"/>
                <w:szCs w:val="28"/>
              </w:rPr>
              <w:t>Засіб впливу</w:t>
            </w:r>
          </w:p>
          <w:p w14:paraId="6FD9D806" w14:textId="77777777" w:rsidR="00B9696B" w:rsidRPr="00B9696B" w:rsidRDefault="00B9696B" w:rsidP="00B9696B">
            <w:pPr>
              <w:spacing w:line="360" w:lineRule="auto"/>
              <w:jc w:val="center"/>
              <w:rPr>
                <w:rFonts w:ascii="Times New Roman" w:hAnsi="Times New Roman"/>
              </w:rPr>
            </w:pPr>
          </w:p>
        </w:tc>
        <w:tc>
          <w:tcPr>
            <w:tcW w:w="4111" w:type="dxa"/>
            <w:tcBorders>
              <w:top w:val="single" w:sz="4" w:space="0" w:color="auto"/>
              <w:left w:val="single" w:sz="4" w:space="0" w:color="auto"/>
              <w:bottom w:val="single" w:sz="4" w:space="0" w:color="auto"/>
              <w:right w:val="single" w:sz="4" w:space="0" w:color="auto"/>
            </w:tcBorders>
          </w:tcPr>
          <w:p w14:paraId="13414236" w14:textId="77777777" w:rsidR="00B9696B" w:rsidRPr="00B9696B" w:rsidRDefault="00B9696B" w:rsidP="00B9696B">
            <w:pPr>
              <w:spacing w:line="360" w:lineRule="auto"/>
              <w:jc w:val="center"/>
              <w:rPr>
                <w:rFonts w:ascii="Times New Roman" w:hAnsi="Times New Roman"/>
                <w:b/>
                <w:bCs/>
              </w:rPr>
            </w:pPr>
          </w:p>
          <w:p w14:paraId="4995D7F9" w14:textId="77777777" w:rsidR="00B9696B" w:rsidRPr="00B9696B" w:rsidRDefault="00B9696B" w:rsidP="00B9696B">
            <w:pPr>
              <w:spacing w:line="360" w:lineRule="auto"/>
              <w:jc w:val="center"/>
              <w:rPr>
                <w:rFonts w:ascii="Times New Roman" w:hAnsi="Times New Roman"/>
              </w:rPr>
            </w:pPr>
            <w:r w:rsidRPr="00B9696B">
              <w:rPr>
                <w:rFonts w:ascii="Times New Roman" w:hAnsi="Times New Roman"/>
                <w:b/>
                <w:bCs/>
                <w:sz w:val="28"/>
                <w:szCs w:val="28"/>
              </w:rPr>
              <w:t>Канали реалізації</w:t>
            </w:r>
          </w:p>
        </w:tc>
        <w:tc>
          <w:tcPr>
            <w:tcW w:w="4110" w:type="dxa"/>
            <w:tcBorders>
              <w:top w:val="single" w:sz="4" w:space="0" w:color="auto"/>
              <w:left w:val="single" w:sz="4" w:space="0" w:color="auto"/>
              <w:bottom w:val="single" w:sz="4" w:space="0" w:color="auto"/>
              <w:right w:val="single" w:sz="4" w:space="0" w:color="auto"/>
            </w:tcBorders>
          </w:tcPr>
          <w:p w14:paraId="148B5ACE" w14:textId="77777777" w:rsidR="00B9696B" w:rsidRPr="00B9696B" w:rsidRDefault="00B9696B" w:rsidP="00B9696B">
            <w:pPr>
              <w:spacing w:line="360" w:lineRule="auto"/>
              <w:jc w:val="center"/>
              <w:rPr>
                <w:rFonts w:ascii="Times New Roman" w:hAnsi="Times New Roman"/>
                <w:b/>
                <w:bCs/>
              </w:rPr>
            </w:pPr>
          </w:p>
          <w:p w14:paraId="4127412A" w14:textId="77777777" w:rsidR="00B9696B" w:rsidRPr="00B9696B" w:rsidRDefault="00B9696B" w:rsidP="00B9696B">
            <w:pPr>
              <w:spacing w:line="360" w:lineRule="auto"/>
              <w:jc w:val="center"/>
              <w:rPr>
                <w:rFonts w:ascii="Times New Roman" w:hAnsi="Times New Roman"/>
              </w:rPr>
            </w:pPr>
            <w:r w:rsidRPr="00B9696B">
              <w:rPr>
                <w:rFonts w:ascii="Times New Roman" w:hAnsi="Times New Roman"/>
                <w:b/>
                <w:bCs/>
                <w:sz w:val="28"/>
                <w:szCs w:val="28"/>
              </w:rPr>
              <w:t>Основні цілі</w:t>
            </w:r>
          </w:p>
        </w:tc>
        <w:tc>
          <w:tcPr>
            <w:tcW w:w="4360" w:type="dxa"/>
            <w:tcBorders>
              <w:top w:val="single" w:sz="4" w:space="0" w:color="auto"/>
              <w:left w:val="single" w:sz="4" w:space="0" w:color="auto"/>
              <w:bottom w:val="single" w:sz="4" w:space="0" w:color="auto"/>
              <w:right w:val="single" w:sz="4" w:space="0" w:color="auto"/>
            </w:tcBorders>
          </w:tcPr>
          <w:p w14:paraId="19FBC82B" w14:textId="77777777" w:rsidR="00B9696B" w:rsidRPr="00B9696B" w:rsidRDefault="00B9696B" w:rsidP="00B9696B">
            <w:pPr>
              <w:spacing w:line="360" w:lineRule="auto"/>
              <w:jc w:val="center"/>
              <w:rPr>
                <w:rFonts w:ascii="Times New Roman" w:hAnsi="Times New Roman"/>
                <w:b/>
                <w:bCs/>
              </w:rPr>
            </w:pPr>
          </w:p>
          <w:p w14:paraId="6B3AE047" w14:textId="77777777" w:rsidR="00B9696B" w:rsidRPr="00B9696B" w:rsidRDefault="00B9696B" w:rsidP="00B9696B">
            <w:pPr>
              <w:spacing w:line="360" w:lineRule="auto"/>
              <w:jc w:val="center"/>
              <w:rPr>
                <w:rFonts w:ascii="Times New Roman" w:hAnsi="Times New Roman"/>
              </w:rPr>
            </w:pPr>
            <w:r w:rsidRPr="00B9696B">
              <w:rPr>
                <w:rFonts w:ascii="Times New Roman" w:hAnsi="Times New Roman"/>
                <w:b/>
                <w:bCs/>
                <w:sz w:val="28"/>
                <w:szCs w:val="28"/>
              </w:rPr>
              <w:t>Приклади дій</w:t>
            </w:r>
          </w:p>
        </w:tc>
      </w:tr>
      <w:tr w:rsidR="00B9696B" w:rsidRPr="00B9696B" w14:paraId="073435F8" w14:textId="77777777">
        <w:tc>
          <w:tcPr>
            <w:tcW w:w="2547" w:type="dxa"/>
            <w:tcBorders>
              <w:top w:val="single" w:sz="4" w:space="0" w:color="auto"/>
              <w:left w:val="single" w:sz="4" w:space="0" w:color="auto"/>
              <w:bottom w:val="single" w:sz="4" w:space="0" w:color="auto"/>
              <w:right w:val="single" w:sz="4" w:space="0" w:color="auto"/>
            </w:tcBorders>
            <w:hideMark/>
          </w:tcPr>
          <w:p w14:paraId="397BEEA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Традиційні медіа</w:t>
            </w:r>
          </w:p>
        </w:tc>
        <w:tc>
          <w:tcPr>
            <w:tcW w:w="4111" w:type="dxa"/>
            <w:tcBorders>
              <w:top w:val="single" w:sz="4" w:space="0" w:color="auto"/>
              <w:left w:val="single" w:sz="4" w:space="0" w:color="auto"/>
              <w:bottom w:val="single" w:sz="4" w:space="0" w:color="auto"/>
              <w:right w:val="single" w:sz="4" w:space="0" w:color="auto"/>
            </w:tcBorders>
            <w:hideMark/>
          </w:tcPr>
          <w:p w14:paraId="627FB8B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Телебачення, радіо, преса, онлайн-ЗМІ</w:t>
            </w:r>
          </w:p>
        </w:tc>
        <w:tc>
          <w:tcPr>
            <w:tcW w:w="4110" w:type="dxa"/>
            <w:tcBorders>
              <w:top w:val="single" w:sz="4" w:space="0" w:color="auto"/>
              <w:left w:val="single" w:sz="4" w:space="0" w:color="auto"/>
              <w:bottom w:val="single" w:sz="4" w:space="0" w:color="auto"/>
              <w:right w:val="single" w:sz="4" w:space="0" w:color="auto"/>
            </w:tcBorders>
            <w:hideMark/>
          </w:tcPr>
          <w:p w14:paraId="58DF015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Формування громадської думки, створення </w:t>
            </w:r>
            <w:proofErr w:type="spellStart"/>
            <w:r w:rsidRPr="00B9696B">
              <w:rPr>
                <w:rFonts w:ascii="Times New Roman" w:hAnsi="Times New Roman"/>
                <w:sz w:val="28"/>
                <w:szCs w:val="28"/>
              </w:rPr>
              <w:t>наративів</w:t>
            </w:r>
            <w:proofErr w:type="spellEnd"/>
          </w:p>
        </w:tc>
        <w:tc>
          <w:tcPr>
            <w:tcW w:w="4360" w:type="dxa"/>
            <w:tcBorders>
              <w:top w:val="single" w:sz="4" w:space="0" w:color="auto"/>
              <w:left w:val="single" w:sz="4" w:space="0" w:color="auto"/>
              <w:bottom w:val="single" w:sz="4" w:space="0" w:color="auto"/>
              <w:right w:val="single" w:sz="4" w:space="0" w:color="auto"/>
            </w:tcBorders>
            <w:hideMark/>
          </w:tcPr>
          <w:p w14:paraId="7E43B99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Одностороннє висвітлення подій, повторення вигідних меседжів</w:t>
            </w:r>
          </w:p>
        </w:tc>
      </w:tr>
      <w:tr w:rsidR="00B9696B" w:rsidRPr="00B9696B" w14:paraId="493A5849" w14:textId="77777777">
        <w:tc>
          <w:tcPr>
            <w:tcW w:w="2547" w:type="dxa"/>
            <w:tcBorders>
              <w:top w:val="single" w:sz="4" w:space="0" w:color="auto"/>
              <w:left w:val="single" w:sz="4" w:space="0" w:color="auto"/>
              <w:bottom w:val="single" w:sz="4" w:space="0" w:color="auto"/>
              <w:right w:val="single" w:sz="4" w:space="0" w:color="auto"/>
            </w:tcBorders>
            <w:hideMark/>
          </w:tcPr>
          <w:p w14:paraId="790729A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Соціальні мережі та платформи</w:t>
            </w:r>
          </w:p>
        </w:tc>
        <w:tc>
          <w:tcPr>
            <w:tcW w:w="4111" w:type="dxa"/>
            <w:tcBorders>
              <w:top w:val="single" w:sz="4" w:space="0" w:color="auto"/>
              <w:left w:val="single" w:sz="4" w:space="0" w:color="auto"/>
              <w:bottom w:val="single" w:sz="4" w:space="0" w:color="auto"/>
              <w:right w:val="single" w:sz="4" w:space="0" w:color="auto"/>
            </w:tcBorders>
            <w:hideMark/>
          </w:tcPr>
          <w:p w14:paraId="22D60593"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Facebook</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YouTube</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Telegram</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TikTok</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07A08F7A"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Таргетований</w:t>
            </w:r>
            <w:proofErr w:type="spellEnd"/>
            <w:r w:rsidRPr="00B9696B">
              <w:rPr>
                <w:rFonts w:ascii="Times New Roman" w:hAnsi="Times New Roman"/>
                <w:sz w:val="28"/>
                <w:szCs w:val="28"/>
              </w:rPr>
              <w:t xml:space="preserve"> вплив, створення «</w:t>
            </w:r>
            <w:proofErr w:type="spellStart"/>
            <w:r w:rsidRPr="00B9696B">
              <w:rPr>
                <w:rFonts w:ascii="Times New Roman" w:hAnsi="Times New Roman"/>
                <w:sz w:val="28"/>
                <w:szCs w:val="28"/>
              </w:rPr>
              <w:t>інфопузирів</w:t>
            </w:r>
            <w:proofErr w:type="spellEnd"/>
            <w:r w:rsidRPr="00B9696B">
              <w:rPr>
                <w:rFonts w:ascii="Times New Roman" w:hAnsi="Times New Roman"/>
                <w:sz w:val="28"/>
                <w:szCs w:val="28"/>
              </w:rPr>
              <w:t>», радикалізація</w:t>
            </w:r>
          </w:p>
        </w:tc>
        <w:tc>
          <w:tcPr>
            <w:tcW w:w="4360" w:type="dxa"/>
            <w:tcBorders>
              <w:top w:val="single" w:sz="4" w:space="0" w:color="auto"/>
              <w:left w:val="single" w:sz="4" w:space="0" w:color="auto"/>
              <w:bottom w:val="single" w:sz="4" w:space="0" w:color="auto"/>
              <w:right w:val="single" w:sz="4" w:space="0" w:color="auto"/>
            </w:tcBorders>
            <w:hideMark/>
          </w:tcPr>
          <w:p w14:paraId="35AD023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Алгоритмічне просування контенту, боти, маніпулятивні відео</w:t>
            </w:r>
          </w:p>
        </w:tc>
      </w:tr>
      <w:tr w:rsidR="00B9696B" w:rsidRPr="00B9696B" w14:paraId="11B6822D" w14:textId="77777777">
        <w:tc>
          <w:tcPr>
            <w:tcW w:w="2547" w:type="dxa"/>
            <w:tcBorders>
              <w:top w:val="single" w:sz="4" w:space="0" w:color="auto"/>
              <w:left w:val="single" w:sz="4" w:space="0" w:color="auto"/>
              <w:bottom w:val="single" w:sz="4" w:space="0" w:color="auto"/>
              <w:right w:val="single" w:sz="4" w:space="0" w:color="auto"/>
            </w:tcBorders>
            <w:hideMark/>
          </w:tcPr>
          <w:p w14:paraId="5E59C8B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Дезінформація та фейки</w:t>
            </w:r>
          </w:p>
        </w:tc>
        <w:tc>
          <w:tcPr>
            <w:tcW w:w="4111" w:type="dxa"/>
            <w:tcBorders>
              <w:top w:val="single" w:sz="4" w:space="0" w:color="auto"/>
              <w:left w:val="single" w:sz="4" w:space="0" w:color="auto"/>
              <w:bottom w:val="single" w:sz="4" w:space="0" w:color="auto"/>
              <w:right w:val="single" w:sz="4" w:space="0" w:color="auto"/>
            </w:tcBorders>
            <w:hideMark/>
          </w:tcPr>
          <w:p w14:paraId="35766A1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Новинні сайти, соціальні мережі, </w:t>
            </w:r>
            <w:proofErr w:type="spellStart"/>
            <w:r w:rsidRPr="00B9696B">
              <w:rPr>
                <w:rFonts w:ascii="Times New Roman" w:hAnsi="Times New Roman"/>
                <w:sz w:val="28"/>
                <w:szCs w:val="28"/>
              </w:rPr>
              <w:t>мессенджери</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1AD13BD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Підрив довіри, когнітивна дезорієнтація</w:t>
            </w:r>
          </w:p>
        </w:tc>
        <w:tc>
          <w:tcPr>
            <w:tcW w:w="4360" w:type="dxa"/>
            <w:tcBorders>
              <w:top w:val="single" w:sz="4" w:space="0" w:color="auto"/>
              <w:left w:val="single" w:sz="4" w:space="0" w:color="auto"/>
              <w:bottom w:val="single" w:sz="4" w:space="0" w:color="auto"/>
              <w:right w:val="single" w:sz="4" w:space="0" w:color="auto"/>
            </w:tcBorders>
            <w:hideMark/>
          </w:tcPr>
          <w:p w14:paraId="67F088A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Поширення сфабрикованих новин, перекручування фактів</w:t>
            </w:r>
          </w:p>
        </w:tc>
      </w:tr>
      <w:tr w:rsidR="00B9696B" w:rsidRPr="00B9696B" w14:paraId="0E4A9FE2" w14:textId="77777777">
        <w:tc>
          <w:tcPr>
            <w:tcW w:w="2547" w:type="dxa"/>
            <w:tcBorders>
              <w:top w:val="single" w:sz="4" w:space="0" w:color="auto"/>
              <w:left w:val="single" w:sz="4" w:space="0" w:color="auto"/>
              <w:bottom w:val="single" w:sz="4" w:space="0" w:color="auto"/>
              <w:right w:val="single" w:sz="4" w:space="0" w:color="auto"/>
            </w:tcBorders>
            <w:hideMark/>
          </w:tcPr>
          <w:p w14:paraId="21ACAB3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Пропаганда</w:t>
            </w:r>
          </w:p>
        </w:tc>
        <w:tc>
          <w:tcPr>
            <w:tcW w:w="4111" w:type="dxa"/>
            <w:tcBorders>
              <w:top w:val="single" w:sz="4" w:space="0" w:color="auto"/>
              <w:left w:val="single" w:sz="4" w:space="0" w:color="auto"/>
              <w:bottom w:val="single" w:sz="4" w:space="0" w:color="auto"/>
              <w:right w:val="single" w:sz="4" w:space="0" w:color="auto"/>
            </w:tcBorders>
            <w:hideMark/>
          </w:tcPr>
          <w:p w14:paraId="7831905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Медіа, освіта, культура, кіно, реклама</w:t>
            </w:r>
          </w:p>
        </w:tc>
        <w:tc>
          <w:tcPr>
            <w:tcW w:w="4110" w:type="dxa"/>
            <w:tcBorders>
              <w:top w:val="single" w:sz="4" w:space="0" w:color="auto"/>
              <w:left w:val="single" w:sz="4" w:space="0" w:color="auto"/>
              <w:bottom w:val="single" w:sz="4" w:space="0" w:color="auto"/>
              <w:right w:val="single" w:sz="4" w:space="0" w:color="auto"/>
            </w:tcBorders>
            <w:hideMark/>
          </w:tcPr>
          <w:p w14:paraId="207BED6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Систематичне формування ідеології, виправдання агресії</w:t>
            </w:r>
          </w:p>
        </w:tc>
        <w:tc>
          <w:tcPr>
            <w:tcW w:w="4360" w:type="dxa"/>
            <w:tcBorders>
              <w:top w:val="single" w:sz="4" w:space="0" w:color="auto"/>
              <w:left w:val="single" w:sz="4" w:space="0" w:color="auto"/>
              <w:bottom w:val="single" w:sz="4" w:space="0" w:color="auto"/>
              <w:right w:val="single" w:sz="4" w:space="0" w:color="auto"/>
            </w:tcBorders>
            <w:hideMark/>
          </w:tcPr>
          <w:p w14:paraId="4D4FED2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Використання історичних міфів, ідеологем, створення образу «ворога»</w:t>
            </w:r>
          </w:p>
        </w:tc>
      </w:tr>
      <w:tr w:rsidR="00B9696B" w:rsidRPr="00B9696B" w14:paraId="3CFADF0E" w14:textId="77777777">
        <w:tc>
          <w:tcPr>
            <w:tcW w:w="2547" w:type="dxa"/>
            <w:tcBorders>
              <w:top w:val="single" w:sz="4" w:space="0" w:color="auto"/>
              <w:left w:val="single" w:sz="4" w:space="0" w:color="auto"/>
              <w:bottom w:val="single" w:sz="4" w:space="0" w:color="auto"/>
              <w:right w:val="single" w:sz="4" w:space="0" w:color="auto"/>
            </w:tcBorders>
            <w:hideMark/>
          </w:tcPr>
          <w:p w14:paraId="5FE44DF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Психологічні операції</w:t>
            </w:r>
          </w:p>
        </w:tc>
        <w:tc>
          <w:tcPr>
            <w:tcW w:w="4111" w:type="dxa"/>
            <w:tcBorders>
              <w:top w:val="single" w:sz="4" w:space="0" w:color="auto"/>
              <w:left w:val="single" w:sz="4" w:space="0" w:color="auto"/>
              <w:bottom w:val="single" w:sz="4" w:space="0" w:color="auto"/>
              <w:right w:val="single" w:sz="4" w:space="0" w:color="auto"/>
            </w:tcBorders>
            <w:hideMark/>
          </w:tcPr>
          <w:p w14:paraId="54908ED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Аудіовізуальні медіа, </w:t>
            </w:r>
            <w:proofErr w:type="spellStart"/>
            <w:r w:rsidRPr="00B9696B">
              <w:rPr>
                <w:rFonts w:ascii="Times New Roman" w:hAnsi="Times New Roman"/>
                <w:sz w:val="28"/>
                <w:szCs w:val="28"/>
              </w:rPr>
              <w:t>телемарафони</w:t>
            </w:r>
            <w:proofErr w:type="spellEnd"/>
            <w:r w:rsidRPr="00B9696B">
              <w:rPr>
                <w:rFonts w:ascii="Times New Roman" w:hAnsi="Times New Roman"/>
                <w:sz w:val="28"/>
                <w:szCs w:val="28"/>
              </w:rPr>
              <w:t>, кампанії страху</w:t>
            </w:r>
          </w:p>
        </w:tc>
        <w:tc>
          <w:tcPr>
            <w:tcW w:w="4110" w:type="dxa"/>
            <w:tcBorders>
              <w:top w:val="single" w:sz="4" w:space="0" w:color="auto"/>
              <w:left w:val="single" w:sz="4" w:space="0" w:color="auto"/>
              <w:bottom w:val="single" w:sz="4" w:space="0" w:color="auto"/>
              <w:right w:val="single" w:sz="4" w:space="0" w:color="auto"/>
            </w:tcBorders>
            <w:hideMark/>
          </w:tcPr>
          <w:p w14:paraId="48C3D2B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Деморалізація, формування паніки або фальшивої надії</w:t>
            </w:r>
          </w:p>
        </w:tc>
        <w:tc>
          <w:tcPr>
            <w:tcW w:w="4360" w:type="dxa"/>
            <w:tcBorders>
              <w:top w:val="single" w:sz="4" w:space="0" w:color="auto"/>
              <w:left w:val="single" w:sz="4" w:space="0" w:color="auto"/>
              <w:bottom w:val="single" w:sz="4" w:space="0" w:color="auto"/>
              <w:right w:val="single" w:sz="4" w:space="0" w:color="auto"/>
            </w:tcBorders>
            <w:hideMark/>
          </w:tcPr>
          <w:p w14:paraId="1B76F0A6"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Поширення тривожних меседжів, «</w:t>
            </w:r>
            <w:proofErr w:type="spellStart"/>
            <w:r w:rsidRPr="00B9696B">
              <w:rPr>
                <w:rFonts w:ascii="Times New Roman" w:hAnsi="Times New Roman"/>
                <w:sz w:val="28"/>
                <w:szCs w:val="28"/>
              </w:rPr>
              <w:t>вкид</w:t>
            </w:r>
            <w:proofErr w:type="spellEnd"/>
            <w:r w:rsidRPr="00B9696B">
              <w:rPr>
                <w:rFonts w:ascii="Times New Roman" w:hAnsi="Times New Roman"/>
                <w:sz w:val="28"/>
                <w:szCs w:val="28"/>
              </w:rPr>
              <w:t>» про катастрофи, створення ілюзії контролю</w:t>
            </w:r>
          </w:p>
        </w:tc>
      </w:tr>
      <w:tr w:rsidR="00B9696B" w:rsidRPr="00B9696B" w14:paraId="32E7A0FF" w14:textId="77777777">
        <w:tc>
          <w:tcPr>
            <w:tcW w:w="2547" w:type="dxa"/>
            <w:tcBorders>
              <w:top w:val="single" w:sz="4" w:space="0" w:color="auto"/>
              <w:left w:val="single" w:sz="4" w:space="0" w:color="auto"/>
              <w:bottom w:val="single" w:sz="4" w:space="0" w:color="auto"/>
              <w:right w:val="single" w:sz="4" w:space="0" w:color="auto"/>
            </w:tcBorders>
            <w:hideMark/>
          </w:tcPr>
          <w:p w14:paraId="7F4BF240"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b/>
                <w:bCs/>
                <w:sz w:val="28"/>
                <w:szCs w:val="28"/>
              </w:rPr>
              <w:t>Кіберзасоби</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1F997D1C"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Хакерські</w:t>
            </w:r>
            <w:proofErr w:type="spellEnd"/>
            <w:r w:rsidRPr="00B9696B">
              <w:rPr>
                <w:rFonts w:ascii="Times New Roman" w:hAnsi="Times New Roman"/>
                <w:sz w:val="28"/>
                <w:szCs w:val="28"/>
              </w:rPr>
              <w:t xml:space="preserve"> атаки, DDOS, </w:t>
            </w:r>
            <w:proofErr w:type="spellStart"/>
            <w:r w:rsidRPr="00B9696B">
              <w:rPr>
                <w:rFonts w:ascii="Times New Roman" w:hAnsi="Times New Roman"/>
                <w:sz w:val="28"/>
                <w:szCs w:val="28"/>
              </w:rPr>
              <w:t>кібершпигунство</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5E61586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Дестабілізація, символічне підривання довіри до держави</w:t>
            </w:r>
          </w:p>
        </w:tc>
        <w:tc>
          <w:tcPr>
            <w:tcW w:w="4360" w:type="dxa"/>
            <w:tcBorders>
              <w:top w:val="single" w:sz="4" w:space="0" w:color="auto"/>
              <w:left w:val="single" w:sz="4" w:space="0" w:color="auto"/>
              <w:bottom w:val="single" w:sz="4" w:space="0" w:color="auto"/>
              <w:right w:val="single" w:sz="4" w:space="0" w:color="auto"/>
            </w:tcBorders>
            <w:hideMark/>
          </w:tcPr>
          <w:p w14:paraId="5788B72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Злом сайтів держорганів, втручання в реєстри, блокування онлайн-сервісів</w:t>
            </w:r>
          </w:p>
        </w:tc>
      </w:tr>
      <w:tr w:rsidR="00B9696B" w:rsidRPr="00B9696B" w14:paraId="146D14EC" w14:textId="77777777">
        <w:tc>
          <w:tcPr>
            <w:tcW w:w="2547" w:type="dxa"/>
            <w:tcBorders>
              <w:top w:val="single" w:sz="4" w:space="0" w:color="auto"/>
              <w:left w:val="single" w:sz="4" w:space="0" w:color="auto"/>
              <w:bottom w:val="single" w:sz="4" w:space="0" w:color="auto"/>
              <w:right w:val="single" w:sz="4" w:space="0" w:color="auto"/>
            </w:tcBorders>
            <w:hideMark/>
          </w:tcPr>
          <w:p w14:paraId="7B182F3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lastRenderedPageBreak/>
              <w:t>Мережі ботів і тролів</w:t>
            </w:r>
          </w:p>
        </w:tc>
        <w:tc>
          <w:tcPr>
            <w:tcW w:w="4111" w:type="dxa"/>
            <w:tcBorders>
              <w:top w:val="single" w:sz="4" w:space="0" w:color="auto"/>
              <w:left w:val="single" w:sz="4" w:space="0" w:color="auto"/>
              <w:bottom w:val="single" w:sz="4" w:space="0" w:color="auto"/>
              <w:right w:val="single" w:sz="4" w:space="0" w:color="auto"/>
            </w:tcBorders>
            <w:hideMark/>
          </w:tcPr>
          <w:p w14:paraId="69D7AC3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Соцмережі, форуми, коментарі до статей</w:t>
            </w:r>
          </w:p>
        </w:tc>
        <w:tc>
          <w:tcPr>
            <w:tcW w:w="4110" w:type="dxa"/>
            <w:tcBorders>
              <w:top w:val="single" w:sz="4" w:space="0" w:color="auto"/>
              <w:left w:val="single" w:sz="4" w:space="0" w:color="auto"/>
              <w:bottom w:val="single" w:sz="4" w:space="0" w:color="auto"/>
              <w:right w:val="single" w:sz="4" w:space="0" w:color="auto"/>
            </w:tcBorders>
            <w:hideMark/>
          </w:tcPr>
          <w:p w14:paraId="11F5A69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Створення ілюзії підтримки, дискредитація опонентів</w:t>
            </w:r>
          </w:p>
        </w:tc>
        <w:tc>
          <w:tcPr>
            <w:tcW w:w="4360" w:type="dxa"/>
            <w:tcBorders>
              <w:top w:val="single" w:sz="4" w:space="0" w:color="auto"/>
              <w:left w:val="single" w:sz="4" w:space="0" w:color="auto"/>
              <w:bottom w:val="single" w:sz="4" w:space="0" w:color="auto"/>
              <w:right w:val="single" w:sz="4" w:space="0" w:color="auto"/>
            </w:tcBorders>
            <w:hideMark/>
          </w:tcPr>
          <w:p w14:paraId="18050A6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Масове поширення однотипних коментарів, флейм, </w:t>
            </w:r>
            <w:proofErr w:type="spellStart"/>
            <w:r w:rsidRPr="00B9696B">
              <w:rPr>
                <w:rFonts w:ascii="Times New Roman" w:hAnsi="Times New Roman"/>
                <w:sz w:val="28"/>
                <w:szCs w:val="28"/>
              </w:rPr>
              <w:t>хейтерські</w:t>
            </w:r>
            <w:proofErr w:type="spellEnd"/>
            <w:r w:rsidRPr="00B9696B">
              <w:rPr>
                <w:rFonts w:ascii="Times New Roman" w:hAnsi="Times New Roman"/>
                <w:sz w:val="28"/>
                <w:szCs w:val="28"/>
              </w:rPr>
              <w:t xml:space="preserve"> атаки</w:t>
            </w:r>
          </w:p>
        </w:tc>
      </w:tr>
      <w:tr w:rsidR="00B9696B" w:rsidRPr="00B9696B" w14:paraId="29EB892A" w14:textId="77777777">
        <w:tc>
          <w:tcPr>
            <w:tcW w:w="2547" w:type="dxa"/>
            <w:tcBorders>
              <w:top w:val="single" w:sz="4" w:space="0" w:color="auto"/>
              <w:left w:val="single" w:sz="4" w:space="0" w:color="auto"/>
              <w:bottom w:val="single" w:sz="4" w:space="0" w:color="auto"/>
              <w:right w:val="single" w:sz="4" w:space="0" w:color="auto"/>
            </w:tcBorders>
            <w:hideMark/>
          </w:tcPr>
          <w:p w14:paraId="37C84CB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Культурні та гуманітарні засоби</w:t>
            </w:r>
          </w:p>
        </w:tc>
        <w:tc>
          <w:tcPr>
            <w:tcW w:w="4111" w:type="dxa"/>
            <w:tcBorders>
              <w:top w:val="single" w:sz="4" w:space="0" w:color="auto"/>
              <w:left w:val="single" w:sz="4" w:space="0" w:color="auto"/>
              <w:bottom w:val="single" w:sz="4" w:space="0" w:color="auto"/>
              <w:right w:val="single" w:sz="4" w:space="0" w:color="auto"/>
            </w:tcBorders>
            <w:hideMark/>
          </w:tcPr>
          <w:p w14:paraId="1A34F8E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Кіно, музика, ігри, література</w:t>
            </w:r>
          </w:p>
        </w:tc>
        <w:tc>
          <w:tcPr>
            <w:tcW w:w="4110" w:type="dxa"/>
            <w:tcBorders>
              <w:top w:val="single" w:sz="4" w:space="0" w:color="auto"/>
              <w:left w:val="single" w:sz="4" w:space="0" w:color="auto"/>
              <w:bottom w:val="single" w:sz="4" w:space="0" w:color="auto"/>
              <w:right w:val="single" w:sz="4" w:space="0" w:color="auto"/>
            </w:tcBorders>
            <w:hideMark/>
          </w:tcPr>
          <w:p w14:paraId="7D3D94A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Довготривале формування національних/ціннісних кодів</w:t>
            </w:r>
          </w:p>
        </w:tc>
        <w:tc>
          <w:tcPr>
            <w:tcW w:w="4360" w:type="dxa"/>
            <w:tcBorders>
              <w:top w:val="single" w:sz="4" w:space="0" w:color="auto"/>
              <w:left w:val="single" w:sz="4" w:space="0" w:color="auto"/>
              <w:bottom w:val="single" w:sz="4" w:space="0" w:color="auto"/>
              <w:right w:val="single" w:sz="4" w:space="0" w:color="auto"/>
            </w:tcBorders>
            <w:hideMark/>
          </w:tcPr>
          <w:p w14:paraId="3E7BAEB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Пропаганда через серіали, історичні фільми, пісні з політичними підтекстами</w:t>
            </w:r>
          </w:p>
        </w:tc>
      </w:tr>
    </w:tbl>
    <w:p w14:paraId="4BF9D770"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6838" w:h="11906" w:orient="landscape"/>
          <w:pgMar w:top="1417" w:right="850" w:bottom="850" w:left="850" w:header="708" w:footer="708" w:gutter="0"/>
          <w:cols w:space="720"/>
        </w:sectPr>
      </w:pPr>
    </w:p>
    <w:p w14:paraId="4ACAD2F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Одним із базових засобів інформаційної війни традиційно виступають традиційні засоби масової інформації. Телебачення, радіо, друкована преса та онлайн-медіа залишаються потужними каналами формування суспільного порядку денного, інтерпретації подій і конструювання політичних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У межах інформаційної війни медіа використовуються для систематичного повторення вигідних повідомлень, акцентування уваги на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чутливих темах, створення образу ворога та нормалізації насильства або агресії. Контроль над медійним простором дозволяє суб’єкту інформаційної війни не лише транслювати власну позицію, але й витісняти альтернативні інтерпретації з публічного дискурсу. «ЗМІ та ЗМК сьогодні стали найпотужнішим елементом механізму цілеспрямованого конструювання політичних порядків, засобом вибудовування необхідних владі </w:t>
      </w:r>
      <w:proofErr w:type="spellStart"/>
      <w:r w:rsidRPr="00B9696B">
        <w:rPr>
          <w:rFonts w:ascii="Times New Roman" w:eastAsia="Calibri" w:hAnsi="Times New Roman" w:cs="Times New Roman"/>
          <w:sz w:val="28"/>
          <w:szCs w:val="28"/>
          <w:lang w:val="uk-UA"/>
        </w:rPr>
        <w:t>зв’язків</w:t>
      </w:r>
      <w:proofErr w:type="spellEnd"/>
      <w:r w:rsidRPr="00B9696B">
        <w:rPr>
          <w:rFonts w:ascii="Times New Roman" w:eastAsia="Calibri" w:hAnsi="Times New Roman" w:cs="Times New Roman"/>
          <w:sz w:val="28"/>
          <w:szCs w:val="28"/>
          <w:lang w:val="uk-UA"/>
        </w:rPr>
        <w:t xml:space="preserve"> і відносин із громадськістю. Інформація, яка надається ЗМІ, ніколи не буває нейтральною, вона являє собою спроби панівних еліт створити таке зображення дійсності, яке вигідне їм, та “виправдовує” їхню практичну політику, «упаковану» в стереотипні точки зору, що вигідні владі та виносять на передній план лише частину того, що відбувається насправді» (за Проноза, 2020).</w:t>
      </w:r>
    </w:p>
    <w:p w14:paraId="620BD0B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Значну роль у сучасних інформаційних війнах відіграють соціальні мережі та цифрові платформи. Вони забезпечують високу швидкість поширення інформації, широкий охоплення аудиторії та можливість </w:t>
      </w:r>
      <w:proofErr w:type="spellStart"/>
      <w:r w:rsidRPr="00B9696B">
        <w:rPr>
          <w:rFonts w:ascii="Times New Roman" w:eastAsia="Calibri" w:hAnsi="Times New Roman" w:cs="Times New Roman"/>
          <w:sz w:val="28"/>
          <w:szCs w:val="28"/>
          <w:lang w:val="uk-UA"/>
        </w:rPr>
        <w:t>таргетованого</w:t>
      </w:r>
      <w:proofErr w:type="spellEnd"/>
      <w:r w:rsidRPr="00B9696B">
        <w:rPr>
          <w:rFonts w:ascii="Times New Roman" w:eastAsia="Calibri" w:hAnsi="Times New Roman" w:cs="Times New Roman"/>
          <w:sz w:val="28"/>
          <w:szCs w:val="28"/>
          <w:lang w:val="uk-UA"/>
        </w:rPr>
        <w:t xml:space="preserve"> впливу на конкретні соціальні групи. Алгоритмічні механізми формування стрічки новин, рекомендацій і трендів створюють ефект інформаційних «бульбашок», у межах яких користувачі отримують переважно ті повідомлення, що підтверджують їхні вже наявні переконання.  «Російські ЗМІ, працюючи за заздалегідь продуманими інформаційними шаблонами, адаптують зміст своїх повідомлень до особливостей сприйняття цільової аудиторії, формуючи таким чином звичку до конкретної системи координат і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Технології підбору та розміщення контенту у соціальних мережах активно використовуються для посилення сегрегації в медійному полі, створення умов, коли користувач сприймає лише “зручну” для себе інформацію, що унеможливлює об’єктивний аналіз подій» </w:t>
      </w:r>
      <w:r w:rsidRPr="00B9696B">
        <w:rPr>
          <w:rFonts w:ascii="Times New Roman" w:eastAsia="Calibri" w:hAnsi="Times New Roman" w:cs="Times New Roman"/>
          <w:sz w:val="28"/>
          <w:szCs w:val="28"/>
          <w:lang w:val="uk-UA"/>
        </w:rPr>
        <w:lastRenderedPageBreak/>
        <w:t>(</w:t>
      </w:r>
      <w:proofErr w:type="spellStart"/>
      <w:r w:rsidRPr="00B9696B">
        <w:rPr>
          <w:rFonts w:ascii="Times New Roman" w:eastAsia="Calibri" w:hAnsi="Times New Roman" w:cs="Times New Roman"/>
          <w:sz w:val="28"/>
          <w:szCs w:val="28"/>
          <w:lang w:val="uk-UA"/>
        </w:rPr>
        <w:t>Мильченко</w:t>
      </w:r>
      <w:proofErr w:type="spellEnd"/>
      <w:r w:rsidRPr="00B9696B">
        <w:rPr>
          <w:rFonts w:ascii="Times New Roman" w:eastAsia="Calibri" w:hAnsi="Times New Roman" w:cs="Times New Roman"/>
          <w:sz w:val="28"/>
          <w:szCs w:val="28"/>
          <w:lang w:val="uk-UA"/>
        </w:rPr>
        <w:t>, 2021). У контексті інформаційної війни це використовується для посилення поляризації суспільства, радикалізації поглядів і зниження здатності до критичного осмислення інформації.</w:t>
      </w:r>
    </w:p>
    <w:p w14:paraId="7A535399"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Окремим інструментом інформаційної війни є дезінформація та фейкові новини. Вони можуть набувати форми навмисно сфабрикованих повідомлень, маніпулятивного подання фактів або виривання інформації з контексту. </w:t>
      </w:r>
      <w:proofErr w:type="spellStart"/>
      <w:r w:rsidRPr="00B9696B">
        <w:rPr>
          <w:rFonts w:ascii="Times New Roman" w:eastAsia="Calibri" w:hAnsi="Times New Roman" w:cs="Times New Roman"/>
          <w:sz w:val="28"/>
          <w:szCs w:val="28"/>
          <w:lang w:val="uk-UA"/>
        </w:rPr>
        <w:t>Дезінформаційні</w:t>
      </w:r>
      <w:proofErr w:type="spellEnd"/>
      <w:r w:rsidRPr="00B9696B">
        <w:rPr>
          <w:rFonts w:ascii="Times New Roman" w:eastAsia="Calibri" w:hAnsi="Times New Roman" w:cs="Times New Roman"/>
          <w:sz w:val="28"/>
          <w:szCs w:val="28"/>
          <w:lang w:val="uk-UA"/>
        </w:rPr>
        <w:t xml:space="preserve"> кампанії часто мають довгостроковий характер і спрямовані не стільки на переконання аудиторії в конкретній тезі, скільки на підрив довіри до будь-яких джерел інформації. У результаті формується стан когнітивної дезорієнтації, за якого суспільство втрачає здатність відрізняти правдиву інформацію від маніпулятивної. «Аналізуючи низку інтернет-ЗМІ, які є учасниками інформаційної війни на боці Росії, можна побачити, що їх діяльність побудована на поширені несправжньої інформації, так званої “фейкової”, яка покликана дезінформувати як українське, так і російське населення. Така політика російської влади має на меті спричинити недовіру до української влади та суспільства, шукаючи найменшого приводу, щоб облити брудом державу, проти якої проводиться </w:t>
      </w:r>
      <w:proofErr w:type="spellStart"/>
      <w:r w:rsidRPr="00B9696B">
        <w:rPr>
          <w:rFonts w:ascii="Times New Roman" w:eastAsia="Calibri" w:hAnsi="Times New Roman" w:cs="Times New Roman"/>
          <w:sz w:val="28"/>
          <w:szCs w:val="28"/>
          <w:lang w:val="uk-UA"/>
        </w:rPr>
        <w:t>агресорська</w:t>
      </w:r>
      <w:proofErr w:type="spellEnd"/>
      <w:r w:rsidRPr="00B9696B">
        <w:rPr>
          <w:rFonts w:ascii="Times New Roman" w:eastAsia="Calibri" w:hAnsi="Times New Roman" w:cs="Times New Roman"/>
          <w:sz w:val="28"/>
          <w:szCs w:val="28"/>
          <w:lang w:val="uk-UA"/>
        </w:rPr>
        <w:t xml:space="preserve"> діяльність» (</w:t>
      </w:r>
      <w:proofErr w:type="spellStart"/>
      <w:r w:rsidRPr="00B9696B">
        <w:rPr>
          <w:rFonts w:ascii="Times New Roman" w:eastAsia="Calibri" w:hAnsi="Times New Roman" w:cs="Times New Roman"/>
          <w:sz w:val="28"/>
          <w:szCs w:val="28"/>
          <w:lang w:val="uk-UA"/>
        </w:rPr>
        <w:t>Мудра&amp;Cінькова</w:t>
      </w:r>
      <w:proofErr w:type="spellEnd"/>
      <w:r w:rsidRPr="00B9696B">
        <w:rPr>
          <w:rFonts w:ascii="Times New Roman" w:eastAsia="Calibri" w:hAnsi="Times New Roman" w:cs="Times New Roman"/>
          <w:sz w:val="28"/>
          <w:szCs w:val="28"/>
          <w:lang w:val="uk-UA"/>
        </w:rPr>
        <w:t>, 2017)</w:t>
      </w:r>
    </w:p>
    <w:p w14:paraId="69BB013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Важливим засобом інформаційної війни є пропаганда як систематична діяльність із формування ціннісних орієнтацій і моделей політичного мислення. На відміну від разових інформаційних атак, пропаганда функціонує як постійний процес, що інтегрується в освітні, культурні та медійні практики. Вона використовує символи, історичні міфи, ідеологеми та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насичені образи для створення стабільної картини світу, у якій агресивні дії суб’єкта інформаційної війни постають як необхідні, справедливі або оборонні. ««Головним рушієм процесу інформаційної війни є бажання вплинути на цільову аудиторію, аби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підготувати її до зміни моделі поведінки. Російська пропаганда активно експлуатує образ ворога, побудований на історичних образах, стереотипах та ідеологемах, що закріплюються в масовій свідомості систематичним повторенням і нав’язуванням через медіа-канали»» (</w:t>
      </w:r>
      <w:proofErr w:type="spellStart"/>
      <w:r w:rsidRPr="00B9696B">
        <w:rPr>
          <w:rFonts w:ascii="Times New Roman" w:eastAsia="Calibri" w:hAnsi="Times New Roman" w:cs="Times New Roman"/>
          <w:sz w:val="28"/>
          <w:szCs w:val="28"/>
          <w:lang w:val="uk-UA"/>
        </w:rPr>
        <w:t>Мильченко</w:t>
      </w:r>
      <w:proofErr w:type="spellEnd"/>
      <w:r w:rsidRPr="00B9696B">
        <w:rPr>
          <w:rFonts w:ascii="Times New Roman" w:eastAsia="Calibri" w:hAnsi="Times New Roman" w:cs="Times New Roman"/>
          <w:sz w:val="28"/>
          <w:szCs w:val="28"/>
          <w:lang w:val="uk-UA"/>
        </w:rPr>
        <w:t>, 2021).</w:t>
      </w:r>
    </w:p>
    <w:p w14:paraId="462AF69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До інструментів інформаційної війни належать також психологічні операції, спрямовані на вплив на емоційний стан, мотивацію та поведінку індивідів і соціальних груп. Такі операції можуть включати поширення страху, паніки, відчуття безнадійності або, навпаки, штучне формування завищених очікувань і ілюзії контролю над ситуацією. Психологічний вплив особливо ефективний у кризових умовах, коли суспільство перебуває в стані підвищеної тривожності та інформаційної вразливості.</w:t>
      </w:r>
    </w:p>
    <w:p w14:paraId="79430DF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Суттєвим інструментом інформаційної війни в умовах </w:t>
      </w:r>
      <w:proofErr w:type="spellStart"/>
      <w:r w:rsidRPr="00B9696B">
        <w:rPr>
          <w:rFonts w:ascii="Times New Roman" w:eastAsia="Calibri" w:hAnsi="Times New Roman" w:cs="Times New Roman"/>
          <w:sz w:val="28"/>
          <w:szCs w:val="28"/>
          <w:lang w:val="uk-UA"/>
        </w:rPr>
        <w:t>цифровізації</w:t>
      </w:r>
      <w:proofErr w:type="spellEnd"/>
      <w:r w:rsidRPr="00B9696B">
        <w:rPr>
          <w:rFonts w:ascii="Times New Roman" w:eastAsia="Calibri" w:hAnsi="Times New Roman" w:cs="Times New Roman"/>
          <w:sz w:val="28"/>
          <w:szCs w:val="28"/>
          <w:lang w:val="uk-UA"/>
        </w:rPr>
        <w:t xml:space="preserve"> стають </w:t>
      </w:r>
      <w:proofErr w:type="spellStart"/>
      <w:r w:rsidRPr="00B9696B">
        <w:rPr>
          <w:rFonts w:ascii="Times New Roman" w:eastAsia="Calibri" w:hAnsi="Times New Roman" w:cs="Times New Roman"/>
          <w:sz w:val="28"/>
          <w:szCs w:val="28"/>
          <w:lang w:val="uk-UA"/>
        </w:rPr>
        <w:t>кіберзасоби</w:t>
      </w:r>
      <w:proofErr w:type="spellEnd"/>
      <w:r w:rsidRPr="00B9696B">
        <w:rPr>
          <w:rFonts w:ascii="Times New Roman" w:eastAsia="Calibri" w:hAnsi="Times New Roman" w:cs="Times New Roman"/>
          <w:sz w:val="28"/>
          <w:szCs w:val="28"/>
          <w:lang w:val="uk-UA"/>
        </w:rPr>
        <w:t xml:space="preserve">. П. Пробст, </w:t>
      </w:r>
      <w:proofErr w:type="spellStart"/>
      <w:r w:rsidRPr="00B9696B">
        <w:rPr>
          <w:rFonts w:ascii="Times New Roman" w:eastAsia="Calibri" w:hAnsi="Times New Roman" w:cs="Times New Roman"/>
          <w:sz w:val="28"/>
          <w:szCs w:val="28"/>
          <w:lang w:val="uk-UA"/>
        </w:rPr>
        <w:t>віцепрезидент</w:t>
      </w:r>
      <w:proofErr w:type="spellEnd"/>
      <w:r w:rsidRPr="00B9696B">
        <w:rPr>
          <w:rFonts w:ascii="Times New Roman" w:eastAsia="Calibri" w:hAnsi="Times New Roman" w:cs="Times New Roman"/>
          <w:sz w:val="28"/>
          <w:szCs w:val="28"/>
          <w:lang w:val="uk-UA"/>
        </w:rPr>
        <w:t xml:space="preserve"> Інституту вивчення тероризму, зазначає: «Комплексні національні системи являють собою потенційну небезпеку, тому що мають </w:t>
      </w:r>
      <w:proofErr w:type="spellStart"/>
      <w:r w:rsidRPr="00B9696B">
        <w:rPr>
          <w:rFonts w:ascii="Times New Roman" w:eastAsia="Calibri" w:hAnsi="Times New Roman" w:cs="Times New Roman"/>
          <w:sz w:val="28"/>
          <w:szCs w:val="28"/>
          <w:lang w:val="uk-UA"/>
        </w:rPr>
        <w:t>життєво</w:t>
      </w:r>
      <w:proofErr w:type="spellEnd"/>
      <w:r w:rsidRPr="00B9696B">
        <w:rPr>
          <w:rFonts w:ascii="Times New Roman" w:eastAsia="Calibri" w:hAnsi="Times New Roman" w:cs="Times New Roman"/>
          <w:sz w:val="28"/>
          <w:szCs w:val="28"/>
          <w:lang w:val="uk-UA"/>
        </w:rPr>
        <w:t xml:space="preserve"> важливі вузли, удар по яких може призвести до руйнівних наслідків» (за Проноза, 2020). Кібератаки здатні паралізувати інфраструктуру держави, спричинити хаос у системах управління, що створює додатковий тиск на населення в кризових ситуаціях Кібератаки на інформаційні ресурси, державні реєстри, медіа-платформи та критичну інфраструктуру не лише порушують функціонування інформаційних систем, але й мають потужний символічний ефект. Демонстрація вразливості державних інститутів підриває довіру громадян до здатності держави забезпечувати безпеку та контроль над власним інформаційним простором.</w:t>
      </w:r>
    </w:p>
    <w:p w14:paraId="1C7BBA6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Особливе місце серед засобів інформаційної війни посідають мережі ботів, тролів і координованих акаунтів. Вони використовуються для штучного створення ілюзії масової підтримки певних ідей, атак на опонентів, поширення маніпулятивних коментарів і дискредитації альтернативних позицій. Такі інструменти дозволяють масштабувати інформаційний вплив із мінімальними ресурсними витратами та зберігати анонімність суб’єкта атаки.</w:t>
      </w:r>
    </w:p>
    <w:p w14:paraId="51AA32F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Варто також відзначити використання культурних і гуманітарних засобів як інструментів інформаційної війни. Кіно, література, музика, комп’ютерні ігри та популярна культура загалом можуть виконувати функцію довгострокового формування образу «свого» і «чужого», нормалізації агресивних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і легітимації політичних рішень. Через культурні продукти інформаційний вплив </w:t>
      </w:r>
      <w:r w:rsidRPr="00B9696B">
        <w:rPr>
          <w:rFonts w:ascii="Times New Roman" w:eastAsia="Calibri" w:hAnsi="Times New Roman" w:cs="Times New Roman"/>
          <w:sz w:val="28"/>
          <w:szCs w:val="28"/>
          <w:lang w:val="uk-UA"/>
        </w:rPr>
        <w:lastRenderedPageBreak/>
        <w:t xml:space="preserve">набуває менш очевидних, але більш стійких форм. «Культурні індустрії, такі як кінематограф, музика, література, можуть слугувати тривалим інструментом легітимації політичних рішень та нормалізації агресивної політики. У художньому продукті закладаються ідеї, які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закріплюються в колективній свідомості, створюючи стабільну матрицю </w:t>
      </w:r>
      <w:proofErr w:type="spellStart"/>
      <w:r w:rsidRPr="00B9696B">
        <w:rPr>
          <w:rFonts w:ascii="Times New Roman" w:eastAsia="Calibri" w:hAnsi="Times New Roman" w:cs="Times New Roman"/>
          <w:sz w:val="28"/>
          <w:szCs w:val="28"/>
          <w:lang w:val="uk-UA"/>
        </w:rPr>
        <w:t>ідентичностей</w:t>
      </w:r>
      <w:proofErr w:type="spellEnd"/>
      <w:r w:rsidRPr="00B9696B">
        <w:rPr>
          <w:rFonts w:ascii="Times New Roman" w:eastAsia="Calibri" w:hAnsi="Times New Roman" w:cs="Times New Roman"/>
          <w:sz w:val="28"/>
          <w:szCs w:val="28"/>
          <w:lang w:val="uk-UA"/>
        </w:rPr>
        <w:t xml:space="preserve"> і образів «свого» та «чужого», що унеможливлює критичне сприйняття агресії» (</w:t>
      </w:r>
      <w:proofErr w:type="spellStart"/>
      <w:r w:rsidRPr="00B9696B">
        <w:rPr>
          <w:rFonts w:ascii="Times New Roman" w:eastAsia="Calibri" w:hAnsi="Times New Roman" w:cs="Times New Roman"/>
          <w:sz w:val="28"/>
          <w:szCs w:val="28"/>
          <w:lang w:val="uk-UA"/>
        </w:rPr>
        <w:t>Мудра&amp;Cінькова</w:t>
      </w:r>
      <w:proofErr w:type="spellEnd"/>
      <w:r w:rsidRPr="00B9696B">
        <w:rPr>
          <w:rFonts w:ascii="Times New Roman" w:eastAsia="Calibri" w:hAnsi="Times New Roman" w:cs="Times New Roman"/>
          <w:sz w:val="28"/>
          <w:szCs w:val="28"/>
          <w:lang w:val="uk-UA"/>
        </w:rPr>
        <w:t xml:space="preserve">). </w:t>
      </w:r>
    </w:p>
    <w:p w14:paraId="0972271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Таким чином, інструментальний рівень інформаційної війни охоплює широкий спектр засобів від традиційних медіа та пропаганди до </w:t>
      </w:r>
      <w:proofErr w:type="spellStart"/>
      <w:r w:rsidRPr="00B9696B">
        <w:rPr>
          <w:rFonts w:ascii="Times New Roman" w:eastAsia="Calibri" w:hAnsi="Times New Roman" w:cs="Times New Roman"/>
          <w:sz w:val="28"/>
          <w:szCs w:val="28"/>
          <w:lang w:val="uk-UA"/>
        </w:rPr>
        <w:t>кіберінструментів</w:t>
      </w:r>
      <w:proofErr w:type="spellEnd"/>
      <w:r w:rsidRPr="00B9696B">
        <w:rPr>
          <w:rFonts w:ascii="Times New Roman" w:eastAsia="Calibri" w:hAnsi="Times New Roman" w:cs="Times New Roman"/>
          <w:sz w:val="28"/>
          <w:szCs w:val="28"/>
          <w:lang w:val="uk-UA"/>
        </w:rPr>
        <w:t xml:space="preserve"> і психологічних операцій. Їхня ефективність зумовлюється не лише технічними можливостями, але й здатністю інтегруватися в соціокультурний контекст, експлуатувати вразливості суспільства та адаптуватися до змін інформаційного середовища. Усвідомлення </w:t>
      </w:r>
      <w:proofErr w:type="spellStart"/>
      <w:r w:rsidRPr="00B9696B">
        <w:rPr>
          <w:rFonts w:ascii="Times New Roman" w:eastAsia="Calibri" w:hAnsi="Times New Roman" w:cs="Times New Roman"/>
          <w:sz w:val="28"/>
          <w:szCs w:val="28"/>
          <w:lang w:val="uk-UA"/>
        </w:rPr>
        <w:t>багатовимірності</w:t>
      </w:r>
      <w:proofErr w:type="spellEnd"/>
      <w:r w:rsidRPr="00B9696B">
        <w:rPr>
          <w:rFonts w:ascii="Times New Roman" w:eastAsia="Calibri" w:hAnsi="Times New Roman" w:cs="Times New Roman"/>
          <w:sz w:val="28"/>
          <w:szCs w:val="28"/>
          <w:lang w:val="uk-UA"/>
        </w:rPr>
        <w:t xml:space="preserve"> та системності засобів інформаційної війни є необхідною передумовою для подальшого аналізу механізмів інформаційного впливу та розробки ефективних стратегій протидії в умовах сучасних гібридних конфліктів.</w:t>
      </w:r>
    </w:p>
    <w:p w14:paraId="7B53674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1D2756F8" w14:textId="216EDCB6" w:rsidR="00B9696B" w:rsidRPr="00B9696B" w:rsidRDefault="00B9696B" w:rsidP="00112B82">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2.2. Механізми інформаційного впливу: процесуально-когнітивний рівень</w:t>
      </w:r>
    </w:p>
    <w:p w14:paraId="094028F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Для глибшого розуміння природи інформаційної війни важливо не лише ідентифікувати її інструменти, а й проаналізувати механізми, за допомогою яких ці інструменти досягають своєї мети. Саме процесуально-когнітивний рівень дозволяє розкрити логіку проникнення інформаційного впливу у свідомість індивіда, формування нових установок і трансформацію колективного сприйняття дійсності. На відміну від інструментального підходу, що фокусується на «засобах впливу», </w:t>
      </w:r>
      <w:proofErr w:type="spellStart"/>
      <w:r w:rsidRPr="00B9696B">
        <w:rPr>
          <w:rFonts w:ascii="Times New Roman" w:eastAsia="Calibri" w:hAnsi="Times New Roman" w:cs="Times New Roman"/>
          <w:sz w:val="28"/>
          <w:szCs w:val="28"/>
          <w:lang w:val="uk-UA"/>
        </w:rPr>
        <w:t>когнітивно</w:t>
      </w:r>
      <w:proofErr w:type="spellEnd"/>
      <w:r w:rsidRPr="00B9696B">
        <w:rPr>
          <w:rFonts w:ascii="Times New Roman" w:eastAsia="Calibri" w:hAnsi="Times New Roman" w:cs="Times New Roman"/>
          <w:sz w:val="28"/>
          <w:szCs w:val="28"/>
          <w:lang w:val="uk-UA"/>
        </w:rPr>
        <w:t xml:space="preserve">-процесуальний аналіз зосереджується на тому, </w:t>
      </w:r>
      <w:r w:rsidRPr="00B9696B">
        <w:rPr>
          <w:rFonts w:ascii="Times New Roman" w:eastAsia="Calibri" w:hAnsi="Times New Roman" w:cs="Times New Roman"/>
          <w:i/>
          <w:iCs/>
          <w:sz w:val="28"/>
          <w:szCs w:val="28"/>
          <w:lang w:val="uk-UA"/>
        </w:rPr>
        <w:t>як</w:t>
      </w:r>
      <w:r w:rsidRPr="00B9696B">
        <w:rPr>
          <w:rFonts w:ascii="Times New Roman" w:eastAsia="Calibri" w:hAnsi="Times New Roman" w:cs="Times New Roman"/>
          <w:sz w:val="28"/>
          <w:szCs w:val="28"/>
          <w:lang w:val="uk-UA"/>
        </w:rPr>
        <w:t xml:space="preserve"> саме цей вплив реалізується в динаміці  через логіку кампаній, </w:t>
      </w:r>
      <w:proofErr w:type="spellStart"/>
      <w:r w:rsidRPr="00B9696B">
        <w:rPr>
          <w:rFonts w:ascii="Times New Roman" w:eastAsia="Calibri" w:hAnsi="Times New Roman" w:cs="Times New Roman"/>
          <w:sz w:val="28"/>
          <w:szCs w:val="28"/>
          <w:lang w:val="uk-UA"/>
        </w:rPr>
        <w:t>наративне</w:t>
      </w:r>
      <w:proofErr w:type="spellEnd"/>
      <w:r w:rsidRPr="00B9696B">
        <w:rPr>
          <w:rFonts w:ascii="Times New Roman" w:eastAsia="Calibri" w:hAnsi="Times New Roman" w:cs="Times New Roman"/>
          <w:sz w:val="28"/>
          <w:szCs w:val="28"/>
          <w:lang w:val="uk-UA"/>
        </w:rPr>
        <w:t xml:space="preserve"> програмування, емоційний резонанс, </w:t>
      </w:r>
      <w:proofErr w:type="spellStart"/>
      <w:r w:rsidRPr="00B9696B">
        <w:rPr>
          <w:rFonts w:ascii="Times New Roman" w:eastAsia="Calibri" w:hAnsi="Times New Roman" w:cs="Times New Roman"/>
          <w:sz w:val="28"/>
          <w:szCs w:val="28"/>
          <w:lang w:val="uk-UA"/>
        </w:rPr>
        <w:t>фреймування</w:t>
      </w:r>
      <w:proofErr w:type="spellEnd"/>
      <w:r w:rsidRPr="00B9696B">
        <w:rPr>
          <w:rFonts w:ascii="Times New Roman" w:eastAsia="Calibri" w:hAnsi="Times New Roman" w:cs="Times New Roman"/>
          <w:sz w:val="28"/>
          <w:szCs w:val="28"/>
          <w:lang w:val="uk-UA"/>
        </w:rPr>
        <w:t xml:space="preserve"> інформації, використання упереджень тощо.</w:t>
      </w:r>
    </w:p>
    <w:p w14:paraId="7D710A8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У таблиці нижче узагальнено механізми інформаційного впливу на цьому рівні з метою систематизації знань про їхні функції, когнітивні ефекти та прикладне використання у контексті сучасних гібридних конфліктів.  </w:t>
      </w:r>
    </w:p>
    <w:p w14:paraId="74AF06EF"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1906" w:h="16838"/>
          <w:pgMar w:top="850" w:right="850" w:bottom="850" w:left="1417" w:header="708" w:footer="708" w:gutter="0"/>
          <w:cols w:space="720"/>
        </w:sectPr>
      </w:pPr>
    </w:p>
    <w:p w14:paraId="79A9E9BE" w14:textId="77777777" w:rsidR="00B9696B" w:rsidRPr="00B9696B" w:rsidRDefault="00B9696B" w:rsidP="00B9696B">
      <w:pPr>
        <w:spacing w:after="0" w:line="360" w:lineRule="auto"/>
        <w:ind w:firstLine="567"/>
        <w:jc w:val="center"/>
        <w:rPr>
          <w:rFonts w:ascii="Times New Roman" w:eastAsia="Calibri" w:hAnsi="Times New Roman" w:cs="Times New Roman"/>
          <w:b/>
          <w:bCs/>
          <w:i/>
          <w:iCs/>
          <w:sz w:val="28"/>
          <w:szCs w:val="28"/>
          <w:lang w:val="uk-UA"/>
        </w:rPr>
      </w:pPr>
      <w:r w:rsidRPr="00B9696B">
        <w:rPr>
          <w:rFonts w:ascii="Times New Roman" w:eastAsia="Calibri" w:hAnsi="Times New Roman" w:cs="Times New Roman"/>
          <w:b/>
          <w:bCs/>
          <w:i/>
          <w:iCs/>
          <w:sz w:val="28"/>
          <w:szCs w:val="28"/>
          <w:lang w:val="uk-UA"/>
        </w:rPr>
        <w:lastRenderedPageBreak/>
        <w:t>Механізми інформаційного впливу на процесуально-когнітивному рівні</w:t>
      </w:r>
    </w:p>
    <w:p w14:paraId="06792606" w14:textId="77777777" w:rsidR="00B9696B" w:rsidRPr="00B9696B" w:rsidRDefault="00B9696B" w:rsidP="00B9696B">
      <w:pPr>
        <w:spacing w:after="0" w:line="360" w:lineRule="auto"/>
        <w:ind w:firstLine="567"/>
        <w:jc w:val="center"/>
        <w:rPr>
          <w:rFonts w:ascii="Times New Roman" w:eastAsia="Calibri" w:hAnsi="Times New Roman" w:cs="Times New Roman"/>
          <w:b/>
          <w:bCs/>
          <w:i/>
          <w:iCs/>
          <w:sz w:val="28"/>
          <w:szCs w:val="28"/>
          <w:lang w:val="uk-UA"/>
        </w:rPr>
      </w:pPr>
    </w:p>
    <w:tbl>
      <w:tblPr>
        <w:tblStyle w:val="100"/>
        <w:tblW w:w="0" w:type="auto"/>
        <w:tblInd w:w="0" w:type="dxa"/>
        <w:tblLook w:val="04A0" w:firstRow="1" w:lastRow="0" w:firstColumn="1" w:lastColumn="0" w:noHBand="0" w:noVBand="1"/>
      </w:tblPr>
      <w:tblGrid>
        <w:gridCol w:w="2689"/>
        <w:gridCol w:w="4252"/>
        <w:gridCol w:w="4253"/>
        <w:gridCol w:w="3934"/>
      </w:tblGrid>
      <w:tr w:rsidR="00B9696B" w:rsidRPr="00B9696B" w14:paraId="5FD46245" w14:textId="77777777">
        <w:tc>
          <w:tcPr>
            <w:tcW w:w="2689" w:type="dxa"/>
            <w:tcBorders>
              <w:top w:val="single" w:sz="4" w:space="0" w:color="auto"/>
              <w:left w:val="single" w:sz="4" w:space="0" w:color="auto"/>
              <w:bottom w:val="single" w:sz="4" w:space="0" w:color="auto"/>
              <w:right w:val="single" w:sz="4" w:space="0" w:color="auto"/>
            </w:tcBorders>
            <w:hideMark/>
          </w:tcPr>
          <w:p w14:paraId="70B45B5D"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Механізм впливу</w:t>
            </w:r>
          </w:p>
        </w:tc>
        <w:tc>
          <w:tcPr>
            <w:tcW w:w="4252" w:type="dxa"/>
            <w:tcBorders>
              <w:top w:val="single" w:sz="4" w:space="0" w:color="auto"/>
              <w:left w:val="single" w:sz="4" w:space="0" w:color="auto"/>
              <w:bottom w:val="single" w:sz="4" w:space="0" w:color="auto"/>
              <w:right w:val="single" w:sz="4" w:space="0" w:color="auto"/>
            </w:tcBorders>
            <w:hideMark/>
          </w:tcPr>
          <w:p w14:paraId="5221FEE9"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Опис</w:t>
            </w:r>
          </w:p>
        </w:tc>
        <w:tc>
          <w:tcPr>
            <w:tcW w:w="4253" w:type="dxa"/>
            <w:tcBorders>
              <w:top w:val="single" w:sz="4" w:space="0" w:color="auto"/>
              <w:left w:val="single" w:sz="4" w:space="0" w:color="auto"/>
              <w:bottom w:val="single" w:sz="4" w:space="0" w:color="auto"/>
              <w:right w:val="single" w:sz="4" w:space="0" w:color="auto"/>
            </w:tcBorders>
            <w:hideMark/>
          </w:tcPr>
          <w:p w14:paraId="7D3D21DC" w14:textId="77777777" w:rsidR="00B9696B" w:rsidRPr="00B9696B" w:rsidRDefault="00B9696B" w:rsidP="00B9696B">
            <w:pPr>
              <w:spacing w:line="360" w:lineRule="auto"/>
              <w:jc w:val="center"/>
              <w:rPr>
                <w:rFonts w:ascii="Times New Roman" w:hAnsi="Times New Roman"/>
                <w:b/>
                <w:bCs/>
              </w:rPr>
            </w:pPr>
            <w:r w:rsidRPr="00B9696B">
              <w:rPr>
                <w:rFonts w:ascii="Times New Roman" w:hAnsi="Times New Roman"/>
                <w:b/>
                <w:bCs/>
                <w:sz w:val="28"/>
                <w:szCs w:val="28"/>
              </w:rPr>
              <w:t>Мета</w:t>
            </w:r>
          </w:p>
        </w:tc>
        <w:tc>
          <w:tcPr>
            <w:tcW w:w="3934" w:type="dxa"/>
            <w:tcBorders>
              <w:top w:val="single" w:sz="4" w:space="0" w:color="auto"/>
              <w:left w:val="single" w:sz="4" w:space="0" w:color="auto"/>
              <w:bottom w:val="single" w:sz="4" w:space="0" w:color="auto"/>
              <w:right w:val="single" w:sz="4" w:space="0" w:color="auto"/>
            </w:tcBorders>
            <w:hideMark/>
          </w:tcPr>
          <w:p w14:paraId="2D48E05F"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Приклади застосування</w:t>
            </w:r>
          </w:p>
        </w:tc>
      </w:tr>
      <w:tr w:rsidR="00B9696B" w:rsidRPr="00B9696B" w14:paraId="0A5BFD4C" w14:textId="77777777">
        <w:tc>
          <w:tcPr>
            <w:tcW w:w="2689" w:type="dxa"/>
            <w:tcBorders>
              <w:top w:val="single" w:sz="4" w:space="0" w:color="auto"/>
              <w:left w:val="single" w:sz="4" w:space="0" w:color="auto"/>
              <w:bottom w:val="single" w:sz="4" w:space="0" w:color="auto"/>
              <w:right w:val="single" w:sz="4" w:space="0" w:color="auto"/>
            </w:tcBorders>
            <w:hideMark/>
          </w:tcPr>
          <w:p w14:paraId="71CACF06"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Діагностика інформаційного поля</w:t>
            </w:r>
          </w:p>
        </w:tc>
        <w:tc>
          <w:tcPr>
            <w:tcW w:w="4252" w:type="dxa"/>
            <w:tcBorders>
              <w:top w:val="single" w:sz="4" w:space="0" w:color="auto"/>
              <w:left w:val="single" w:sz="4" w:space="0" w:color="auto"/>
              <w:bottom w:val="single" w:sz="4" w:space="0" w:color="auto"/>
              <w:right w:val="single" w:sz="4" w:space="0" w:color="auto"/>
            </w:tcBorders>
            <w:hideMark/>
          </w:tcPr>
          <w:p w14:paraId="0C7510D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Аналіз вразливостей, розломів у суспільстві</w:t>
            </w:r>
          </w:p>
        </w:tc>
        <w:tc>
          <w:tcPr>
            <w:tcW w:w="4253" w:type="dxa"/>
            <w:tcBorders>
              <w:top w:val="single" w:sz="4" w:space="0" w:color="auto"/>
              <w:left w:val="single" w:sz="4" w:space="0" w:color="auto"/>
              <w:bottom w:val="single" w:sz="4" w:space="0" w:color="auto"/>
              <w:right w:val="single" w:sz="4" w:space="0" w:color="auto"/>
            </w:tcBorders>
            <w:hideMark/>
          </w:tcPr>
          <w:p w14:paraId="0213E51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Вибір тем і стратегій для кампаній</w:t>
            </w:r>
          </w:p>
        </w:tc>
        <w:tc>
          <w:tcPr>
            <w:tcW w:w="3934" w:type="dxa"/>
            <w:tcBorders>
              <w:top w:val="single" w:sz="4" w:space="0" w:color="auto"/>
              <w:left w:val="single" w:sz="4" w:space="0" w:color="auto"/>
              <w:bottom w:val="single" w:sz="4" w:space="0" w:color="auto"/>
              <w:right w:val="single" w:sz="4" w:space="0" w:color="auto"/>
            </w:tcBorders>
            <w:hideMark/>
          </w:tcPr>
          <w:p w14:paraId="50488D2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Моніторинг соціальних конфліктів, вивчення трендів у соцмережах</w:t>
            </w:r>
          </w:p>
        </w:tc>
      </w:tr>
      <w:tr w:rsidR="00B9696B" w:rsidRPr="00B9696B" w14:paraId="3031FD68" w14:textId="77777777">
        <w:tc>
          <w:tcPr>
            <w:tcW w:w="2689" w:type="dxa"/>
            <w:tcBorders>
              <w:top w:val="single" w:sz="4" w:space="0" w:color="auto"/>
              <w:left w:val="single" w:sz="4" w:space="0" w:color="auto"/>
              <w:bottom w:val="single" w:sz="4" w:space="0" w:color="auto"/>
              <w:right w:val="single" w:sz="4" w:space="0" w:color="auto"/>
            </w:tcBorders>
            <w:hideMark/>
          </w:tcPr>
          <w:p w14:paraId="0610F4DA" w14:textId="77777777" w:rsidR="00B9696B" w:rsidRPr="00B9696B" w:rsidRDefault="00B9696B" w:rsidP="00B9696B">
            <w:pPr>
              <w:spacing w:line="360" w:lineRule="auto"/>
              <w:jc w:val="both"/>
              <w:rPr>
                <w:rFonts w:ascii="Times New Roman" w:hAnsi="Times New Roman"/>
                <w:b/>
                <w:bCs/>
              </w:rPr>
            </w:pPr>
            <w:proofErr w:type="spellStart"/>
            <w:r w:rsidRPr="00B9696B">
              <w:rPr>
                <w:rFonts w:ascii="Times New Roman" w:hAnsi="Times New Roman"/>
                <w:b/>
                <w:bCs/>
                <w:sz w:val="28"/>
                <w:szCs w:val="28"/>
              </w:rPr>
              <w:t>Наративне</w:t>
            </w:r>
            <w:proofErr w:type="spellEnd"/>
            <w:r w:rsidRPr="00B9696B">
              <w:rPr>
                <w:rFonts w:ascii="Times New Roman" w:hAnsi="Times New Roman"/>
                <w:b/>
                <w:bCs/>
                <w:sz w:val="28"/>
                <w:szCs w:val="28"/>
              </w:rPr>
              <w:t xml:space="preserve"> </w:t>
            </w:r>
          </w:p>
          <w:p w14:paraId="538DF110" w14:textId="77777777" w:rsidR="00B9696B" w:rsidRPr="00B9696B" w:rsidRDefault="00B9696B" w:rsidP="00B9696B">
            <w:pPr>
              <w:spacing w:line="360" w:lineRule="auto"/>
              <w:jc w:val="both"/>
              <w:rPr>
                <w:rFonts w:ascii="Times New Roman" w:hAnsi="Times New Roman"/>
              </w:rPr>
            </w:pPr>
            <w:r w:rsidRPr="00B9696B">
              <w:rPr>
                <w:rFonts w:ascii="Times New Roman" w:hAnsi="Times New Roman"/>
                <w:b/>
                <w:bCs/>
                <w:sz w:val="28"/>
                <w:szCs w:val="28"/>
              </w:rPr>
              <w:t>конструювання</w:t>
            </w:r>
          </w:p>
        </w:tc>
        <w:tc>
          <w:tcPr>
            <w:tcW w:w="4252" w:type="dxa"/>
            <w:tcBorders>
              <w:top w:val="single" w:sz="4" w:space="0" w:color="auto"/>
              <w:left w:val="single" w:sz="4" w:space="0" w:color="auto"/>
              <w:bottom w:val="single" w:sz="4" w:space="0" w:color="auto"/>
              <w:right w:val="single" w:sz="4" w:space="0" w:color="auto"/>
            </w:tcBorders>
            <w:hideMark/>
          </w:tcPr>
          <w:p w14:paraId="0765D08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Створення цілісної інтерпретації подій через повторювані </w:t>
            </w:r>
            <w:proofErr w:type="spellStart"/>
            <w:r w:rsidRPr="00B9696B">
              <w:rPr>
                <w:rFonts w:ascii="Times New Roman" w:hAnsi="Times New Roman"/>
                <w:sz w:val="28"/>
                <w:szCs w:val="28"/>
              </w:rPr>
              <w:t>наративи</w:t>
            </w:r>
            <w:proofErr w:type="spellEnd"/>
          </w:p>
        </w:tc>
        <w:tc>
          <w:tcPr>
            <w:tcW w:w="4253" w:type="dxa"/>
            <w:tcBorders>
              <w:top w:val="single" w:sz="4" w:space="0" w:color="auto"/>
              <w:left w:val="single" w:sz="4" w:space="0" w:color="auto"/>
              <w:bottom w:val="single" w:sz="4" w:space="0" w:color="auto"/>
              <w:right w:val="single" w:sz="4" w:space="0" w:color="auto"/>
            </w:tcBorders>
            <w:hideMark/>
          </w:tcPr>
          <w:p w14:paraId="67FE6D9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Закріплення певної картини світу</w:t>
            </w:r>
          </w:p>
        </w:tc>
        <w:tc>
          <w:tcPr>
            <w:tcW w:w="3934" w:type="dxa"/>
            <w:tcBorders>
              <w:top w:val="single" w:sz="4" w:space="0" w:color="auto"/>
              <w:left w:val="single" w:sz="4" w:space="0" w:color="auto"/>
              <w:bottom w:val="single" w:sz="4" w:space="0" w:color="auto"/>
              <w:right w:val="single" w:sz="4" w:space="0" w:color="auto"/>
            </w:tcBorders>
            <w:hideMark/>
          </w:tcPr>
          <w:p w14:paraId="26C00950"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Наративи</w:t>
            </w:r>
            <w:proofErr w:type="spellEnd"/>
            <w:r w:rsidRPr="00B9696B">
              <w:rPr>
                <w:rFonts w:ascii="Times New Roman" w:hAnsi="Times New Roman"/>
                <w:sz w:val="28"/>
                <w:szCs w:val="28"/>
              </w:rPr>
              <w:t xml:space="preserve"> про «ворога», історичні міфи, емоційні історії</w:t>
            </w:r>
          </w:p>
        </w:tc>
      </w:tr>
      <w:tr w:rsidR="00B9696B" w:rsidRPr="00B9696B" w14:paraId="7C6909F1" w14:textId="77777777">
        <w:tc>
          <w:tcPr>
            <w:tcW w:w="2689" w:type="dxa"/>
            <w:tcBorders>
              <w:top w:val="single" w:sz="4" w:space="0" w:color="auto"/>
              <w:left w:val="single" w:sz="4" w:space="0" w:color="auto"/>
              <w:bottom w:val="single" w:sz="4" w:space="0" w:color="auto"/>
              <w:right w:val="single" w:sz="4" w:space="0" w:color="auto"/>
            </w:tcBorders>
            <w:hideMark/>
          </w:tcPr>
          <w:p w14:paraId="08D3533B" w14:textId="77777777" w:rsidR="00B9696B" w:rsidRPr="00B9696B" w:rsidRDefault="00B9696B" w:rsidP="00B9696B">
            <w:pPr>
              <w:spacing w:line="360" w:lineRule="auto"/>
              <w:jc w:val="both"/>
              <w:rPr>
                <w:rFonts w:ascii="Times New Roman" w:hAnsi="Times New Roman"/>
                <w:b/>
                <w:bCs/>
              </w:rPr>
            </w:pPr>
            <w:r w:rsidRPr="00B9696B">
              <w:rPr>
                <w:rFonts w:ascii="Times New Roman" w:hAnsi="Times New Roman"/>
                <w:b/>
                <w:bCs/>
                <w:sz w:val="28"/>
                <w:szCs w:val="28"/>
              </w:rPr>
              <w:t xml:space="preserve">Когнітивні </w:t>
            </w:r>
          </w:p>
          <w:p w14:paraId="2E2CA6BF" w14:textId="77777777" w:rsidR="00B9696B" w:rsidRPr="00B9696B" w:rsidRDefault="00B9696B" w:rsidP="00B9696B">
            <w:pPr>
              <w:spacing w:line="360" w:lineRule="auto"/>
              <w:jc w:val="both"/>
              <w:rPr>
                <w:rFonts w:ascii="Times New Roman" w:hAnsi="Times New Roman"/>
              </w:rPr>
            </w:pPr>
            <w:r w:rsidRPr="00B9696B">
              <w:rPr>
                <w:rFonts w:ascii="Times New Roman" w:hAnsi="Times New Roman"/>
                <w:b/>
                <w:bCs/>
                <w:sz w:val="28"/>
                <w:szCs w:val="28"/>
              </w:rPr>
              <w:t>упередження</w:t>
            </w:r>
          </w:p>
        </w:tc>
        <w:tc>
          <w:tcPr>
            <w:tcW w:w="4252" w:type="dxa"/>
            <w:tcBorders>
              <w:top w:val="single" w:sz="4" w:space="0" w:color="auto"/>
              <w:left w:val="single" w:sz="4" w:space="0" w:color="auto"/>
              <w:bottom w:val="single" w:sz="4" w:space="0" w:color="auto"/>
              <w:right w:val="single" w:sz="4" w:space="0" w:color="auto"/>
            </w:tcBorders>
            <w:hideMark/>
          </w:tcPr>
          <w:p w14:paraId="0205BC9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Використання типових помилок мислення (ефект підтвердження, доступності тощо)</w:t>
            </w:r>
          </w:p>
        </w:tc>
        <w:tc>
          <w:tcPr>
            <w:tcW w:w="4253" w:type="dxa"/>
            <w:tcBorders>
              <w:top w:val="single" w:sz="4" w:space="0" w:color="auto"/>
              <w:left w:val="single" w:sz="4" w:space="0" w:color="auto"/>
              <w:bottom w:val="single" w:sz="4" w:space="0" w:color="auto"/>
              <w:right w:val="single" w:sz="4" w:space="0" w:color="auto"/>
            </w:tcBorders>
            <w:hideMark/>
          </w:tcPr>
          <w:p w14:paraId="3120A01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Підвищення довіри до вигідної інформації</w:t>
            </w:r>
          </w:p>
        </w:tc>
        <w:tc>
          <w:tcPr>
            <w:tcW w:w="3934" w:type="dxa"/>
            <w:tcBorders>
              <w:top w:val="single" w:sz="4" w:space="0" w:color="auto"/>
              <w:left w:val="single" w:sz="4" w:space="0" w:color="auto"/>
              <w:bottom w:val="single" w:sz="4" w:space="0" w:color="auto"/>
              <w:right w:val="single" w:sz="4" w:space="0" w:color="auto"/>
            </w:tcBorders>
            <w:hideMark/>
          </w:tcPr>
          <w:p w14:paraId="4BAB0EF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Аудиторія охочіше вірить у новини, що відповідають її поглядам</w:t>
            </w:r>
          </w:p>
        </w:tc>
      </w:tr>
      <w:tr w:rsidR="00B9696B" w:rsidRPr="00B9696B" w14:paraId="2C0AC4F7" w14:textId="77777777">
        <w:tc>
          <w:tcPr>
            <w:tcW w:w="2689" w:type="dxa"/>
            <w:tcBorders>
              <w:top w:val="single" w:sz="4" w:space="0" w:color="auto"/>
              <w:left w:val="single" w:sz="4" w:space="0" w:color="auto"/>
              <w:bottom w:val="single" w:sz="4" w:space="0" w:color="auto"/>
              <w:right w:val="single" w:sz="4" w:space="0" w:color="auto"/>
            </w:tcBorders>
            <w:hideMark/>
          </w:tcPr>
          <w:p w14:paraId="64AF4CF2"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b/>
                <w:bCs/>
                <w:sz w:val="28"/>
                <w:szCs w:val="28"/>
              </w:rPr>
              <w:t>Фреймінг</w:t>
            </w:r>
            <w:proofErr w:type="spellEnd"/>
          </w:p>
        </w:tc>
        <w:tc>
          <w:tcPr>
            <w:tcW w:w="4252" w:type="dxa"/>
            <w:tcBorders>
              <w:top w:val="single" w:sz="4" w:space="0" w:color="auto"/>
              <w:left w:val="single" w:sz="4" w:space="0" w:color="auto"/>
              <w:bottom w:val="single" w:sz="4" w:space="0" w:color="auto"/>
              <w:right w:val="single" w:sz="4" w:space="0" w:color="auto"/>
            </w:tcBorders>
            <w:hideMark/>
          </w:tcPr>
          <w:p w14:paraId="3427DD6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Добір контексту, термінології, акцентів, що визначають спосіб інтерпретації інформації</w:t>
            </w:r>
          </w:p>
        </w:tc>
        <w:tc>
          <w:tcPr>
            <w:tcW w:w="4253" w:type="dxa"/>
            <w:tcBorders>
              <w:top w:val="single" w:sz="4" w:space="0" w:color="auto"/>
              <w:left w:val="single" w:sz="4" w:space="0" w:color="auto"/>
              <w:bottom w:val="single" w:sz="4" w:space="0" w:color="auto"/>
              <w:right w:val="single" w:sz="4" w:space="0" w:color="auto"/>
            </w:tcBorders>
            <w:hideMark/>
          </w:tcPr>
          <w:p w14:paraId="7866353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Зміна сприйняття подій</w:t>
            </w:r>
          </w:p>
        </w:tc>
        <w:tc>
          <w:tcPr>
            <w:tcW w:w="3934" w:type="dxa"/>
            <w:tcBorders>
              <w:top w:val="single" w:sz="4" w:space="0" w:color="auto"/>
              <w:left w:val="single" w:sz="4" w:space="0" w:color="auto"/>
              <w:bottom w:val="single" w:sz="4" w:space="0" w:color="auto"/>
              <w:right w:val="single" w:sz="4" w:space="0" w:color="auto"/>
            </w:tcBorders>
            <w:hideMark/>
          </w:tcPr>
          <w:p w14:paraId="0414C65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Називати вторгнення «миротворчою операцією», підкреслювати «загрози» від іншої сторони</w:t>
            </w:r>
          </w:p>
        </w:tc>
      </w:tr>
      <w:tr w:rsidR="00B9696B" w:rsidRPr="00B9696B" w14:paraId="289E925E" w14:textId="77777777">
        <w:tc>
          <w:tcPr>
            <w:tcW w:w="2689" w:type="dxa"/>
            <w:tcBorders>
              <w:top w:val="single" w:sz="4" w:space="0" w:color="auto"/>
              <w:left w:val="single" w:sz="4" w:space="0" w:color="auto"/>
              <w:bottom w:val="single" w:sz="4" w:space="0" w:color="auto"/>
              <w:right w:val="single" w:sz="4" w:space="0" w:color="auto"/>
            </w:tcBorders>
            <w:hideMark/>
          </w:tcPr>
          <w:p w14:paraId="3432EFC7" w14:textId="77777777" w:rsidR="00B9696B" w:rsidRPr="00B9696B" w:rsidRDefault="00B9696B" w:rsidP="00B9696B">
            <w:pPr>
              <w:spacing w:line="360" w:lineRule="auto"/>
              <w:jc w:val="both"/>
              <w:rPr>
                <w:rFonts w:ascii="Times New Roman" w:hAnsi="Times New Roman"/>
                <w:b/>
                <w:bCs/>
              </w:rPr>
            </w:pPr>
            <w:r w:rsidRPr="00B9696B">
              <w:rPr>
                <w:rFonts w:ascii="Times New Roman" w:hAnsi="Times New Roman"/>
                <w:b/>
                <w:bCs/>
                <w:sz w:val="28"/>
                <w:szCs w:val="28"/>
              </w:rPr>
              <w:lastRenderedPageBreak/>
              <w:t xml:space="preserve">Емоційна </w:t>
            </w:r>
          </w:p>
          <w:p w14:paraId="21257A0A" w14:textId="77777777" w:rsidR="00B9696B" w:rsidRPr="00B9696B" w:rsidRDefault="00B9696B" w:rsidP="00B9696B">
            <w:pPr>
              <w:spacing w:line="360" w:lineRule="auto"/>
              <w:jc w:val="both"/>
              <w:rPr>
                <w:rFonts w:ascii="Times New Roman" w:hAnsi="Times New Roman"/>
              </w:rPr>
            </w:pPr>
            <w:r w:rsidRPr="00B9696B">
              <w:rPr>
                <w:rFonts w:ascii="Times New Roman" w:hAnsi="Times New Roman"/>
                <w:b/>
                <w:bCs/>
                <w:sz w:val="28"/>
                <w:szCs w:val="28"/>
              </w:rPr>
              <w:t>маніпуляція</w:t>
            </w:r>
          </w:p>
        </w:tc>
        <w:tc>
          <w:tcPr>
            <w:tcW w:w="4252" w:type="dxa"/>
            <w:tcBorders>
              <w:top w:val="single" w:sz="4" w:space="0" w:color="auto"/>
              <w:left w:val="single" w:sz="4" w:space="0" w:color="auto"/>
              <w:bottom w:val="single" w:sz="4" w:space="0" w:color="auto"/>
              <w:right w:val="single" w:sz="4" w:space="0" w:color="auto"/>
            </w:tcBorders>
            <w:hideMark/>
          </w:tcPr>
          <w:p w14:paraId="35C795D2"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Викликання страху, гніву, образи для блокування критичного мислення</w:t>
            </w:r>
          </w:p>
        </w:tc>
        <w:tc>
          <w:tcPr>
            <w:tcW w:w="4253" w:type="dxa"/>
            <w:tcBorders>
              <w:top w:val="single" w:sz="4" w:space="0" w:color="auto"/>
              <w:left w:val="single" w:sz="4" w:space="0" w:color="auto"/>
              <w:bottom w:val="single" w:sz="4" w:space="0" w:color="auto"/>
              <w:right w:val="single" w:sz="4" w:space="0" w:color="auto"/>
            </w:tcBorders>
            <w:hideMark/>
          </w:tcPr>
          <w:p w14:paraId="44CB580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Радикалізація, зниження раціональності</w:t>
            </w:r>
          </w:p>
        </w:tc>
        <w:tc>
          <w:tcPr>
            <w:tcW w:w="3934" w:type="dxa"/>
            <w:tcBorders>
              <w:top w:val="single" w:sz="4" w:space="0" w:color="auto"/>
              <w:left w:val="single" w:sz="4" w:space="0" w:color="auto"/>
              <w:bottom w:val="single" w:sz="4" w:space="0" w:color="auto"/>
              <w:right w:val="single" w:sz="4" w:space="0" w:color="auto"/>
            </w:tcBorders>
            <w:hideMark/>
          </w:tcPr>
          <w:p w14:paraId="47FBF97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Фото жертв, шокуючі заголовки, нав’язування образу зради</w:t>
            </w:r>
          </w:p>
        </w:tc>
      </w:tr>
      <w:tr w:rsidR="00B9696B" w:rsidRPr="00B9696B" w14:paraId="7C7D47F2" w14:textId="77777777">
        <w:tc>
          <w:tcPr>
            <w:tcW w:w="2689" w:type="dxa"/>
            <w:tcBorders>
              <w:top w:val="single" w:sz="4" w:space="0" w:color="auto"/>
              <w:left w:val="single" w:sz="4" w:space="0" w:color="auto"/>
              <w:bottom w:val="single" w:sz="4" w:space="0" w:color="auto"/>
              <w:right w:val="single" w:sz="4" w:space="0" w:color="auto"/>
            </w:tcBorders>
            <w:hideMark/>
          </w:tcPr>
          <w:p w14:paraId="6661D9D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Повторюваність</w:t>
            </w:r>
          </w:p>
        </w:tc>
        <w:tc>
          <w:tcPr>
            <w:tcW w:w="4252" w:type="dxa"/>
            <w:tcBorders>
              <w:top w:val="single" w:sz="4" w:space="0" w:color="auto"/>
              <w:left w:val="single" w:sz="4" w:space="0" w:color="auto"/>
              <w:bottom w:val="single" w:sz="4" w:space="0" w:color="auto"/>
              <w:right w:val="single" w:sz="4" w:space="0" w:color="auto"/>
            </w:tcBorders>
            <w:hideMark/>
          </w:tcPr>
          <w:p w14:paraId="52EF081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Багаторазове повторення меседжів, навіть недостовірних</w:t>
            </w:r>
          </w:p>
        </w:tc>
        <w:tc>
          <w:tcPr>
            <w:tcW w:w="4253" w:type="dxa"/>
            <w:tcBorders>
              <w:top w:val="single" w:sz="4" w:space="0" w:color="auto"/>
              <w:left w:val="single" w:sz="4" w:space="0" w:color="auto"/>
              <w:bottom w:val="single" w:sz="4" w:space="0" w:color="auto"/>
              <w:right w:val="single" w:sz="4" w:space="0" w:color="auto"/>
            </w:tcBorders>
            <w:hideMark/>
          </w:tcPr>
          <w:p w14:paraId="37152A6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Створення враження загальновідомості</w:t>
            </w:r>
          </w:p>
        </w:tc>
        <w:tc>
          <w:tcPr>
            <w:tcW w:w="3934" w:type="dxa"/>
            <w:tcBorders>
              <w:top w:val="single" w:sz="4" w:space="0" w:color="auto"/>
              <w:left w:val="single" w:sz="4" w:space="0" w:color="auto"/>
              <w:bottom w:val="single" w:sz="4" w:space="0" w:color="auto"/>
              <w:right w:val="single" w:sz="4" w:space="0" w:color="auto"/>
            </w:tcBorders>
            <w:hideMark/>
          </w:tcPr>
          <w:p w14:paraId="42095E8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Постійне згадування фейків у різних форматах — статті, меми, коментарі</w:t>
            </w:r>
          </w:p>
        </w:tc>
      </w:tr>
      <w:tr w:rsidR="00B9696B" w:rsidRPr="00B9696B" w14:paraId="433FBAD1" w14:textId="77777777">
        <w:tc>
          <w:tcPr>
            <w:tcW w:w="2689" w:type="dxa"/>
            <w:tcBorders>
              <w:top w:val="single" w:sz="4" w:space="0" w:color="auto"/>
              <w:left w:val="single" w:sz="4" w:space="0" w:color="auto"/>
              <w:bottom w:val="single" w:sz="4" w:space="0" w:color="auto"/>
              <w:right w:val="single" w:sz="4" w:space="0" w:color="auto"/>
            </w:tcBorders>
            <w:hideMark/>
          </w:tcPr>
          <w:p w14:paraId="6D3E115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Соціальний доказ</w:t>
            </w:r>
          </w:p>
        </w:tc>
        <w:tc>
          <w:tcPr>
            <w:tcW w:w="4252" w:type="dxa"/>
            <w:tcBorders>
              <w:top w:val="single" w:sz="4" w:space="0" w:color="auto"/>
              <w:left w:val="single" w:sz="4" w:space="0" w:color="auto"/>
              <w:bottom w:val="single" w:sz="4" w:space="0" w:color="auto"/>
              <w:right w:val="single" w:sz="4" w:space="0" w:color="auto"/>
            </w:tcBorders>
            <w:hideMark/>
          </w:tcPr>
          <w:p w14:paraId="012CFFC5"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Створення ілюзії підтримки або одностайності</w:t>
            </w:r>
          </w:p>
        </w:tc>
        <w:tc>
          <w:tcPr>
            <w:tcW w:w="4253" w:type="dxa"/>
            <w:tcBorders>
              <w:top w:val="single" w:sz="4" w:space="0" w:color="auto"/>
              <w:left w:val="single" w:sz="4" w:space="0" w:color="auto"/>
              <w:bottom w:val="single" w:sz="4" w:space="0" w:color="auto"/>
              <w:right w:val="single" w:sz="4" w:space="0" w:color="auto"/>
            </w:tcBorders>
            <w:hideMark/>
          </w:tcPr>
          <w:p w14:paraId="365CDA1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Тиск на індивіда адаптуватися до «думки більшості»</w:t>
            </w:r>
          </w:p>
        </w:tc>
        <w:tc>
          <w:tcPr>
            <w:tcW w:w="3934" w:type="dxa"/>
            <w:tcBorders>
              <w:top w:val="single" w:sz="4" w:space="0" w:color="auto"/>
              <w:left w:val="single" w:sz="4" w:space="0" w:color="auto"/>
              <w:bottom w:val="single" w:sz="4" w:space="0" w:color="auto"/>
              <w:right w:val="single" w:sz="4" w:space="0" w:color="auto"/>
            </w:tcBorders>
            <w:hideMark/>
          </w:tcPr>
          <w:p w14:paraId="2327A70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Мільйони переглядів, масові коментарі, бот-атаки</w:t>
            </w:r>
          </w:p>
        </w:tc>
      </w:tr>
      <w:tr w:rsidR="00B9696B" w:rsidRPr="00B9696B" w14:paraId="4208DFC6" w14:textId="77777777">
        <w:tc>
          <w:tcPr>
            <w:tcW w:w="2689" w:type="dxa"/>
            <w:tcBorders>
              <w:top w:val="single" w:sz="4" w:space="0" w:color="auto"/>
              <w:left w:val="single" w:sz="4" w:space="0" w:color="auto"/>
              <w:bottom w:val="single" w:sz="4" w:space="0" w:color="auto"/>
              <w:right w:val="single" w:sz="4" w:space="0" w:color="auto"/>
            </w:tcBorders>
            <w:hideMark/>
          </w:tcPr>
          <w:p w14:paraId="7EEEC6C1"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b/>
                <w:bCs/>
                <w:sz w:val="28"/>
                <w:szCs w:val="28"/>
              </w:rPr>
              <w:t>Довготривалість</w:t>
            </w:r>
            <w:proofErr w:type="spellEnd"/>
            <w:r w:rsidRPr="00B9696B">
              <w:rPr>
                <w:rFonts w:ascii="Times New Roman" w:hAnsi="Times New Roman"/>
                <w:b/>
                <w:bCs/>
                <w:sz w:val="28"/>
                <w:szCs w:val="28"/>
              </w:rPr>
              <w:t xml:space="preserve"> кампаній</w:t>
            </w:r>
          </w:p>
        </w:tc>
        <w:tc>
          <w:tcPr>
            <w:tcW w:w="4252" w:type="dxa"/>
            <w:tcBorders>
              <w:top w:val="single" w:sz="4" w:space="0" w:color="auto"/>
              <w:left w:val="single" w:sz="4" w:space="0" w:color="auto"/>
              <w:bottom w:val="single" w:sz="4" w:space="0" w:color="auto"/>
              <w:right w:val="single" w:sz="4" w:space="0" w:color="auto"/>
            </w:tcBorders>
            <w:hideMark/>
          </w:tcPr>
          <w:p w14:paraId="294BCA5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Побудова стратегій на роки, поступове перепрограмування мислення</w:t>
            </w:r>
          </w:p>
        </w:tc>
        <w:tc>
          <w:tcPr>
            <w:tcW w:w="4253" w:type="dxa"/>
            <w:tcBorders>
              <w:top w:val="single" w:sz="4" w:space="0" w:color="auto"/>
              <w:left w:val="single" w:sz="4" w:space="0" w:color="auto"/>
              <w:bottom w:val="single" w:sz="4" w:space="0" w:color="auto"/>
              <w:right w:val="single" w:sz="4" w:space="0" w:color="auto"/>
            </w:tcBorders>
            <w:hideMark/>
          </w:tcPr>
          <w:p w14:paraId="5B9EE2C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Стала зміна уявлень та цінностей</w:t>
            </w:r>
          </w:p>
        </w:tc>
        <w:tc>
          <w:tcPr>
            <w:tcW w:w="3934" w:type="dxa"/>
            <w:tcBorders>
              <w:top w:val="single" w:sz="4" w:space="0" w:color="auto"/>
              <w:left w:val="single" w:sz="4" w:space="0" w:color="auto"/>
              <w:bottom w:val="single" w:sz="4" w:space="0" w:color="auto"/>
              <w:right w:val="single" w:sz="4" w:space="0" w:color="auto"/>
            </w:tcBorders>
            <w:hideMark/>
          </w:tcPr>
          <w:p w14:paraId="796F688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Довга нормалізація агресії, повзуча легітимація окупації</w:t>
            </w:r>
          </w:p>
        </w:tc>
      </w:tr>
    </w:tbl>
    <w:p w14:paraId="697D90B5"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6838" w:h="11906" w:orient="landscape"/>
          <w:pgMar w:top="850" w:right="850" w:bottom="1417" w:left="850" w:header="708" w:footer="708" w:gutter="0"/>
          <w:cols w:space="720"/>
        </w:sectPr>
      </w:pPr>
    </w:p>
    <w:p w14:paraId="1125718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Діагностика інформаційного поля є початковим процесом у побудові інформаційної кампанії. Вона передбачає аналіз соціальних конфліктів, ідентифікаційних розломів, криз довіри та інших вразливих точок у суспільстві, які можуть бути використані для посилення інформаційного тиску. Теоретично це узгоджується з підходом, згідно з яким інформаційний простір не є пасивним каналом для передачі повідомлень, а активною ареною політичних і психологічних протистоянь. Дослідники наголошують, що ефективна інформаційна стратегія має ґрунтуватися на глибокому соціально</w:t>
      </w:r>
      <w:r w:rsidRPr="00B9696B">
        <w:rPr>
          <w:rFonts w:ascii="Times New Roman" w:eastAsia="Calibri" w:hAnsi="Times New Roman" w:cs="Times New Roman"/>
          <w:sz w:val="28"/>
          <w:szCs w:val="28"/>
          <w:lang w:val="uk-UA"/>
        </w:rPr>
        <w:noBreakHyphen/>
        <w:t>когнітивному аналізі аудиторії, урахуванні системи цінностей та психоемоційних домінант, що визначають вибір і реакцію на повідомлення (</w:t>
      </w:r>
      <w:proofErr w:type="spellStart"/>
      <w:r w:rsidRPr="00B9696B">
        <w:rPr>
          <w:rFonts w:ascii="Times New Roman" w:eastAsia="Calibri" w:hAnsi="Times New Roman" w:cs="Times New Roman"/>
          <w:sz w:val="28"/>
          <w:szCs w:val="28"/>
          <w:lang w:val="uk-UA"/>
        </w:rPr>
        <w:t>Bakirov</w:t>
      </w:r>
      <w:proofErr w:type="spellEnd"/>
      <w:r w:rsidRPr="00B9696B">
        <w:rPr>
          <w:rFonts w:ascii="Times New Roman" w:eastAsia="Calibri" w:hAnsi="Times New Roman" w:cs="Times New Roman"/>
          <w:sz w:val="28"/>
          <w:szCs w:val="28"/>
          <w:lang w:val="uk-UA"/>
        </w:rPr>
        <w:t xml:space="preserve">, 2025). Такий підхід дозволяє не лише ідентифікувати теми для впливу, але й спрогнозувати потенційну реакцію аудиторії на різні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w:t>
      </w:r>
    </w:p>
    <w:p w14:paraId="648138F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roofErr w:type="spellStart"/>
      <w:r w:rsidRPr="00B9696B">
        <w:rPr>
          <w:rFonts w:ascii="Times New Roman" w:eastAsia="Calibri" w:hAnsi="Times New Roman" w:cs="Times New Roman"/>
          <w:sz w:val="28"/>
          <w:szCs w:val="28"/>
          <w:lang w:val="uk-UA"/>
        </w:rPr>
        <w:t>Наративне</w:t>
      </w:r>
      <w:proofErr w:type="spellEnd"/>
      <w:r w:rsidRPr="00B9696B">
        <w:rPr>
          <w:rFonts w:ascii="Times New Roman" w:eastAsia="Calibri" w:hAnsi="Times New Roman" w:cs="Times New Roman"/>
          <w:sz w:val="28"/>
          <w:szCs w:val="28"/>
          <w:lang w:val="uk-UA"/>
        </w:rPr>
        <w:t xml:space="preserve"> конструювання в інформаційних війнах відіграє роль не просто формування чергового тексту або повідомлення, а  створення цілісних,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забарвлених рамок, що служать основою для інтерпретації дійсності.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 xml:space="preserve"> структурно базуються на існуючих культурних кодах і символах, що забезпечує їхню внутрішню правдоподібність та прийнятність для цільової аудиторії. У сучасній літературі з когнітивної війни зазначено, що саме маніпулятивні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 xml:space="preserve"> здатні створювати узгоджене уявлення про певну подію чи ситуацію, яке значною мірою визначає оцінки та дії людей у реальному політичному просторі (</w:t>
      </w:r>
      <w:proofErr w:type="spellStart"/>
      <w:r w:rsidRPr="00B9696B">
        <w:rPr>
          <w:rFonts w:ascii="Times New Roman" w:eastAsia="Calibri" w:hAnsi="Times New Roman" w:cs="Times New Roman"/>
          <w:sz w:val="28"/>
          <w:szCs w:val="28"/>
          <w:lang w:val="uk-UA"/>
        </w:rPr>
        <w:t>Paziuk</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Lande</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Shnurko</w:t>
      </w:r>
      <w:r w:rsidRPr="00B9696B">
        <w:rPr>
          <w:rFonts w:ascii="Times New Roman" w:eastAsia="Calibri" w:hAnsi="Times New Roman" w:cs="Times New Roman"/>
          <w:sz w:val="28"/>
          <w:szCs w:val="28"/>
          <w:lang w:val="uk-UA"/>
        </w:rPr>
        <w:noBreakHyphen/>
        <w:t>Tabakova</w:t>
      </w:r>
      <w:proofErr w:type="spellEnd"/>
      <w:r w:rsidRPr="00B9696B">
        <w:rPr>
          <w:rFonts w:ascii="Times New Roman" w:eastAsia="Calibri" w:hAnsi="Times New Roman" w:cs="Times New Roman"/>
          <w:sz w:val="28"/>
          <w:szCs w:val="28"/>
          <w:lang w:val="uk-UA"/>
        </w:rPr>
        <w:t xml:space="preserve">, &amp; </w:t>
      </w:r>
      <w:proofErr w:type="spellStart"/>
      <w:r w:rsidRPr="00B9696B">
        <w:rPr>
          <w:rFonts w:ascii="Times New Roman" w:eastAsia="Calibri" w:hAnsi="Times New Roman" w:cs="Times New Roman"/>
          <w:sz w:val="28"/>
          <w:szCs w:val="28"/>
          <w:lang w:val="uk-UA"/>
        </w:rPr>
        <w:t>Kingston</w:t>
      </w:r>
      <w:proofErr w:type="spellEnd"/>
      <w:r w:rsidRPr="00B9696B">
        <w:rPr>
          <w:rFonts w:ascii="Times New Roman" w:eastAsia="Calibri" w:hAnsi="Times New Roman" w:cs="Times New Roman"/>
          <w:sz w:val="28"/>
          <w:szCs w:val="28"/>
          <w:lang w:val="uk-UA"/>
        </w:rPr>
        <w:t xml:space="preserve">, 2025). Це означає, що </w:t>
      </w:r>
      <w:proofErr w:type="spellStart"/>
      <w:r w:rsidRPr="00B9696B">
        <w:rPr>
          <w:rFonts w:ascii="Times New Roman" w:eastAsia="Calibri" w:hAnsi="Times New Roman" w:cs="Times New Roman"/>
          <w:sz w:val="28"/>
          <w:szCs w:val="28"/>
          <w:lang w:val="uk-UA"/>
        </w:rPr>
        <w:t>наративні</w:t>
      </w:r>
      <w:proofErr w:type="spellEnd"/>
      <w:r w:rsidRPr="00B9696B">
        <w:rPr>
          <w:rFonts w:ascii="Times New Roman" w:eastAsia="Calibri" w:hAnsi="Times New Roman" w:cs="Times New Roman"/>
          <w:sz w:val="28"/>
          <w:szCs w:val="28"/>
          <w:lang w:val="uk-UA"/>
        </w:rPr>
        <w:t xml:space="preserve"> стратегії інтегрують інструменти пропаганди, психологічного впливу та інформаційного дизайну для створення повторюваних смислових </w:t>
      </w:r>
      <w:proofErr w:type="spellStart"/>
      <w:r w:rsidRPr="00B9696B">
        <w:rPr>
          <w:rFonts w:ascii="Times New Roman" w:eastAsia="Calibri" w:hAnsi="Times New Roman" w:cs="Times New Roman"/>
          <w:sz w:val="28"/>
          <w:szCs w:val="28"/>
          <w:lang w:val="uk-UA"/>
        </w:rPr>
        <w:t>патернів</w:t>
      </w:r>
      <w:proofErr w:type="spellEnd"/>
      <w:r w:rsidRPr="00B9696B">
        <w:rPr>
          <w:rFonts w:ascii="Times New Roman" w:eastAsia="Calibri" w:hAnsi="Times New Roman" w:cs="Times New Roman"/>
          <w:sz w:val="28"/>
          <w:szCs w:val="28"/>
          <w:lang w:val="uk-UA"/>
        </w:rPr>
        <w:t>.</w:t>
      </w:r>
    </w:p>
    <w:p w14:paraId="4C7304F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Базову роль у когнітивних механізмах відіграють когнітивні упередження, стійкі відхилення у мисленні, що формують схильність людей приймати певну інформацію без критичного аналізу. Такі упередження, як ефект підтвердження  або селективне сприйняття, дозволяють маніпуляторам «підлаштовувати» повідомлення під вже сформовані переконання аудиторії, посилюючи їхню сприйнятливість (</w:t>
      </w:r>
      <w:proofErr w:type="spellStart"/>
      <w:r w:rsidRPr="00B9696B">
        <w:rPr>
          <w:rFonts w:ascii="Times New Roman" w:eastAsia="Calibri" w:hAnsi="Times New Roman" w:cs="Times New Roman"/>
          <w:sz w:val="28"/>
          <w:szCs w:val="28"/>
          <w:lang w:val="uk-UA"/>
        </w:rPr>
        <w:t>Selective</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exposure</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theory</w:t>
      </w:r>
      <w:proofErr w:type="spellEnd"/>
      <w:r w:rsidRPr="00B9696B">
        <w:rPr>
          <w:rFonts w:ascii="Times New Roman" w:eastAsia="Calibri" w:hAnsi="Times New Roman" w:cs="Times New Roman"/>
          <w:sz w:val="28"/>
          <w:szCs w:val="28"/>
          <w:lang w:val="uk-UA"/>
        </w:rPr>
        <w:t xml:space="preserve">, 2025). Сучасні дослідження показують, що когнітивні упередження грають центральну роль у вихованні </w:t>
      </w:r>
      <w:r w:rsidRPr="00B9696B">
        <w:rPr>
          <w:rFonts w:ascii="Times New Roman" w:eastAsia="Calibri" w:hAnsi="Times New Roman" w:cs="Times New Roman"/>
          <w:sz w:val="28"/>
          <w:szCs w:val="28"/>
          <w:lang w:val="uk-UA"/>
        </w:rPr>
        <w:lastRenderedPageBreak/>
        <w:t xml:space="preserve">непроникності до фактів, що суперечать уже наявним уявленням, а також у формуванні стійких групових </w:t>
      </w:r>
      <w:proofErr w:type="spellStart"/>
      <w:r w:rsidRPr="00B9696B">
        <w:rPr>
          <w:rFonts w:ascii="Times New Roman" w:eastAsia="Calibri" w:hAnsi="Times New Roman" w:cs="Times New Roman"/>
          <w:sz w:val="28"/>
          <w:szCs w:val="28"/>
          <w:lang w:val="uk-UA"/>
        </w:rPr>
        <w:t>ідентичностей</w:t>
      </w:r>
      <w:proofErr w:type="spellEnd"/>
      <w:r w:rsidRPr="00B9696B">
        <w:rPr>
          <w:rFonts w:ascii="Times New Roman" w:eastAsia="Calibri" w:hAnsi="Times New Roman" w:cs="Times New Roman"/>
          <w:sz w:val="28"/>
          <w:szCs w:val="28"/>
          <w:lang w:val="uk-UA"/>
        </w:rPr>
        <w:t xml:space="preserve"> і поляризації суспільної думки (</w:t>
      </w:r>
      <w:proofErr w:type="spellStart"/>
      <w:r w:rsidRPr="00B9696B">
        <w:rPr>
          <w:rFonts w:ascii="Times New Roman" w:eastAsia="Calibri" w:hAnsi="Times New Roman" w:cs="Times New Roman"/>
          <w:sz w:val="28"/>
          <w:szCs w:val="28"/>
          <w:lang w:val="uk-UA"/>
        </w:rPr>
        <w:t>Bakirov</w:t>
      </w:r>
      <w:proofErr w:type="spellEnd"/>
      <w:r w:rsidRPr="00B9696B">
        <w:rPr>
          <w:rFonts w:ascii="Times New Roman" w:eastAsia="Calibri" w:hAnsi="Times New Roman" w:cs="Times New Roman"/>
          <w:sz w:val="28"/>
          <w:szCs w:val="28"/>
          <w:lang w:val="uk-UA"/>
        </w:rPr>
        <w:t>, 2025). Це зумовлює потребу аналізувати не лише контент повідомлення, а й методи його інтеграції в існуючу когнітивну структуру аудиторії.</w:t>
      </w:r>
    </w:p>
    <w:p w14:paraId="739167A4"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roofErr w:type="spellStart"/>
      <w:r w:rsidRPr="00B9696B">
        <w:rPr>
          <w:rFonts w:ascii="Times New Roman" w:eastAsia="Calibri" w:hAnsi="Times New Roman" w:cs="Times New Roman"/>
          <w:sz w:val="28"/>
          <w:szCs w:val="28"/>
          <w:lang w:val="uk-UA"/>
        </w:rPr>
        <w:t>Фреймінг</w:t>
      </w:r>
      <w:proofErr w:type="spellEnd"/>
      <w:r w:rsidRPr="00B9696B">
        <w:rPr>
          <w:rFonts w:ascii="Times New Roman" w:eastAsia="Calibri" w:hAnsi="Times New Roman" w:cs="Times New Roman"/>
          <w:sz w:val="28"/>
          <w:szCs w:val="28"/>
          <w:lang w:val="uk-UA"/>
        </w:rPr>
        <w:t xml:space="preserve"> як механізм полягає у виборі певної «рамки» чи контексту для викладу інформації, який визначає подальше осмислення подій. Наукові підходи в галузі когнітивної психології та комунікації доводять, що </w:t>
      </w:r>
      <w:r w:rsidRPr="00B9696B">
        <w:rPr>
          <w:rFonts w:ascii="Times New Roman" w:eastAsia="Calibri" w:hAnsi="Times New Roman" w:cs="Times New Roman"/>
          <w:i/>
          <w:iCs/>
          <w:sz w:val="28"/>
          <w:szCs w:val="28"/>
          <w:lang w:val="uk-UA"/>
        </w:rPr>
        <w:t>одні й ті самі факти, представлені в різних контекстах, можуть викликати радикально різні уявлення та оцінки у аудиторії</w:t>
      </w:r>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Vinney</w:t>
      </w:r>
      <w:proofErr w:type="spellEnd"/>
      <w:r w:rsidRPr="00B9696B">
        <w:rPr>
          <w:rFonts w:ascii="Times New Roman" w:eastAsia="Calibri" w:hAnsi="Times New Roman" w:cs="Times New Roman"/>
          <w:sz w:val="28"/>
          <w:szCs w:val="28"/>
          <w:lang w:val="uk-UA"/>
        </w:rPr>
        <w:t xml:space="preserve">, 2025). Такий метод маніпуляції використовується для нормалізації насильства, легітимації агресивних дій або, навпаки, для висвітлення їх як захисних чи оборонних. </w:t>
      </w:r>
      <w:proofErr w:type="spellStart"/>
      <w:r w:rsidRPr="00B9696B">
        <w:rPr>
          <w:rFonts w:ascii="Times New Roman" w:eastAsia="Calibri" w:hAnsi="Times New Roman" w:cs="Times New Roman"/>
          <w:sz w:val="28"/>
          <w:szCs w:val="28"/>
          <w:lang w:val="uk-UA"/>
        </w:rPr>
        <w:t>Фреймінг</w:t>
      </w:r>
      <w:proofErr w:type="spellEnd"/>
      <w:r w:rsidRPr="00B9696B">
        <w:rPr>
          <w:rFonts w:ascii="Times New Roman" w:eastAsia="Calibri" w:hAnsi="Times New Roman" w:cs="Times New Roman"/>
          <w:sz w:val="28"/>
          <w:szCs w:val="28"/>
          <w:lang w:val="uk-UA"/>
        </w:rPr>
        <w:t xml:space="preserve"> дозволяє творцям контенту формувати не лише зміст повідомлення, але й структуру його сприйнятт</w:t>
      </w:r>
      <w:r w:rsidRPr="00B9696B">
        <w:rPr>
          <w:rFonts w:ascii="Times New Roman" w:eastAsia="Calibri" w:hAnsi="Times New Roman" w:cs="Times New Roman"/>
          <w:i/>
          <w:iCs/>
          <w:sz w:val="28"/>
          <w:szCs w:val="28"/>
          <w:lang w:val="uk-UA"/>
        </w:rPr>
        <w:t>я</w:t>
      </w:r>
      <w:r w:rsidRPr="00B9696B">
        <w:rPr>
          <w:rFonts w:ascii="Times New Roman" w:eastAsia="Calibri" w:hAnsi="Times New Roman" w:cs="Times New Roman"/>
          <w:sz w:val="28"/>
          <w:szCs w:val="28"/>
          <w:lang w:val="uk-UA"/>
        </w:rPr>
        <w:t>, що робить його потужним механізмом інформаційного впливу.</w:t>
      </w:r>
    </w:p>
    <w:p w14:paraId="2C41F37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Особливе значення в когнітивному впливі має емоційна маніпуляція. Вона ґрунтується на тому, що емоції виступають потужним каталізатором сприйняття і пам’яті, а їхня активація значно послаблює здатність людини до раціонального аналізу інформації (</w:t>
      </w:r>
      <w:proofErr w:type="spellStart"/>
      <w:r w:rsidRPr="00B9696B">
        <w:rPr>
          <w:rFonts w:ascii="Times New Roman" w:eastAsia="Calibri" w:hAnsi="Times New Roman" w:cs="Times New Roman"/>
          <w:sz w:val="28"/>
          <w:szCs w:val="28"/>
          <w:lang w:val="uk-UA"/>
        </w:rPr>
        <w:t>Cardon</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Luminet</w:t>
      </w:r>
      <w:proofErr w:type="spellEnd"/>
      <w:r w:rsidRPr="00B9696B">
        <w:rPr>
          <w:rFonts w:ascii="Times New Roman" w:eastAsia="Calibri" w:hAnsi="Times New Roman" w:cs="Times New Roman"/>
          <w:sz w:val="28"/>
          <w:szCs w:val="28"/>
          <w:lang w:val="uk-UA"/>
        </w:rPr>
        <w:t xml:space="preserve">&amp; </w:t>
      </w:r>
      <w:proofErr w:type="spellStart"/>
      <w:r w:rsidRPr="00B9696B">
        <w:rPr>
          <w:rFonts w:ascii="Times New Roman" w:eastAsia="Calibri" w:hAnsi="Times New Roman" w:cs="Times New Roman"/>
          <w:sz w:val="28"/>
          <w:szCs w:val="28"/>
          <w:lang w:val="uk-UA"/>
        </w:rPr>
        <w:t>Cordonnier</w:t>
      </w:r>
      <w:proofErr w:type="spellEnd"/>
      <w:r w:rsidRPr="00B9696B">
        <w:rPr>
          <w:rFonts w:ascii="Times New Roman" w:eastAsia="Calibri" w:hAnsi="Times New Roman" w:cs="Times New Roman"/>
          <w:sz w:val="28"/>
          <w:szCs w:val="28"/>
          <w:lang w:val="uk-UA"/>
        </w:rPr>
        <w:t>, 2025). Соціально</w:t>
      </w:r>
      <w:r w:rsidRPr="00B9696B">
        <w:rPr>
          <w:rFonts w:ascii="Times New Roman" w:eastAsia="Calibri" w:hAnsi="Times New Roman" w:cs="Times New Roman"/>
          <w:sz w:val="28"/>
          <w:szCs w:val="28"/>
          <w:lang w:val="uk-UA"/>
        </w:rPr>
        <w:noBreakHyphen/>
        <w:t xml:space="preserve">психологічні дослідження демонструють, що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насичений контент? особливо страх, гнів чи образ? здатен змінювати поведінку аудиторії значно швидше і сильніше, ніж </w:t>
      </w:r>
      <w:proofErr w:type="spellStart"/>
      <w:r w:rsidRPr="00B9696B">
        <w:rPr>
          <w:rFonts w:ascii="Times New Roman" w:eastAsia="Calibri" w:hAnsi="Times New Roman" w:cs="Times New Roman"/>
          <w:sz w:val="28"/>
          <w:szCs w:val="28"/>
          <w:lang w:val="uk-UA"/>
        </w:rPr>
        <w:t>логічно</w:t>
      </w:r>
      <w:proofErr w:type="spellEnd"/>
      <w:r w:rsidRPr="00B9696B">
        <w:rPr>
          <w:rFonts w:ascii="Times New Roman" w:eastAsia="Calibri" w:hAnsi="Times New Roman" w:cs="Times New Roman"/>
          <w:sz w:val="28"/>
          <w:szCs w:val="28"/>
          <w:lang w:val="uk-UA"/>
        </w:rPr>
        <w:t xml:space="preserve"> аргументовані повідомлення. В умовах інформаційної війни емоційні апеляції застосовуються для зниження когнітивних фільтрів та впливу на глибинні мотиваційні структури, що часто веде до радикалізації поглядів.</w:t>
      </w:r>
    </w:p>
    <w:p w14:paraId="792603D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Механізм </w:t>
      </w:r>
      <w:r w:rsidRPr="00B9696B">
        <w:rPr>
          <w:rFonts w:ascii="Times New Roman" w:eastAsia="Calibri" w:hAnsi="Times New Roman" w:cs="Times New Roman"/>
          <w:b/>
          <w:bCs/>
          <w:sz w:val="28"/>
          <w:szCs w:val="28"/>
          <w:lang w:val="uk-UA"/>
        </w:rPr>
        <w:t>повторюваності та кумуляції</w:t>
      </w:r>
      <w:r w:rsidRPr="00B9696B">
        <w:rPr>
          <w:rFonts w:ascii="Times New Roman" w:eastAsia="Calibri" w:hAnsi="Times New Roman" w:cs="Times New Roman"/>
          <w:sz w:val="28"/>
          <w:szCs w:val="28"/>
          <w:lang w:val="uk-UA"/>
        </w:rPr>
        <w:t xml:space="preserve"> представляє собою ефект, коли багаторазове повторення певних повідомлень та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поступово формує враження їх природної очевидності. Це явище пов’язано із широко вивченим у когнітивній психології </w:t>
      </w:r>
      <w:r w:rsidRPr="00B9696B">
        <w:rPr>
          <w:rFonts w:ascii="Times New Roman" w:eastAsia="Calibri" w:hAnsi="Times New Roman" w:cs="Times New Roman"/>
          <w:i/>
          <w:iCs/>
          <w:sz w:val="28"/>
          <w:szCs w:val="28"/>
          <w:lang w:val="uk-UA"/>
        </w:rPr>
        <w:t>ефектом ілюзорної правди</w:t>
      </w:r>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Bakirov</w:t>
      </w:r>
      <w:proofErr w:type="spellEnd"/>
      <w:r w:rsidRPr="00B9696B">
        <w:rPr>
          <w:rFonts w:ascii="Times New Roman" w:eastAsia="Calibri" w:hAnsi="Times New Roman" w:cs="Times New Roman"/>
          <w:sz w:val="28"/>
          <w:szCs w:val="28"/>
          <w:lang w:val="uk-UA"/>
        </w:rPr>
        <w:t>, 2025), коли регулярне повторення інформації підсилює її сприйняття як істинної незалежно від її достовірності. Саме завдяки цьому механізму фейки, стереотипи та маніпулятивні конструкції стають частиною «загальноприйнятої думки», що впливає на громадську думку і політичні рішення у довгостроковій перспективі.</w:t>
      </w:r>
    </w:p>
    <w:p w14:paraId="426ECA6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Важливим психосоціальним механізмом є соціальний доказ – створення ілюзії широкої підтримки певної позиції шляхом демонстрації високого рівня реакцій, </w:t>
      </w:r>
      <w:proofErr w:type="spellStart"/>
      <w:r w:rsidRPr="00B9696B">
        <w:rPr>
          <w:rFonts w:ascii="Times New Roman" w:eastAsia="Calibri" w:hAnsi="Times New Roman" w:cs="Times New Roman"/>
          <w:sz w:val="28"/>
          <w:szCs w:val="28"/>
          <w:lang w:val="uk-UA"/>
        </w:rPr>
        <w:t>лайків</w:t>
      </w:r>
      <w:proofErr w:type="spellEnd"/>
      <w:r w:rsidRPr="00B9696B">
        <w:rPr>
          <w:rFonts w:ascii="Times New Roman" w:eastAsia="Calibri" w:hAnsi="Times New Roman" w:cs="Times New Roman"/>
          <w:sz w:val="28"/>
          <w:szCs w:val="28"/>
          <w:lang w:val="uk-UA"/>
        </w:rPr>
        <w:t xml:space="preserve">, переглядів і репостів. Цей механізм спирається на </w:t>
      </w:r>
      <w:r w:rsidRPr="00B9696B">
        <w:rPr>
          <w:rFonts w:ascii="Times New Roman" w:eastAsia="Calibri" w:hAnsi="Times New Roman" w:cs="Times New Roman"/>
          <w:i/>
          <w:iCs/>
          <w:sz w:val="28"/>
          <w:szCs w:val="28"/>
          <w:lang w:val="uk-UA"/>
        </w:rPr>
        <w:t>соціальні когнітивні ефекти</w:t>
      </w:r>
      <w:r w:rsidRPr="00B9696B">
        <w:rPr>
          <w:rFonts w:ascii="Times New Roman" w:eastAsia="Calibri" w:hAnsi="Times New Roman" w:cs="Times New Roman"/>
          <w:sz w:val="28"/>
          <w:szCs w:val="28"/>
          <w:lang w:val="uk-UA"/>
        </w:rPr>
        <w:t xml:space="preserve">, коли індивіди схильні адаптувати свою поведінку до того, що, як їм здається, підтримується більшістю. У цифровому середовищі такі «імітації» підтримки здебільшого створюються алгоритмами, ботами та маніпулятивними мережами взаємодії, що значно підсилює тиск на індивідуальні рішення та суспільні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Cardon</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Luminet</w:t>
      </w:r>
      <w:proofErr w:type="spellEnd"/>
      <w:r w:rsidRPr="00B9696B">
        <w:rPr>
          <w:rFonts w:ascii="Times New Roman" w:eastAsia="Calibri" w:hAnsi="Times New Roman" w:cs="Times New Roman"/>
          <w:sz w:val="28"/>
          <w:szCs w:val="28"/>
          <w:lang w:val="uk-UA"/>
        </w:rPr>
        <w:t xml:space="preserve">&amp; </w:t>
      </w:r>
      <w:proofErr w:type="spellStart"/>
      <w:r w:rsidRPr="00B9696B">
        <w:rPr>
          <w:rFonts w:ascii="Times New Roman" w:eastAsia="Calibri" w:hAnsi="Times New Roman" w:cs="Times New Roman"/>
          <w:sz w:val="28"/>
          <w:szCs w:val="28"/>
          <w:lang w:val="uk-UA"/>
        </w:rPr>
        <w:t>Cordonnier</w:t>
      </w:r>
      <w:proofErr w:type="spellEnd"/>
      <w:r w:rsidRPr="00B9696B">
        <w:rPr>
          <w:rFonts w:ascii="Times New Roman" w:eastAsia="Calibri" w:hAnsi="Times New Roman" w:cs="Times New Roman"/>
          <w:sz w:val="28"/>
          <w:szCs w:val="28"/>
          <w:lang w:val="uk-UA"/>
        </w:rPr>
        <w:t>, 2025).</w:t>
      </w:r>
    </w:p>
    <w:p w14:paraId="2F58270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Нарешті, </w:t>
      </w:r>
      <w:proofErr w:type="spellStart"/>
      <w:r w:rsidRPr="00B9696B">
        <w:rPr>
          <w:rFonts w:ascii="Times New Roman" w:eastAsia="Calibri" w:hAnsi="Times New Roman" w:cs="Times New Roman"/>
          <w:sz w:val="28"/>
          <w:szCs w:val="28"/>
          <w:lang w:val="uk-UA"/>
        </w:rPr>
        <w:t>довготривалість</w:t>
      </w:r>
      <w:proofErr w:type="spellEnd"/>
      <w:r w:rsidRPr="00B9696B">
        <w:rPr>
          <w:rFonts w:ascii="Times New Roman" w:eastAsia="Calibri" w:hAnsi="Times New Roman" w:cs="Times New Roman"/>
          <w:sz w:val="28"/>
          <w:szCs w:val="28"/>
          <w:lang w:val="uk-UA"/>
        </w:rPr>
        <w:t xml:space="preserve"> інформаційних кампаній виступає спрямованою стратегією, яка не обмежується миттєвими впливами, а розрахована на поступову зміну ціннісних орієнтацій та соціальних установок протягом тривалого часу. Такий підхід дозволяє інформаційним </w:t>
      </w:r>
      <w:proofErr w:type="spellStart"/>
      <w:r w:rsidRPr="00B9696B">
        <w:rPr>
          <w:rFonts w:ascii="Times New Roman" w:eastAsia="Calibri" w:hAnsi="Times New Roman" w:cs="Times New Roman"/>
          <w:sz w:val="28"/>
          <w:szCs w:val="28"/>
          <w:lang w:val="uk-UA"/>
        </w:rPr>
        <w:t>наративам</w:t>
      </w:r>
      <w:proofErr w:type="spellEnd"/>
      <w:r w:rsidRPr="00B9696B">
        <w:rPr>
          <w:rFonts w:ascii="Times New Roman" w:eastAsia="Calibri" w:hAnsi="Times New Roman" w:cs="Times New Roman"/>
          <w:sz w:val="28"/>
          <w:szCs w:val="28"/>
          <w:lang w:val="uk-UA"/>
        </w:rPr>
        <w:t xml:space="preserve"> бути менш помітними, але значно більш стійкими: довготривалі цикли інформаційних впливів забезпечують формування умов для внутрішньої адаптації аудиторії до нових смислових структур, що має ефект «перепрограмування» колективної свідомості (</w:t>
      </w:r>
      <w:proofErr w:type="spellStart"/>
      <w:r w:rsidRPr="00B9696B">
        <w:rPr>
          <w:rFonts w:ascii="Times New Roman" w:eastAsia="Calibri" w:hAnsi="Times New Roman" w:cs="Times New Roman"/>
          <w:sz w:val="28"/>
          <w:szCs w:val="28"/>
          <w:lang w:val="uk-UA"/>
        </w:rPr>
        <w:t>Cardon</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Luminet</w:t>
      </w:r>
      <w:proofErr w:type="spellEnd"/>
      <w:r w:rsidRPr="00B9696B">
        <w:rPr>
          <w:rFonts w:ascii="Times New Roman" w:eastAsia="Calibri" w:hAnsi="Times New Roman" w:cs="Times New Roman"/>
          <w:sz w:val="28"/>
          <w:szCs w:val="28"/>
          <w:lang w:val="uk-UA"/>
        </w:rPr>
        <w:t xml:space="preserve">&amp; </w:t>
      </w:r>
      <w:proofErr w:type="spellStart"/>
      <w:r w:rsidRPr="00B9696B">
        <w:rPr>
          <w:rFonts w:ascii="Times New Roman" w:eastAsia="Calibri" w:hAnsi="Times New Roman" w:cs="Times New Roman"/>
          <w:sz w:val="28"/>
          <w:szCs w:val="28"/>
          <w:lang w:val="uk-UA"/>
        </w:rPr>
        <w:t>Cordonnier</w:t>
      </w:r>
      <w:proofErr w:type="spellEnd"/>
      <w:r w:rsidRPr="00B9696B">
        <w:rPr>
          <w:rFonts w:ascii="Times New Roman" w:eastAsia="Calibri" w:hAnsi="Times New Roman" w:cs="Times New Roman"/>
          <w:sz w:val="28"/>
          <w:szCs w:val="28"/>
          <w:lang w:val="uk-UA"/>
        </w:rPr>
        <w:t>, 2025).Саме така стратегія характерна для інформаційних війн у сучасних гібридних конфліктах, де інформаційний вплив продумано інтегрований з іншими елементами гібридних загроз.</w:t>
      </w:r>
    </w:p>
    <w:p w14:paraId="63DE7F0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Процесуально-когнітивний рівень інформаційного впливу в умовах сучасних гібридних конфліктів виступає критично важливою площиною реалізації інформаційної війни. Його особливість полягає не лише у використанні окремих засобів впливу, а у глибокій інтеграції когнітивних, емоційних і поведінкових механізмів, які поступово трансформують суспільну свідомість, систему цінностей і політичну поведінку.</w:t>
      </w:r>
    </w:p>
    <w:p w14:paraId="69BB111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Аналіз механізмів, зокрема діагностики інформаційного поля, </w:t>
      </w:r>
      <w:proofErr w:type="spellStart"/>
      <w:r w:rsidRPr="00B9696B">
        <w:rPr>
          <w:rFonts w:ascii="Times New Roman" w:eastAsia="Calibri" w:hAnsi="Times New Roman" w:cs="Times New Roman"/>
          <w:sz w:val="28"/>
          <w:szCs w:val="28"/>
          <w:lang w:val="uk-UA"/>
        </w:rPr>
        <w:t>наративного</w:t>
      </w:r>
      <w:proofErr w:type="spellEnd"/>
      <w:r w:rsidRPr="00B9696B">
        <w:rPr>
          <w:rFonts w:ascii="Times New Roman" w:eastAsia="Calibri" w:hAnsi="Times New Roman" w:cs="Times New Roman"/>
          <w:sz w:val="28"/>
          <w:szCs w:val="28"/>
          <w:lang w:val="uk-UA"/>
        </w:rPr>
        <w:t xml:space="preserve"> конструювання, експлуатації когнітивних упереджень, </w:t>
      </w:r>
      <w:proofErr w:type="spellStart"/>
      <w:r w:rsidRPr="00B9696B">
        <w:rPr>
          <w:rFonts w:ascii="Times New Roman" w:eastAsia="Calibri" w:hAnsi="Times New Roman" w:cs="Times New Roman"/>
          <w:sz w:val="28"/>
          <w:szCs w:val="28"/>
          <w:lang w:val="uk-UA"/>
        </w:rPr>
        <w:t>фреймінгу</w:t>
      </w:r>
      <w:proofErr w:type="spellEnd"/>
      <w:r w:rsidRPr="00B9696B">
        <w:rPr>
          <w:rFonts w:ascii="Times New Roman" w:eastAsia="Calibri" w:hAnsi="Times New Roman" w:cs="Times New Roman"/>
          <w:sz w:val="28"/>
          <w:szCs w:val="28"/>
          <w:lang w:val="uk-UA"/>
        </w:rPr>
        <w:t xml:space="preserve">, емоційної маніпуляції та соціального доказу, дозволяє говорити про цілеспрямовану і системну природу сучасного інформаційного впливу. Ці механізми не є випадковими чи хаотичними — вони ретельно плануються, адаптуються до </w:t>
      </w:r>
      <w:r w:rsidRPr="00B9696B">
        <w:rPr>
          <w:rFonts w:ascii="Times New Roman" w:eastAsia="Calibri" w:hAnsi="Times New Roman" w:cs="Times New Roman"/>
          <w:sz w:val="28"/>
          <w:szCs w:val="28"/>
          <w:lang w:val="uk-UA"/>
        </w:rPr>
        <w:lastRenderedPageBreak/>
        <w:t xml:space="preserve">соціокультурного контексту та використовують досягнення когнітивної науки, психології й </w:t>
      </w:r>
      <w:proofErr w:type="spellStart"/>
      <w:r w:rsidRPr="00B9696B">
        <w:rPr>
          <w:rFonts w:ascii="Times New Roman" w:eastAsia="Calibri" w:hAnsi="Times New Roman" w:cs="Times New Roman"/>
          <w:sz w:val="28"/>
          <w:szCs w:val="28"/>
          <w:lang w:val="uk-UA"/>
        </w:rPr>
        <w:t>медіастратегій</w:t>
      </w:r>
      <w:proofErr w:type="spellEnd"/>
      <w:r w:rsidRPr="00B9696B">
        <w:rPr>
          <w:rFonts w:ascii="Times New Roman" w:eastAsia="Calibri" w:hAnsi="Times New Roman" w:cs="Times New Roman"/>
          <w:sz w:val="28"/>
          <w:szCs w:val="28"/>
          <w:lang w:val="uk-UA"/>
        </w:rPr>
        <w:t xml:space="preserve"> для максимізації ефективності.</w:t>
      </w:r>
    </w:p>
    <w:p w14:paraId="488AB2D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Особливу увагу слід звернути на латентність і </w:t>
      </w:r>
      <w:proofErr w:type="spellStart"/>
      <w:r w:rsidRPr="00B9696B">
        <w:rPr>
          <w:rFonts w:ascii="Times New Roman" w:eastAsia="Calibri" w:hAnsi="Times New Roman" w:cs="Times New Roman"/>
          <w:sz w:val="28"/>
          <w:szCs w:val="28"/>
          <w:lang w:val="uk-UA"/>
        </w:rPr>
        <w:t>довготривалість</w:t>
      </w:r>
      <w:proofErr w:type="spellEnd"/>
      <w:r w:rsidRPr="00B9696B">
        <w:rPr>
          <w:rFonts w:ascii="Times New Roman" w:eastAsia="Calibri" w:hAnsi="Times New Roman" w:cs="Times New Roman"/>
          <w:sz w:val="28"/>
          <w:szCs w:val="28"/>
          <w:lang w:val="uk-UA"/>
        </w:rPr>
        <w:t xml:space="preserve"> інформаційного впливу: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 xml:space="preserve"> не лише формують ситуативну реакцію аудиторії, але й створюють передумови для тривалих змін у структурі колективної пам’яті, ідентичності та норм. Повторюваність повідомлень, емоційна забарвленість і симуляція підтримки значно ускладнюють виявлення та нейтралізацію таких впливів.</w:t>
      </w:r>
    </w:p>
    <w:p w14:paraId="700DBA8B" w14:textId="2468E1BC" w:rsidR="00B9696B" w:rsidRPr="00B9696B" w:rsidRDefault="00B9696B" w:rsidP="00112B82">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Таким чином, протидія інформаційним війнам на цьому рівні вимагає не лише технічних чи правових інструментів, але й розвитку критичного мислення, інформаційної грамотності, психологічної стійкості та свідомого споживання інформації в масштабах усього суспільства. Усвідомлення структури та динаміки процесуально-когнітивних механізмів є ключем до формування ефективних </w:t>
      </w:r>
      <w:proofErr w:type="spellStart"/>
      <w:r w:rsidRPr="00B9696B">
        <w:rPr>
          <w:rFonts w:ascii="Times New Roman" w:eastAsia="Calibri" w:hAnsi="Times New Roman" w:cs="Times New Roman"/>
          <w:sz w:val="28"/>
          <w:szCs w:val="28"/>
          <w:lang w:val="uk-UA"/>
        </w:rPr>
        <w:t>контрнаративів</w:t>
      </w:r>
      <w:proofErr w:type="spellEnd"/>
      <w:r w:rsidRPr="00B9696B">
        <w:rPr>
          <w:rFonts w:ascii="Times New Roman" w:eastAsia="Calibri" w:hAnsi="Times New Roman" w:cs="Times New Roman"/>
          <w:sz w:val="28"/>
          <w:szCs w:val="28"/>
          <w:lang w:val="uk-UA"/>
        </w:rPr>
        <w:t xml:space="preserve"> та зміцнення інформаційного суверенітету держави.</w:t>
      </w:r>
    </w:p>
    <w:p w14:paraId="5E227CDC" w14:textId="1C5BB38E" w:rsidR="00B9696B" w:rsidRPr="00B9696B" w:rsidRDefault="00B9696B" w:rsidP="00112B82">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2.3. Ефекти інформаційної війни: політико-поведінковий рівень</w:t>
      </w:r>
    </w:p>
    <w:p w14:paraId="6C1CF2D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 Ефекти інформаційної війни є завершальним і водночас найбільш соціально значущим виміром інформаційного протистояння, оскільки саме на політико-поведінковому рівні проявляються наслідки застосування інструментів і механізмів інформаційного впливу. Якщо інструментальний рівень визначає засоби, а процесуально-когнітивний –  способи впливу на свідомість, то політико-поведінковий рівень відображає трансформації реальної поведінки індивідів, соціальних груп, політичних інститутів і суспільства загалом. У цьому контексті інформаційна війна виступає не лише комунікативним або психологічним феноменом, а повноцінним фактором політичних змін.</w:t>
      </w:r>
    </w:p>
    <w:p w14:paraId="2D9C0F2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Подана нижче таблиця узагальнює основні типи політико-поведінкових ефектів інформаційної війни, що мають принципове значення для розуміння сучасних гібридних загроз. Вона охоплює як внутрішні, так і міжнародні виміри впливу, демонструючи, як інформаційна агресія може змінювати поведінку мас, політичну культуру, а також послаблювати стійкість держав до зовнішніх </w:t>
      </w:r>
      <w:proofErr w:type="spellStart"/>
      <w:r w:rsidRPr="00B9696B">
        <w:rPr>
          <w:rFonts w:ascii="Times New Roman" w:eastAsia="Calibri" w:hAnsi="Times New Roman" w:cs="Times New Roman"/>
          <w:sz w:val="28"/>
          <w:szCs w:val="28"/>
          <w:lang w:val="uk-UA"/>
        </w:rPr>
        <w:t>втручань</w:t>
      </w:r>
      <w:proofErr w:type="spellEnd"/>
      <w:r w:rsidRPr="00B9696B">
        <w:rPr>
          <w:rFonts w:ascii="Times New Roman" w:eastAsia="Calibri" w:hAnsi="Times New Roman" w:cs="Times New Roman"/>
          <w:sz w:val="28"/>
          <w:szCs w:val="28"/>
          <w:lang w:val="uk-UA"/>
        </w:rPr>
        <w:t xml:space="preserve">. Систематизація цих ефектів є необхідною передумовою для розробки </w:t>
      </w:r>
      <w:r w:rsidRPr="00B9696B">
        <w:rPr>
          <w:rFonts w:ascii="Times New Roman" w:eastAsia="Calibri" w:hAnsi="Times New Roman" w:cs="Times New Roman"/>
          <w:sz w:val="28"/>
          <w:szCs w:val="28"/>
          <w:lang w:val="uk-UA"/>
        </w:rPr>
        <w:lastRenderedPageBreak/>
        <w:t xml:space="preserve">стратегій інформаційної безпеки, а також для формування суспільної </w:t>
      </w:r>
      <w:proofErr w:type="spellStart"/>
      <w:r w:rsidRPr="00B9696B">
        <w:rPr>
          <w:rFonts w:ascii="Times New Roman" w:eastAsia="Calibri" w:hAnsi="Times New Roman" w:cs="Times New Roman"/>
          <w:sz w:val="28"/>
          <w:szCs w:val="28"/>
          <w:lang w:val="uk-UA"/>
        </w:rPr>
        <w:t>резилієнтності</w:t>
      </w:r>
      <w:proofErr w:type="spellEnd"/>
      <w:r w:rsidRPr="00B9696B">
        <w:rPr>
          <w:rFonts w:ascii="Times New Roman" w:eastAsia="Calibri" w:hAnsi="Times New Roman" w:cs="Times New Roman"/>
          <w:sz w:val="28"/>
          <w:szCs w:val="28"/>
          <w:lang w:val="uk-UA"/>
        </w:rPr>
        <w:t xml:space="preserve"> перед обличчям маніпулятивного тиску.</w:t>
      </w:r>
    </w:p>
    <w:p w14:paraId="56FEDD54"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1906" w:h="16838"/>
          <w:pgMar w:top="850" w:right="850" w:bottom="850" w:left="1417" w:header="708" w:footer="708" w:gutter="0"/>
          <w:cols w:space="720"/>
        </w:sectPr>
      </w:pPr>
    </w:p>
    <w:p w14:paraId="0A7DD14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tbl>
      <w:tblPr>
        <w:tblStyle w:val="100"/>
        <w:tblW w:w="0" w:type="auto"/>
        <w:tblInd w:w="0" w:type="dxa"/>
        <w:tblLook w:val="04A0" w:firstRow="1" w:lastRow="0" w:firstColumn="1" w:lastColumn="0" w:noHBand="0" w:noVBand="1"/>
      </w:tblPr>
      <w:tblGrid>
        <w:gridCol w:w="562"/>
        <w:gridCol w:w="3544"/>
        <w:gridCol w:w="5523"/>
      </w:tblGrid>
      <w:tr w:rsidR="00B9696B" w:rsidRPr="00B9696B" w14:paraId="69D89DB3" w14:textId="77777777">
        <w:tc>
          <w:tcPr>
            <w:tcW w:w="562" w:type="dxa"/>
            <w:tcBorders>
              <w:top w:val="single" w:sz="4" w:space="0" w:color="auto"/>
              <w:left w:val="single" w:sz="4" w:space="0" w:color="auto"/>
              <w:bottom w:val="single" w:sz="4" w:space="0" w:color="auto"/>
              <w:right w:val="single" w:sz="4" w:space="0" w:color="auto"/>
            </w:tcBorders>
            <w:hideMark/>
          </w:tcPr>
          <w:p w14:paraId="17D1A07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w:t>
            </w:r>
          </w:p>
        </w:tc>
        <w:tc>
          <w:tcPr>
            <w:tcW w:w="3544" w:type="dxa"/>
            <w:tcBorders>
              <w:top w:val="single" w:sz="4" w:space="0" w:color="auto"/>
              <w:left w:val="single" w:sz="4" w:space="0" w:color="auto"/>
              <w:bottom w:val="single" w:sz="4" w:space="0" w:color="auto"/>
              <w:right w:val="single" w:sz="4" w:space="0" w:color="auto"/>
            </w:tcBorders>
            <w:hideMark/>
          </w:tcPr>
          <w:p w14:paraId="60063771"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Ефект</w:t>
            </w:r>
          </w:p>
        </w:tc>
        <w:tc>
          <w:tcPr>
            <w:tcW w:w="5523" w:type="dxa"/>
            <w:tcBorders>
              <w:top w:val="single" w:sz="4" w:space="0" w:color="auto"/>
              <w:left w:val="single" w:sz="4" w:space="0" w:color="auto"/>
              <w:bottom w:val="single" w:sz="4" w:space="0" w:color="auto"/>
              <w:right w:val="single" w:sz="4" w:space="0" w:color="auto"/>
            </w:tcBorders>
            <w:hideMark/>
          </w:tcPr>
          <w:p w14:paraId="6989E30F"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Зміст ефекту</w:t>
            </w:r>
          </w:p>
        </w:tc>
      </w:tr>
      <w:tr w:rsidR="00B9696B" w:rsidRPr="00B9696B" w14:paraId="6CE67829" w14:textId="77777777">
        <w:tc>
          <w:tcPr>
            <w:tcW w:w="562" w:type="dxa"/>
            <w:tcBorders>
              <w:top w:val="single" w:sz="4" w:space="0" w:color="auto"/>
              <w:left w:val="single" w:sz="4" w:space="0" w:color="auto"/>
              <w:bottom w:val="single" w:sz="4" w:space="0" w:color="auto"/>
              <w:right w:val="single" w:sz="4" w:space="0" w:color="auto"/>
            </w:tcBorders>
            <w:hideMark/>
          </w:tcPr>
          <w:p w14:paraId="3626C16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1</w:t>
            </w:r>
          </w:p>
        </w:tc>
        <w:tc>
          <w:tcPr>
            <w:tcW w:w="3544" w:type="dxa"/>
            <w:tcBorders>
              <w:top w:val="single" w:sz="4" w:space="0" w:color="auto"/>
              <w:left w:val="single" w:sz="4" w:space="0" w:color="auto"/>
              <w:bottom w:val="single" w:sz="4" w:space="0" w:color="auto"/>
              <w:right w:val="single" w:sz="4" w:space="0" w:color="auto"/>
            </w:tcBorders>
            <w:hideMark/>
          </w:tcPr>
          <w:p w14:paraId="07D6836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Трансформація політичної свідомості</w:t>
            </w:r>
          </w:p>
        </w:tc>
        <w:tc>
          <w:tcPr>
            <w:tcW w:w="5523" w:type="dxa"/>
            <w:tcBorders>
              <w:top w:val="single" w:sz="4" w:space="0" w:color="auto"/>
              <w:left w:val="single" w:sz="4" w:space="0" w:color="auto"/>
              <w:bottom w:val="single" w:sz="4" w:space="0" w:color="auto"/>
              <w:right w:val="single" w:sz="4" w:space="0" w:color="auto"/>
            </w:tcBorders>
            <w:hideMark/>
          </w:tcPr>
          <w:p w14:paraId="4B7BF15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Формування спрощених, бінарних моделей мислення: «свій — чужий», «жертва — агресор», що знижує здатність до раціонального аналізу політики.</w:t>
            </w:r>
          </w:p>
        </w:tc>
      </w:tr>
      <w:tr w:rsidR="00B9696B" w:rsidRPr="00B9696B" w14:paraId="4FF10AAA" w14:textId="77777777">
        <w:tc>
          <w:tcPr>
            <w:tcW w:w="562" w:type="dxa"/>
            <w:tcBorders>
              <w:top w:val="single" w:sz="4" w:space="0" w:color="auto"/>
              <w:left w:val="single" w:sz="4" w:space="0" w:color="auto"/>
              <w:bottom w:val="single" w:sz="4" w:space="0" w:color="auto"/>
              <w:right w:val="single" w:sz="4" w:space="0" w:color="auto"/>
            </w:tcBorders>
            <w:hideMark/>
          </w:tcPr>
          <w:p w14:paraId="609CA9C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2</w:t>
            </w:r>
          </w:p>
        </w:tc>
        <w:tc>
          <w:tcPr>
            <w:tcW w:w="3544" w:type="dxa"/>
            <w:tcBorders>
              <w:top w:val="single" w:sz="4" w:space="0" w:color="auto"/>
              <w:left w:val="single" w:sz="4" w:space="0" w:color="auto"/>
              <w:bottom w:val="single" w:sz="4" w:space="0" w:color="auto"/>
              <w:right w:val="single" w:sz="4" w:space="0" w:color="auto"/>
            </w:tcBorders>
            <w:hideMark/>
          </w:tcPr>
          <w:p w14:paraId="75299B3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Ерозія довіри до політичних інститутів</w:t>
            </w:r>
          </w:p>
        </w:tc>
        <w:tc>
          <w:tcPr>
            <w:tcW w:w="5523" w:type="dxa"/>
            <w:tcBorders>
              <w:top w:val="single" w:sz="4" w:space="0" w:color="auto"/>
              <w:left w:val="single" w:sz="4" w:space="0" w:color="auto"/>
              <w:bottom w:val="single" w:sz="4" w:space="0" w:color="auto"/>
              <w:right w:val="single" w:sz="4" w:space="0" w:color="auto"/>
            </w:tcBorders>
            <w:hideMark/>
          </w:tcPr>
          <w:p w14:paraId="5833A295"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Поширення недовіри до органів влади, зростання політичного цинізму, </w:t>
            </w:r>
            <w:proofErr w:type="spellStart"/>
            <w:r w:rsidRPr="00B9696B">
              <w:rPr>
                <w:rFonts w:ascii="Times New Roman" w:hAnsi="Times New Roman"/>
                <w:sz w:val="28"/>
                <w:szCs w:val="28"/>
              </w:rPr>
              <w:t>делегітимація</w:t>
            </w:r>
            <w:proofErr w:type="spellEnd"/>
            <w:r w:rsidRPr="00B9696B">
              <w:rPr>
                <w:rFonts w:ascii="Times New Roman" w:hAnsi="Times New Roman"/>
                <w:sz w:val="28"/>
                <w:szCs w:val="28"/>
              </w:rPr>
              <w:t xml:space="preserve"> державної влади без прямого втручання.</w:t>
            </w:r>
          </w:p>
        </w:tc>
      </w:tr>
      <w:tr w:rsidR="00B9696B" w:rsidRPr="00B9696B" w14:paraId="07F1C153" w14:textId="77777777">
        <w:tc>
          <w:tcPr>
            <w:tcW w:w="562" w:type="dxa"/>
            <w:tcBorders>
              <w:top w:val="single" w:sz="4" w:space="0" w:color="auto"/>
              <w:left w:val="single" w:sz="4" w:space="0" w:color="auto"/>
              <w:bottom w:val="single" w:sz="4" w:space="0" w:color="auto"/>
              <w:right w:val="single" w:sz="4" w:space="0" w:color="auto"/>
            </w:tcBorders>
            <w:hideMark/>
          </w:tcPr>
          <w:p w14:paraId="6D33021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3</w:t>
            </w:r>
          </w:p>
        </w:tc>
        <w:tc>
          <w:tcPr>
            <w:tcW w:w="3544" w:type="dxa"/>
            <w:tcBorders>
              <w:top w:val="single" w:sz="4" w:space="0" w:color="auto"/>
              <w:left w:val="single" w:sz="4" w:space="0" w:color="auto"/>
              <w:bottom w:val="single" w:sz="4" w:space="0" w:color="auto"/>
              <w:right w:val="single" w:sz="4" w:space="0" w:color="auto"/>
            </w:tcBorders>
            <w:hideMark/>
          </w:tcPr>
          <w:p w14:paraId="58E4CAA8"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Зміна політичної поведінки громадян</w:t>
            </w:r>
          </w:p>
        </w:tc>
        <w:tc>
          <w:tcPr>
            <w:tcW w:w="5523" w:type="dxa"/>
            <w:tcBorders>
              <w:top w:val="single" w:sz="4" w:space="0" w:color="auto"/>
              <w:left w:val="single" w:sz="4" w:space="0" w:color="auto"/>
              <w:bottom w:val="single" w:sz="4" w:space="0" w:color="auto"/>
              <w:right w:val="single" w:sz="4" w:space="0" w:color="auto"/>
            </w:tcBorders>
            <w:hideMark/>
          </w:tcPr>
          <w:p w14:paraId="5C3F6AD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Зміни в електоральних уподобаннях, зростання радикалізму або апатії; мобілізація чи демобілізація залежно від стратегій впливу.</w:t>
            </w:r>
          </w:p>
        </w:tc>
      </w:tr>
      <w:tr w:rsidR="00B9696B" w:rsidRPr="00B9696B" w14:paraId="16089B06" w14:textId="77777777">
        <w:tc>
          <w:tcPr>
            <w:tcW w:w="562" w:type="dxa"/>
            <w:tcBorders>
              <w:top w:val="single" w:sz="4" w:space="0" w:color="auto"/>
              <w:left w:val="single" w:sz="4" w:space="0" w:color="auto"/>
              <w:bottom w:val="single" w:sz="4" w:space="0" w:color="auto"/>
              <w:right w:val="single" w:sz="4" w:space="0" w:color="auto"/>
            </w:tcBorders>
            <w:hideMark/>
          </w:tcPr>
          <w:p w14:paraId="6092481F"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4</w:t>
            </w:r>
          </w:p>
        </w:tc>
        <w:tc>
          <w:tcPr>
            <w:tcW w:w="3544" w:type="dxa"/>
            <w:tcBorders>
              <w:top w:val="single" w:sz="4" w:space="0" w:color="auto"/>
              <w:left w:val="single" w:sz="4" w:space="0" w:color="auto"/>
              <w:bottom w:val="single" w:sz="4" w:space="0" w:color="auto"/>
              <w:right w:val="single" w:sz="4" w:space="0" w:color="auto"/>
            </w:tcBorders>
            <w:hideMark/>
          </w:tcPr>
          <w:p w14:paraId="66E5A53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Фрагментація суспільства</w:t>
            </w:r>
          </w:p>
        </w:tc>
        <w:tc>
          <w:tcPr>
            <w:tcW w:w="5523" w:type="dxa"/>
            <w:tcBorders>
              <w:top w:val="single" w:sz="4" w:space="0" w:color="auto"/>
              <w:left w:val="single" w:sz="4" w:space="0" w:color="auto"/>
              <w:bottom w:val="single" w:sz="4" w:space="0" w:color="auto"/>
              <w:right w:val="single" w:sz="4" w:space="0" w:color="auto"/>
            </w:tcBorders>
            <w:hideMark/>
          </w:tcPr>
          <w:p w14:paraId="1300855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Загострення регіональних, </w:t>
            </w:r>
            <w:proofErr w:type="spellStart"/>
            <w:r w:rsidRPr="00B9696B">
              <w:rPr>
                <w:rFonts w:ascii="Times New Roman" w:hAnsi="Times New Roman"/>
                <w:sz w:val="28"/>
                <w:szCs w:val="28"/>
              </w:rPr>
              <w:t>мовних</w:t>
            </w:r>
            <w:proofErr w:type="spellEnd"/>
            <w:r w:rsidRPr="00B9696B">
              <w:rPr>
                <w:rFonts w:ascii="Times New Roman" w:hAnsi="Times New Roman"/>
                <w:sz w:val="28"/>
                <w:szCs w:val="28"/>
              </w:rPr>
              <w:t>, ідеологічних поділів; руйнування символічного простору, послаблення солідарності й колективних дій.</w:t>
            </w:r>
          </w:p>
        </w:tc>
      </w:tr>
      <w:tr w:rsidR="00B9696B" w:rsidRPr="00B9696B" w14:paraId="5380B5EC" w14:textId="77777777">
        <w:tc>
          <w:tcPr>
            <w:tcW w:w="562" w:type="dxa"/>
            <w:tcBorders>
              <w:top w:val="single" w:sz="4" w:space="0" w:color="auto"/>
              <w:left w:val="single" w:sz="4" w:space="0" w:color="auto"/>
              <w:bottom w:val="single" w:sz="4" w:space="0" w:color="auto"/>
              <w:right w:val="single" w:sz="4" w:space="0" w:color="auto"/>
            </w:tcBorders>
            <w:hideMark/>
          </w:tcPr>
          <w:p w14:paraId="632FFA0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5</w:t>
            </w:r>
          </w:p>
        </w:tc>
        <w:tc>
          <w:tcPr>
            <w:tcW w:w="3544" w:type="dxa"/>
            <w:tcBorders>
              <w:top w:val="single" w:sz="4" w:space="0" w:color="auto"/>
              <w:left w:val="single" w:sz="4" w:space="0" w:color="auto"/>
              <w:bottom w:val="single" w:sz="4" w:space="0" w:color="auto"/>
              <w:right w:val="single" w:sz="4" w:space="0" w:color="auto"/>
            </w:tcBorders>
            <w:hideMark/>
          </w:tcPr>
          <w:p w14:paraId="429828B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Зміна моделей політичної комунікації</w:t>
            </w:r>
          </w:p>
        </w:tc>
        <w:tc>
          <w:tcPr>
            <w:tcW w:w="5523" w:type="dxa"/>
            <w:tcBorders>
              <w:top w:val="single" w:sz="4" w:space="0" w:color="auto"/>
              <w:left w:val="single" w:sz="4" w:space="0" w:color="auto"/>
              <w:bottom w:val="single" w:sz="4" w:space="0" w:color="auto"/>
              <w:right w:val="single" w:sz="4" w:space="0" w:color="auto"/>
            </w:tcBorders>
            <w:hideMark/>
          </w:tcPr>
          <w:p w14:paraId="625E376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Зростання впливу популізму, емоційної риторики, конфронтації; витіснення раціонального політичного дискурсу.</w:t>
            </w:r>
          </w:p>
        </w:tc>
      </w:tr>
      <w:tr w:rsidR="00B9696B" w:rsidRPr="00B9696B" w14:paraId="07DED15A" w14:textId="77777777">
        <w:tc>
          <w:tcPr>
            <w:tcW w:w="562" w:type="dxa"/>
            <w:tcBorders>
              <w:top w:val="single" w:sz="4" w:space="0" w:color="auto"/>
              <w:left w:val="single" w:sz="4" w:space="0" w:color="auto"/>
              <w:bottom w:val="single" w:sz="4" w:space="0" w:color="auto"/>
              <w:right w:val="single" w:sz="4" w:space="0" w:color="auto"/>
            </w:tcBorders>
            <w:hideMark/>
          </w:tcPr>
          <w:p w14:paraId="0BD0057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6</w:t>
            </w:r>
          </w:p>
        </w:tc>
        <w:tc>
          <w:tcPr>
            <w:tcW w:w="3544" w:type="dxa"/>
            <w:tcBorders>
              <w:top w:val="single" w:sz="4" w:space="0" w:color="auto"/>
              <w:left w:val="single" w:sz="4" w:space="0" w:color="auto"/>
              <w:bottom w:val="single" w:sz="4" w:space="0" w:color="auto"/>
              <w:right w:val="single" w:sz="4" w:space="0" w:color="auto"/>
            </w:tcBorders>
            <w:hideMark/>
          </w:tcPr>
          <w:p w14:paraId="466E5AD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Зміни у зовнішньополітичній поведінці держав</w:t>
            </w:r>
          </w:p>
        </w:tc>
        <w:tc>
          <w:tcPr>
            <w:tcW w:w="5523" w:type="dxa"/>
            <w:tcBorders>
              <w:top w:val="single" w:sz="4" w:space="0" w:color="auto"/>
              <w:left w:val="single" w:sz="4" w:space="0" w:color="auto"/>
              <w:bottom w:val="single" w:sz="4" w:space="0" w:color="auto"/>
              <w:right w:val="single" w:sz="4" w:space="0" w:color="auto"/>
            </w:tcBorders>
            <w:hideMark/>
          </w:tcPr>
          <w:p w14:paraId="129F647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Маніпуляція </w:t>
            </w:r>
            <w:proofErr w:type="spellStart"/>
            <w:r w:rsidRPr="00B9696B">
              <w:rPr>
                <w:rFonts w:ascii="Times New Roman" w:hAnsi="Times New Roman"/>
                <w:sz w:val="28"/>
                <w:szCs w:val="28"/>
              </w:rPr>
              <w:t>іміджем</w:t>
            </w:r>
            <w:proofErr w:type="spellEnd"/>
            <w:r w:rsidRPr="00B9696B">
              <w:rPr>
                <w:rFonts w:ascii="Times New Roman" w:hAnsi="Times New Roman"/>
                <w:sz w:val="28"/>
                <w:szCs w:val="28"/>
              </w:rPr>
              <w:t xml:space="preserve"> країни на міжнародній арені; вплив на рішення міжнародних організацій, порушення глобального політичного балансу.</w:t>
            </w:r>
          </w:p>
        </w:tc>
      </w:tr>
      <w:tr w:rsidR="00B9696B" w:rsidRPr="00B9696B" w14:paraId="42BD1D50" w14:textId="77777777">
        <w:tc>
          <w:tcPr>
            <w:tcW w:w="562" w:type="dxa"/>
            <w:tcBorders>
              <w:top w:val="single" w:sz="4" w:space="0" w:color="auto"/>
              <w:left w:val="single" w:sz="4" w:space="0" w:color="auto"/>
              <w:bottom w:val="single" w:sz="4" w:space="0" w:color="auto"/>
              <w:right w:val="single" w:sz="4" w:space="0" w:color="auto"/>
            </w:tcBorders>
            <w:hideMark/>
          </w:tcPr>
          <w:p w14:paraId="0A12172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7</w:t>
            </w:r>
          </w:p>
        </w:tc>
        <w:tc>
          <w:tcPr>
            <w:tcW w:w="3544" w:type="dxa"/>
            <w:tcBorders>
              <w:top w:val="single" w:sz="4" w:space="0" w:color="auto"/>
              <w:left w:val="single" w:sz="4" w:space="0" w:color="auto"/>
              <w:bottom w:val="single" w:sz="4" w:space="0" w:color="auto"/>
              <w:right w:val="single" w:sz="4" w:space="0" w:color="auto"/>
            </w:tcBorders>
            <w:hideMark/>
          </w:tcPr>
          <w:p w14:paraId="730FFD0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Нормалізація інформаційної агресії</w:t>
            </w:r>
          </w:p>
        </w:tc>
        <w:tc>
          <w:tcPr>
            <w:tcW w:w="5523" w:type="dxa"/>
            <w:tcBorders>
              <w:top w:val="single" w:sz="4" w:space="0" w:color="auto"/>
              <w:left w:val="single" w:sz="4" w:space="0" w:color="auto"/>
              <w:bottom w:val="single" w:sz="4" w:space="0" w:color="auto"/>
              <w:right w:val="single" w:sz="4" w:space="0" w:color="auto"/>
            </w:tcBorders>
            <w:hideMark/>
          </w:tcPr>
          <w:p w14:paraId="4769D92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Звикання до маніпуляцій і дезінформації; зниження чутливості до порушень стандартів інформаційної етики та політичної культури.</w:t>
            </w:r>
          </w:p>
        </w:tc>
      </w:tr>
    </w:tbl>
    <w:p w14:paraId="6C1A65F8" w14:textId="77777777" w:rsidR="00B9696B" w:rsidRPr="00B9696B" w:rsidRDefault="00B9696B" w:rsidP="00B9696B">
      <w:pPr>
        <w:spacing w:after="0" w:line="360" w:lineRule="auto"/>
        <w:rPr>
          <w:rFonts w:ascii="Times New Roman" w:eastAsia="Calibri" w:hAnsi="Times New Roman" w:cs="Times New Roman"/>
          <w:kern w:val="0"/>
          <w:sz w:val="28"/>
          <w:szCs w:val="28"/>
          <w:lang w:val="uk-UA"/>
          <w14:ligatures w14:val="none"/>
        </w:rPr>
        <w:sectPr w:rsidR="00B9696B" w:rsidRPr="00B9696B" w:rsidSect="00B9696B">
          <w:pgSz w:w="11906" w:h="16838"/>
          <w:pgMar w:top="850" w:right="850" w:bottom="850" w:left="1417" w:header="708" w:footer="708" w:gutter="0"/>
          <w:cols w:space="720"/>
        </w:sectPr>
      </w:pPr>
    </w:p>
    <w:p w14:paraId="4BC6C81D"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Одним із політико</w:t>
      </w:r>
      <w:r w:rsidRPr="00B9696B">
        <w:rPr>
          <w:rFonts w:ascii="Times New Roman" w:eastAsia="Calibri" w:hAnsi="Times New Roman" w:cs="Times New Roman"/>
          <w:sz w:val="28"/>
          <w:szCs w:val="28"/>
          <w:lang w:val="uk-UA"/>
        </w:rPr>
        <w:noBreakHyphen/>
        <w:t>поведінкових ефектів інформаційної війни є трансформація політичної свідомості громадян. Систематичні інформаційні атаки спричиняють редукцію складних політичних явищ до спрощених бінарних моделей «свій/чужий», «друг/ворог», «жертва/агресор». Така поляризація знижує здатність до критичного, раціонального мислення та сприяє емоційній оцінці політичних подій. Цей процес пов’язаний із ширшим феноменом дезінформації, яка часто розповсюджується швидше і в більшому обсязі, ніж достовірна інформація, що підсилює політичну поляризацію та емоційну взаємну неприязнь у суспільстві (</w:t>
      </w:r>
      <w:proofErr w:type="spellStart"/>
      <w:r w:rsidRPr="00B9696B">
        <w:rPr>
          <w:rFonts w:ascii="Times New Roman" w:eastAsia="Calibri" w:hAnsi="Times New Roman" w:cs="Times New Roman"/>
          <w:sz w:val="28"/>
          <w:szCs w:val="28"/>
          <w:lang w:val="uk-UA"/>
        </w:rPr>
        <w:t>Chang</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et</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al</w:t>
      </w:r>
      <w:proofErr w:type="spellEnd"/>
      <w:r w:rsidRPr="00B9696B">
        <w:rPr>
          <w:rFonts w:ascii="Times New Roman" w:eastAsia="Calibri" w:hAnsi="Times New Roman" w:cs="Times New Roman"/>
          <w:sz w:val="28"/>
          <w:szCs w:val="28"/>
          <w:lang w:val="uk-UA"/>
        </w:rPr>
        <w:t xml:space="preserve">., 2019; </w:t>
      </w:r>
      <w:proofErr w:type="spellStart"/>
      <w:r w:rsidRPr="00B9696B">
        <w:rPr>
          <w:rFonts w:ascii="Times New Roman" w:eastAsia="Calibri" w:hAnsi="Times New Roman" w:cs="Times New Roman"/>
          <w:sz w:val="28"/>
          <w:szCs w:val="28"/>
          <w:lang w:val="uk-UA"/>
        </w:rPr>
        <w:t>Vosoughi</w:t>
      </w:r>
      <w:proofErr w:type="spellEnd"/>
      <w:r w:rsidRPr="00B9696B">
        <w:rPr>
          <w:rFonts w:ascii="Times New Roman" w:eastAsia="Calibri" w:hAnsi="Times New Roman" w:cs="Times New Roman"/>
          <w:sz w:val="28"/>
          <w:szCs w:val="28"/>
          <w:lang w:val="uk-UA"/>
        </w:rPr>
        <w:t>, 2023).</w:t>
      </w:r>
    </w:p>
    <w:p w14:paraId="23F7E57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Суттєвим ефектом є ерозія довіри до політичних інститутів. У ситуації, коли маніпулятивні </w:t>
      </w:r>
      <w:proofErr w:type="spellStart"/>
      <w:r w:rsidRPr="00B9696B">
        <w:rPr>
          <w:rFonts w:ascii="Times New Roman" w:eastAsia="Calibri" w:hAnsi="Times New Roman" w:cs="Times New Roman"/>
          <w:sz w:val="28"/>
          <w:szCs w:val="28"/>
          <w:lang w:val="uk-UA"/>
        </w:rPr>
        <w:t>наративи</w:t>
      </w:r>
      <w:proofErr w:type="spellEnd"/>
      <w:r w:rsidRPr="00B9696B">
        <w:rPr>
          <w:rFonts w:ascii="Times New Roman" w:eastAsia="Calibri" w:hAnsi="Times New Roman" w:cs="Times New Roman"/>
          <w:sz w:val="28"/>
          <w:szCs w:val="28"/>
          <w:lang w:val="uk-UA"/>
        </w:rPr>
        <w:t xml:space="preserve"> штучно поширюють меседжі про некомпетентність, корумпованість або нелегітимність органів влади, рівень довіри населення до політичних структур знижується. Це має тривалі наслідки: державні інституції втрачають легітимність, а це, у свою чергу, підриває здатність держави ефективно функціонувати та реагувати на внутрішні та зовнішні виклики. Сучасні дослідження з теми дезінформації підкреслюють саме такий політичний наслідок: «Дезінформація є загрозою демократичним процесам, оскільки підриває довіру до соціальних та політичних інститутів, що необхідні для функціонування політичної системи» (</w:t>
      </w:r>
      <w:proofErr w:type="spellStart"/>
      <w:r w:rsidRPr="00B9696B">
        <w:rPr>
          <w:rFonts w:ascii="Times New Roman" w:eastAsia="Calibri" w:hAnsi="Times New Roman" w:cs="Times New Roman"/>
          <w:sz w:val="28"/>
          <w:szCs w:val="28"/>
          <w:lang w:val="uk-UA"/>
        </w:rPr>
        <w:t>Bliss</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et</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al</w:t>
      </w:r>
      <w:proofErr w:type="spellEnd"/>
      <w:r w:rsidRPr="00B9696B">
        <w:rPr>
          <w:rFonts w:ascii="Times New Roman" w:eastAsia="Calibri" w:hAnsi="Times New Roman" w:cs="Times New Roman"/>
          <w:sz w:val="28"/>
          <w:szCs w:val="28"/>
          <w:lang w:val="uk-UA"/>
        </w:rPr>
        <w:t>., 2020). Ерозія довіри не обмежується лише недовірою до влади, вона може поширюватися на ЗМІ, експертні спільноти, наукові інститути, що ще більше послаблює суспільний консенсус навколо важливих політичних рішень.</w:t>
      </w:r>
    </w:p>
    <w:p w14:paraId="782AD36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b/>
          <w:bCs/>
          <w:sz w:val="28"/>
          <w:szCs w:val="28"/>
          <w:lang w:val="uk-UA"/>
        </w:rPr>
        <w:t>Зміна політичної поведінки громадян</w:t>
      </w:r>
      <w:r w:rsidRPr="00B9696B">
        <w:rPr>
          <w:rFonts w:ascii="Times New Roman" w:eastAsia="Calibri" w:hAnsi="Times New Roman" w:cs="Times New Roman"/>
          <w:sz w:val="28"/>
          <w:szCs w:val="28"/>
          <w:lang w:val="uk-UA"/>
        </w:rPr>
        <w:t xml:space="preserve"> є ще одним  ефектом інформаційної війни. Під впливом маніпулятивних повідомлень змінюються електоральні орієнтації, рівень політичної участі, спрямованість </w:t>
      </w:r>
      <w:proofErr w:type="spellStart"/>
      <w:r w:rsidRPr="00B9696B">
        <w:rPr>
          <w:rFonts w:ascii="Times New Roman" w:eastAsia="Calibri" w:hAnsi="Times New Roman" w:cs="Times New Roman"/>
          <w:sz w:val="28"/>
          <w:szCs w:val="28"/>
          <w:lang w:val="uk-UA"/>
        </w:rPr>
        <w:t>протестних</w:t>
      </w:r>
      <w:proofErr w:type="spellEnd"/>
      <w:r w:rsidRPr="00B9696B">
        <w:rPr>
          <w:rFonts w:ascii="Times New Roman" w:eastAsia="Calibri" w:hAnsi="Times New Roman" w:cs="Times New Roman"/>
          <w:sz w:val="28"/>
          <w:szCs w:val="28"/>
          <w:lang w:val="uk-UA"/>
        </w:rPr>
        <w:t xml:space="preserve"> або, навпаки, апатичних настроїв. Важливо розуміти, що інформаційна війна може одночасно стимулювати як мобілізацію, так і демобілізацію суспільства залежно від стратегічних цілей суб’єкта впливу. Наприклад, певна частина населення може бути спонукана до радикальних дій та протестів через підсилення емоційного відгуку на інформаційні стимули, тоді як інша частина може навпаки втрачати </w:t>
      </w:r>
      <w:r w:rsidRPr="00B9696B">
        <w:rPr>
          <w:rFonts w:ascii="Times New Roman" w:eastAsia="Calibri" w:hAnsi="Times New Roman" w:cs="Times New Roman"/>
          <w:sz w:val="28"/>
          <w:szCs w:val="28"/>
          <w:lang w:val="uk-UA"/>
        </w:rPr>
        <w:lastRenderedPageBreak/>
        <w:t xml:space="preserve">мотивацію до участі у політичному житті через розповсюдження апатичних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w:t>
      </w:r>
    </w:p>
    <w:p w14:paraId="1DFD1A1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Ефект фрагментації суспільства є логічним наслідком концентрації інформаційних впливів на соціальні відмінності. Підсилення та </w:t>
      </w:r>
      <w:proofErr w:type="spellStart"/>
      <w:r w:rsidRPr="00B9696B">
        <w:rPr>
          <w:rFonts w:ascii="Times New Roman" w:eastAsia="Calibri" w:hAnsi="Times New Roman" w:cs="Times New Roman"/>
          <w:sz w:val="28"/>
          <w:szCs w:val="28"/>
          <w:lang w:val="uk-UA"/>
        </w:rPr>
        <w:t>інструменталізація</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мовних</w:t>
      </w:r>
      <w:proofErr w:type="spellEnd"/>
      <w:r w:rsidRPr="00B9696B">
        <w:rPr>
          <w:rFonts w:ascii="Times New Roman" w:eastAsia="Calibri" w:hAnsi="Times New Roman" w:cs="Times New Roman"/>
          <w:sz w:val="28"/>
          <w:szCs w:val="28"/>
          <w:lang w:val="uk-UA"/>
        </w:rPr>
        <w:t>, культурних, регіональних чи ідеологічних відмінностей веде до розпаду спільного символічного простору та зниження соціальної згуртованості, що спостерігається в багатьох сучасних конфліктах, коли зовнішні чи внутрішні актори інформаційної війни навмисно загострюють розбіжності для досягнення політичних цілей. Така фрагментація не лише ускладнює формування об’єднаної відповіді на спільні виклики, але й може призвести до довготривалих конфліктів всередині суспільства.</w:t>
      </w:r>
    </w:p>
    <w:p w14:paraId="11DDDD9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Ще одним наслідком є зміна моделей політичної комунікації. В умовах маніпуляцій та інформаційного перевантаження значно зростає роль емоційної, конфронтаційної та популістської риторики в політичному дискурсі. Раціональний, аргументований діалог відходить на другий план, поступаючись місцем спрощеним повідомленням, що апелюють до емоцій та стереотипів, що змушує політичних еліт адаптувати власні комунікаційні стратегії відповідно до логіки інформаційної війни, що, у свою чергу, посилює поляризацію політичного поля.</w:t>
      </w:r>
    </w:p>
    <w:p w14:paraId="0789998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На міжнародному рівні інформаційна війна проявляється у зміні зовнішньополітичної поведінки держав. Через поширення негативних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та дискредитацію опонента на глобальній арені суб’єкти інформаційної війни можуть впливати на рішення міжнародних організацій і союзників. Як приклад, дослідження ЄС про </w:t>
      </w:r>
      <w:proofErr w:type="spellStart"/>
      <w:r w:rsidRPr="00B9696B">
        <w:rPr>
          <w:rFonts w:ascii="Times New Roman" w:eastAsia="Calibri" w:hAnsi="Times New Roman" w:cs="Times New Roman"/>
          <w:sz w:val="28"/>
          <w:szCs w:val="28"/>
          <w:lang w:val="uk-UA"/>
        </w:rPr>
        <w:t>дезінформаційні</w:t>
      </w:r>
      <w:proofErr w:type="spellEnd"/>
      <w:r w:rsidRPr="00B9696B">
        <w:rPr>
          <w:rFonts w:ascii="Times New Roman" w:eastAsia="Calibri" w:hAnsi="Times New Roman" w:cs="Times New Roman"/>
          <w:sz w:val="28"/>
          <w:szCs w:val="28"/>
          <w:lang w:val="uk-UA"/>
        </w:rPr>
        <w:t xml:space="preserve"> атаки показують, що такі кампанії спрямовані на підрив довіри до інституцій та впливають на політичні процеси у багатьох країнах, включно з виборами та громадською думкою (</w:t>
      </w:r>
      <w:proofErr w:type="spellStart"/>
      <w:r w:rsidRPr="00B9696B">
        <w:rPr>
          <w:rFonts w:ascii="Times New Roman" w:eastAsia="Calibri" w:hAnsi="Times New Roman" w:cs="Times New Roman"/>
          <w:sz w:val="28"/>
          <w:szCs w:val="28"/>
          <w:lang w:val="uk-UA"/>
        </w:rPr>
        <w:t>The</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Guardian</w:t>
      </w:r>
      <w:proofErr w:type="spellEnd"/>
      <w:r w:rsidRPr="00B9696B">
        <w:rPr>
          <w:rFonts w:ascii="Times New Roman" w:eastAsia="Calibri" w:hAnsi="Times New Roman" w:cs="Times New Roman"/>
          <w:sz w:val="28"/>
          <w:szCs w:val="28"/>
          <w:lang w:val="uk-UA"/>
        </w:rPr>
        <w:t>, 2024).</w:t>
      </w:r>
    </w:p>
    <w:p w14:paraId="44D4B7E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Нормалізація інформаційної агресії є довготривалим ефектом, що часто неочевидний на перший погляд. За тривалої експозиції до маніпуляцій суспільство може втратити чутливість до порушень інформаційної етики, що </w:t>
      </w:r>
      <w:r w:rsidRPr="00B9696B">
        <w:rPr>
          <w:rFonts w:ascii="Times New Roman" w:eastAsia="Calibri" w:hAnsi="Times New Roman" w:cs="Times New Roman"/>
          <w:sz w:val="28"/>
          <w:szCs w:val="28"/>
          <w:lang w:val="uk-UA"/>
        </w:rPr>
        <w:lastRenderedPageBreak/>
        <w:t>створює сприятливе середовище для подальших атак. Довготривала дезінформація з часом може призвести до того, що навіть неправдиві або спотворені повідомлення приймаються за норму – це значно ускладнює подальшу боротьбу з маніпулятивними впливами і послаблює критичне мислення громадян. Саме тому дослідники визначають сучасну інформаційну війну не як поодинокі атаки, а як тривалий процес, який формує нову політичну реальність і змінює способи політичної взаємодії (</w:t>
      </w:r>
      <w:proofErr w:type="spellStart"/>
      <w:r w:rsidRPr="00B9696B">
        <w:rPr>
          <w:rFonts w:ascii="Times New Roman" w:eastAsia="Calibri" w:hAnsi="Times New Roman" w:cs="Times New Roman"/>
          <w:sz w:val="28"/>
          <w:szCs w:val="28"/>
          <w:lang w:val="uk-UA"/>
        </w:rPr>
        <w:t>Bakirov</w:t>
      </w:r>
      <w:proofErr w:type="spellEnd"/>
      <w:r w:rsidRPr="00B9696B">
        <w:rPr>
          <w:rFonts w:ascii="Times New Roman" w:eastAsia="Calibri" w:hAnsi="Times New Roman" w:cs="Times New Roman"/>
          <w:sz w:val="28"/>
          <w:szCs w:val="28"/>
          <w:lang w:val="uk-UA"/>
        </w:rPr>
        <w:t xml:space="preserve"> &amp; </w:t>
      </w:r>
      <w:proofErr w:type="spellStart"/>
      <w:r w:rsidRPr="00B9696B">
        <w:rPr>
          <w:rFonts w:ascii="Times New Roman" w:eastAsia="Calibri" w:hAnsi="Times New Roman" w:cs="Times New Roman"/>
          <w:sz w:val="28"/>
          <w:szCs w:val="28"/>
          <w:lang w:val="uk-UA"/>
        </w:rPr>
        <w:t>Suleimenov</w:t>
      </w:r>
      <w:proofErr w:type="spellEnd"/>
      <w:r w:rsidRPr="00B9696B">
        <w:rPr>
          <w:rFonts w:ascii="Times New Roman" w:eastAsia="Calibri" w:hAnsi="Times New Roman" w:cs="Times New Roman"/>
          <w:sz w:val="28"/>
          <w:szCs w:val="28"/>
          <w:lang w:val="uk-UA"/>
        </w:rPr>
        <w:t>, 2025).</w:t>
      </w:r>
    </w:p>
    <w:p w14:paraId="2FA0C2A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16A737CA" w14:textId="11E395EE" w:rsidR="00B9696B" w:rsidRPr="00B9696B" w:rsidRDefault="00B9696B" w:rsidP="00B9696B">
      <w:pPr>
        <w:spacing w:after="0" w:line="360" w:lineRule="auto"/>
        <w:ind w:firstLine="567"/>
        <w:jc w:val="both"/>
        <w:rPr>
          <w:rFonts w:ascii="Times New Roman" w:eastAsia="Calibri" w:hAnsi="Times New Roman" w:cs="Times New Roman"/>
          <w:i/>
          <w:iCs/>
          <w:sz w:val="28"/>
          <w:szCs w:val="28"/>
          <w:lang w:val="uk-UA"/>
        </w:rPr>
      </w:pPr>
      <w:r w:rsidRPr="00B9696B">
        <w:rPr>
          <w:rFonts w:ascii="Times New Roman" w:eastAsia="Calibri" w:hAnsi="Times New Roman" w:cs="Times New Roman"/>
          <w:i/>
          <w:iCs/>
          <w:sz w:val="28"/>
          <w:szCs w:val="28"/>
          <w:lang w:val="uk-UA"/>
        </w:rPr>
        <w:t>Висновки до другого розділу</w:t>
      </w:r>
    </w:p>
    <w:p w14:paraId="2813EC1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Аналіз архітектоніки інформаційної війни дозволив окреслити багаторівневу структуру, логіку функціонування та механізми реалізації цього феномену. Три основні рівні: інструментальний, процесуально-когнітивний та політико-поведінковий, демонструють, як інформаційна війна трансформується з комунікативної практики в системне явище з реальними соціально-політичними наслідками.</w:t>
      </w:r>
    </w:p>
    <w:p w14:paraId="1F541E0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На інструментальному рівні виявлено розгалужену систему засобів впливу від традиційних медіа та пропаганди до </w:t>
      </w:r>
      <w:proofErr w:type="spellStart"/>
      <w:r w:rsidRPr="00B9696B">
        <w:rPr>
          <w:rFonts w:ascii="Times New Roman" w:eastAsia="Calibri" w:hAnsi="Times New Roman" w:cs="Times New Roman"/>
          <w:sz w:val="28"/>
          <w:szCs w:val="28"/>
          <w:lang w:val="uk-UA"/>
        </w:rPr>
        <w:t>кіберінструментів</w:t>
      </w:r>
      <w:proofErr w:type="spellEnd"/>
      <w:r w:rsidRPr="00B9696B">
        <w:rPr>
          <w:rFonts w:ascii="Times New Roman" w:eastAsia="Calibri" w:hAnsi="Times New Roman" w:cs="Times New Roman"/>
          <w:sz w:val="28"/>
          <w:szCs w:val="28"/>
          <w:lang w:val="uk-UA"/>
        </w:rPr>
        <w:t xml:space="preserve"> і мережевих технологій. Вони не лише забезпечують масове поширення інформації, але й служать платформами для маніпулятивного контролю над свідомістю, емоціями та поведінкою масової аудиторії. Цей рівень формує зовнішній каркас інформаційного впливу, через який реалізуються цільові кампанії в умовах гібридних конфліктів.</w:t>
      </w:r>
    </w:p>
    <w:p w14:paraId="79116BF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Процесуально-когнітивний рівень дозволяє побачити, як саме відбувається вплив на свідомість  через </w:t>
      </w:r>
      <w:proofErr w:type="spellStart"/>
      <w:r w:rsidRPr="00B9696B">
        <w:rPr>
          <w:rFonts w:ascii="Times New Roman" w:eastAsia="Calibri" w:hAnsi="Times New Roman" w:cs="Times New Roman"/>
          <w:sz w:val="28"/>
          <w:szCs w:val="28"/>
          <w:lang w:val="uk-UA"/>
        </w:rPr>
        <w:t>наративне</w:t>
      </w:r>
      <w:proofErr w:type="spellEnd"/>
      <w:r w:rsidRPr="00B9696B">
        <w:rPr>
          <w:rFonts w:ascii="Times New Roman" w:eastAsia="Calibri" w:hAnsi="Times New Roman" w:cs="Times New Roman"/>
          <w:sz w:val="28"/>
          <w:szCs w:val="28"/>
          <w:lang w:val="uk-UA"/>
        </w:rPr>
        <w:t xml:space="preserve"> програмування, </w:t>
      </w:r>
      <w:proofErr w:type="spellStart"/>
      <w:r w:rsidRPr="00B9696B">
        <w:rPr>
          <w:rFonts w:ascii="Times New Roman" w:eastAsia="Calibri" w:hAnsi="Times New Roman" w:cs="Times New Roman"/>
          <w:sz w:val="28"/>
          <w:szCs w:val="28"/>
          <w:lang w:val="uk-UA"/>
        </w:rPr>
        <w:t>фреймінг</w:t>
      </w:r>
      <w:proofErr w:type="spellEnd"/>
      <w:r w:rsidRPr="00B9696B">
        <w:rPr>
          <w:rFonts w:ascii="Times New Roman" w:eastAsia="Calibri" w:hAnsi="Times New Roman" w:cs="Times New Roman"/>
          <w:sz w:val="28"/>
          <w:szCs w:val="28"/>
          <w:lang w:val="uk-UA"/>
        </w:rPr>
        <w:t xml:space="preserve">, когнітивні упередження, емоційні маніпуляції та інші </w:t>
      </w:r>
      <w:proofErr w:type="spellStart"/>
      <w:r w:rsidRPr="00B9696B">
        <w:rPr>
          <w:rFonts w:ascii="Times New Roman" w:eastAsia="Calibri" w:hAnsi="Times New Roman" w:cs="Times New Roman"/>
          <w:sz w:val="28"/>
          <w:szCs w:val="28"/>
          <w:lang w:val="uk-UA"/>
        </w:rPr>
        <w:t>психоінформаційні</w:t>
      </w:r>
      <w:proofErr w:type="spellEnd"/>
      <w:r w:rsidRPr="00B9696B">
        <w:rPr>
          <w:rFonts w:ascii="Times New Roman" w:eastAsia="Calibri" w:hAnsi="Times New Roman" w:cs="Times New Roman"/>
          <w:sz w:val="28"/>
          <w:szCs w:val="28"/>
          <w:lang w:val="uk-UA"/>
        </w:rPr>
        <w:t xml:space="preserve"> механізми. Саме цей рівень розкриває глибину проникнення інформаційної агресії в індивідуальні та колективні когнітивні структури, що веде до зміни картин світу, </w:t>
      </w:r>
      <w:proofErr w:type="spellStart"/>
      <w:r w:rsidRPr="00B9696B">
        <w:rPr>
          <w:rFonts w:ascii="Times New Roman" w:eastAsia="Calibri" w:hAnsi="Times New Roman" w:cs="Times New Roman"/>
          <w:sz w:val="28"/>
          <w:szCs w:val="28"/>
          <w:lang w:val="uk-UA"/>
        </w:rPr>
        <w:t>ідентичностей</w:t>
      </w:r>
      <w:proofErr w:type="spellEnd"/>
      <w:r w:rsidRPr="00B9696B">
        <w:rPr>
          <w:rFonts w:ascii="Times New Roman" w:eastAsia="Calibri" w:hAnsi="Times New Roman" w:cs="Times New Roman"/>
          <w:sz w:val="28"/>
          <w:szCs w:val="28"/>
          <w:lang w:val="uk-UA"/>
        </w:rPr>
        <w:t>, моделей поведінки. Це робить інформаційну війну особливо небезпечною, адже її наслідки можуть бути латентними, але довготривалими.</w:t>
      </w:r>
    </w:p>
    <w:p w14:paraId="2C6849D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Нарешті, політико-поведінковий рівень демонструє результати дії інформаційної війни  трансформацію політичної свідомості, деструкцію довіри до інститутів, зміну форм політичної участі, фрагментацію суспільства, девальвацію норм політичної культури. Ефекти інформаційної війни не обмежуються маніпуляцією думкою, а спричиняють реальні зсуви в політичному ландшафті, міжнародних відносинах і механізмах державного управління.</w:t>
      </w:r>
    </w:p>
    <w:p w14:paraId="37E46AE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Таким чином, інформаційна війна постає як складна системна загроза, яка поєднує технологічні, когнітивні та політичні виміри. Ефективна протидія їй вимагає не лише технічних засобів, але й розвиненої інформаційної культури, критичного мислення, суспільної </w:t>
      </w:r>
      <w:proofErr w:type="spellStart"/>
      <w:r w:rsidRPr="00B9696B">
        <w:rPr>
          <w:rFonts w:ascii="Times New Roman" w:eastAsia="Calibri" w:hAnsi="Times New Roman" w:cs="Times New Roman"/>
          <w:sz w:val="28"/>
          <w:szCs w:val="28"/>
          <w:lang w:val="uk-UA"/>
        </w:rPr>
        <w:t>резилієнтності</w:t>
      </w:r>
      <w:proofErr w:type="spellEnd"/>
      <w:r w:rsidRPr="00B9696B">
        <w:rPr>
          <w:rFonts w:ascii="Times New Roman" w:eastAsia="Calibri" w:hAnsi="Times New Roman" w:cs="Times New Roman"/>
          <w:sz w:val="28"/>
          <w:szCs w:val="28"/>
          <w:lang w:val="uk-UA"/>
        </w:rPr>
        <w:t xml:space="preserve"> та стратегічного мислення на рівні політичного управління.</w:t>
      </w:r>
    </w:p>
    <w:p w14:paraId="50E7196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6D3C17A1" w14:textId="77777777" w:rsidR="009C521E" w:rsidRPr="00112B82" w:rsidRDefault="009C521E">
      <w:pPr>
        <w:rPr>
          <w:rFonts w:ascii="Times New Roman" w:hAnsi="Times New Roman" w:cs="Times New Roman"/>
          <w:sz w:val="28"/>
          <w:szCs w:val="28"/>
          <w:lang w:val="uk-UA"/>
        </w:rPr>
      </w:pPr>
    </w:p>
    <w:p w14:paraId="41C706EB" w14:textId="77777777" w:rsidR="009C521E" w:rsidRPr="00112B82" w:rsidRDefault="009C521E">
      <w:pPr>
        <w:rPr>
          <w:rFonts w:ascii="Times New Roman" w:hAnsi="Times New Roman" w:cs="Times New Roman"/>
          <w:sz w:val="28"/>
          <w:szCs w:val="28"/>
          <w:lang w:val="uk-UA"/>
        </w:rPr>
      </w:pPr>
    </w:p>
    <w:p w14:paraId="2A028BFA" w14:textId="77777777" w:rsidR="009C521E" w:rsidRPr="00112B82" w:rsidRDefault="009C521E">
      <w:pPr>
        <w:rPr>
          <w:rFonts w:ascii="Times New Roman" w:hAnsi="Times New Roman" w:cs="Times New Roman"/>
          <w:sz w:val="28"/>
          <w:szCs w:val="28"/>
          <w:lang w:val="uk-UA"/>
        </w:rPr>
      </w:pPr>
    </w:p>
    <w:p w14:paraId="01EEE5FB" w14:textId="77777777" w:rsidR="009C521E" w:rsidRPr="00112B82" w:rsidRDefault="009C521E">
      <w:pPr>
        <w:rPr>
          <w:rFonts w:ascii="Times New Roman" w:hAnsi="Times New Roman" w:cs="Times New Roman"/>
          <w:sz w:val="28"/>
          <w:szCs w:val="28"/>
          <w:lang w:val="uk-UA"/>
        </w:rPr>
      </w:pPr>
    </w:p>
    <w:p w14:paraId="33A519EC" w14:textId="77777777" w:rsidR="009C521E" w:rsidRPr="00112B82" w:rsidRDefault="009C521E">
      <w:pPr>
        <w:rPr>
          <w:rFonts w:ascii="Times New Roman" w:hAnsi="Times New Roman" w:cs="Times New Roman"/>
          <w:sz w:val="28"/>
          <w:szCs w:val="28"/>
          <w:lang w:val="uk-UA"/>
        </w:rPr>
      </w:pPr>
    </w:p>
    <w:p w14:paraId="39DE00F9" w14:textId="77777777" w:rsidR="009C521E" w:rsidRPr="00112B82" w:rsidRDefault="009C521E">
      <w:pPr>
        <w:rPr>
          <w:rFonts w:ascii="Times New Roman" w:hAnsi="Times New Roman" w:cs="Times New Roman"/>
          <w:sz w:val="28"/>
          <w:szCs w:val="28"/>
          <w:lang w:val="uk-UA"/>
        </w:rPr>
      </w:pPr>
    </w:p>
    <w:p w14:paraId="431DBFD1" w14:textId="77777777" w:rsidR="009C521E" w:rsidRPr="00112B82" w:rsidRDefault="009C521E">
      <w:pPr>
        <w:rPr>
          <w:rFonts w:ascii="Times New Roman" w:hAnsi="Times New Roman" w:cs="Times New Roman"/>
          <w:sz w:val="28"/>
          <w:szCs w:val="28"/>
          <w:lang w:val="uk-UA"/>
        </w:rPr>
      </w:pPr>
    </w:p>
    <w:p w14:paraId="3268C1B4" w14:textId="77777777" w:rsidR="009C521E" w:rsidRPr="00112B82" w:rsidRDefault="009C521E">
      <w:pPr>
        <w:rPr>
          <w:rFonts w:ascii="Times New Roman" w:hAnsi="Times New Roman" w:cs="Times New Roman"/>
          <w:sz w:val="28"/>
          <w:szCs w:val="28"/>
          <w:lang w:val="uk-UA"/>
        </w:rPr>
      </w:pPr>
    </w:p>
    <w:p w14:paraId="49D5AD8A" w14:textId="77777777" w:rsidR="009C521E" w:rsidRPr="00112B82" w:rsidRDefault="009C521E">
      <w:pPr>
        <w:rPr>
          <w:rFonts w:ascii="Times New Roman" w:hAnsi="Times New Roman" w:cs="Times New Roman"/>
          <w:sz w:val="28"/>
          <w:szCs w:val="28"/>
          <w:lang w:val="uk-UA"/>
        </w:rPr>
      </w:pPr>
    </w:p>
    <w:p w14:paraId="3CAE84B7" w14:textId="77777777" w:rsidR="009C521E" w:rsidRPr="00112B82" w:rsidRDefault="009C521E">
      <w:pPr>
        <w:rPr>
          <w:rFonts w:ascii="Times New Roman" w:hAnsi="Times New Roman" w:cs="Times New Roman"/>
          <w:sz w:val="28"/>
          <w:szCs w:val="28"/>
          <w:lang w:val="uk-UA"/>
        </w:rPr>
      </w:pPr>
    </w:p>
    <w:p w14:paraId="6C616468" w14:textId="77777777" w:rsidR="009C521E" w:rsidRPr="00112B82" w:rsidRDefault="009C521E">
      <w:pPr>
        <w:rPr>
          <w:rFonts w:ascii="Times New Roman" w:hAnsi="Times New Roman" w:cs="Times New Roman"/>
          <w:sz w:val="28"/>
          <w:szCs w:val="28"/>
          <w:lang w:val="uk-UA"/>
        </w:rPr>
      </w:pPr>
    </w:p>
    <w:p w14:paraId="4AF05D78" w14:textId="77777777" w:rsidR="009C521E" w:rsidRPr="00112B82" w:rsidRDefault="009C521E">
      <w:pPr>
        <w:rPr>
          <w:rFonts w:ascii="Times New Roman" w:hAnsi="Times New Roman" w:cs="Times New Roman"/>
          <w:sz w:val="28"/>
          <w:szCs w:val="28"/>
          <w:lang w:val="uk-UA"/>
        </w:rPr>
      </w:pPr>
    </w:p>
    <w:p w14:paraId="398FC022" w14:textId="77777777" w:rsidR="009C521E" w:rsidRPr="00112B82" w:rsidRDefault="009C521E">
      <w:pPr>
        <w:rPr>
          <w:rFonts w:ascii="Times New Roman" w:hAnsi="Times New Roman" w:cs="Times New Roman"/>
          <w:sz w:val="28"/>
          <w:szCs w:val="28"/>
          <w:lang w:val="uk-UA"/>
        </w:rPr>
      </w:pPr>
    </w:p>
    <w:p w14:paraId="73FB7658" w14:textId="77777777" w:rsidR="00997869" w:rsidRPr="00112B82" w:rsidRDefault="00997869">
      <w:pPr>
        <w:rPr>
          <w:rFonts w:ascii="Times New Roman" w:hAnsi="Times New Roman" w:cs="Times New Roman"/>
          <w:sz w:val="28"/>
          <w:szCs w:val="28"/>
          <w:lang w:val="uk-UA"/>
        </w:rPr>
      </w:pPr>
    </w:p>
    <w:p w14:paraId="1541F6CF" w14:textId="77777777" w:rsidR="00997869" w:rsidRPr="00112B82" w:rsidRDefault="00997869">
      <w:pPr>
        <w:rPr>
          <w:rFonts w:ascii="Times New Roman" w:hAnsi="Times New Roman" w:cs="Times New Roman"/>
          <w:sz w:val="28"/>
          <w:szCs w:val="28"/>
          <w:lang w:val="uk-UA"/>
        </w:rPr>
      </w:pPr>
    </w:p>
    <w:p w14:paraId="65FFCE2A" w14:textId="77777777" w:rsidR="00997869" w:rsidRPr="00112B82" w:rsidRDefault="00997869">
      <w:pPr>
        <w:rPr>
          <w:rFonts w:ascii="Times New Roman" w:hAnsi="Times New Roman" w:cs="Times New Roman"/>
          <w:sz w:val="28"/>
          <w:szCs w:val="28"/>
          <w:lang w:val="uk-UA"/>
        </w:rPr>
      </w:pPr>
    </w:p>
    <w:p w14:paraId="6BD09B7C" w14:textId="77777777" w:rsidR="00997869" w:rsidRPr="00112B82" w:rsidRDefault="00997869">
      <w:pPr>
        <w:rPr>
          <w:rFonts w:ascii="Times New Roman" w:hAnsi="Times New Roman" w:cs="Times New Roman"/>
          <w:sz w:val="28"/>
          <w:szCs w:val="28"/>
          <w:lang w:val="uk-UA"/>
        </w:rPr>
      </w:pPr>
    </w:p>
    <w:p w14:paraId="599A24E8"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lastRenderedPageBreak/>
        <w:t>РОЗДІЛ 3</w:t>
      </w:r>
    </w:p>
    <w:p w14:paraId="0986CA07"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ПРОТИДІЯ ІНФОРМАЦІЙНИМ ВІЙНАМ ТА ФОРМУВАННЯ СТІЙКОСТІ</w:t>
      </w:r>
    </w:p>
    <w:p w14:paraId="130117AF" w14:textId="77777777" w:rsidR="00B9696B" w:rsidRPr="00B9696B" w:rsidRDefault="00B9696B" w:rsidP="00B9696B">
      <w:pPr>
        <w:spacing w:after="0" w:line="360" w:lineRule="auto"/>
        <w:ind w:firstLine="567"/>
        <w:jc w:val="center"/>
        <w:rPr>
          <w:rFonts w:ascii="Times New Roman" w:eastAsia="Calibri" w:hAnsi="Times New Roman" w:cs="Times New Roman"/>
          <w:b/>
          <w:bCs/>
          <w:sz w:val="28"/>
          <w:szCs w:val="28"/>
          <w:lang w:val="uk-UA"/>
        </w:rPr>
      </w:pPr>
    </w:p>
    <w:p w14:paraId="2BF63D56"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3.1. Інформаційна безпека та державна політика</w:t>
      </w:r>
    </w:p>
    <w:p w14:paraId="209BDEE4"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p>
    <w:p w14:paraId="16C291B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У сучасних умовах інформаційна безпека посідає центральне місце в системі національної безпеки держави, оскільки інформаційний простір перетворився на один із театрів політичного протистояння. Розвиток інформаційних і цифрових технологій, глобалізація комунікацій та зростання ролі масових медіа докорінно змінили характер загроз, з якими стикаються держави. Інформаційна війна як складова гібридних конфліктів зумовлює необхідність переосмислення традиційних підходів до безпеки та формування цілісної державної політики, спрямованої на захист інформаційного суверенітету, стійкість політичних інститутів і стабільність суспільства.</w:t>
      </w:r>
    </w:p>
    <w:p w14:paraId="415CFED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tbl>
      <w:tblPr>
        <w:tblStyle w:val="110"/>
        <w:tblW w:w="0" w:type="auto"/>
        <w:tblInd w:w="0" w:type="dxa"/>
        <w:tblLook w:val="04A0" w:firstRow="1" w:lastRow="0" w:firstColumn="1" w:lastColumn="0" w:noHBand="0" w:noVBand="1"/>
      </w:tblPr>
      <w:tblGrid>
        <w:gridCol w:w="2263"/>
        <w:gridCol w:w="4962"/>
        <w:gridCol w:w="2404"/>
      </w:tblGrid>
      <w:tr w:rsidR="00B9696B" w:rsidRPr="00B9696B" w14:paraId="231E8178" w14:textId="77777777">
        <w:tc>
          <w:tcPr>
            <w:tcW w:w="2263" w:type="dxa"/>
            <w:tcBorders>
              <w:top w:val="single" w:sz="4" w:space="0" w:color="auto"/>
              <w:left w:val="single" w:sz="4" w:space="0" w:color="auto"/>
              <w:bottom w:val="single" w:sz="4" w:space="0" w:color="auto"/>
              <w:right w:val="single" w:sz="4" w:space="0" w:color="auto"/>
            </w:tcBorders>
            <w:hideMark/>
          </w:tcPr>
          <w:p w14:paraId="27AA0E8C"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Джерело</w:t>
            </w:r>
          </w:p>
        </w:tc>
        <w:tc>
          <w:tcPr>
            <w:tcW w:w="4962" w:type="dxa"/>
            <w:tcBorders>
              <w:top w:val="single" w:sz="4" w:space="0" w:color="auto"/>
              <w:left w:val="single" w:sz="4" w:space="0" w:color="auto"/>
              <w:bottom w:val="single" w:sz="4" w:space="0" w:color="auto"/>
              <w:right w:val="single" w:sz="4" w:space="0" w:color="auto"/>
            </w:tcBorders>
            <w:hideMark/>
          </w:tcPr>
          <w:p w14:paraId="41FCD56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Підхід до визначення</w:t>
            </w:r>
          </w:p>
        </w:tc>
        <w:tc>
          <w:tcPr>
            <w:tcW w:w="2404" w:type="dxa"/>
            <w:tcBorders>
              <w:top w:val="single" w:sz="4" w:space="0" w:color="auto"/>
              <w:left w:val="single" w:sz="4" w:space="0" w:color="auto"/>
              <w:bottom w:val="single" w:sz="4" w:space="0" w:color="auto"/>
              <w:right w:val="single" w:sz="4" w:space="0" w:color="auto"/>
            </w:tcBorders>
            <w:hideMark/>
          </w:tcPr>
          <w:p w14:paraId="1B944B6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Основні акценти</w:t>
            </w:r>
          </w:p>
        </w:tc>
      </w:tr>
      <w:tr w:rsidR="00B9696B" w:rsidRPr="00B9696B" w14:paraId="243137DD" w14:textId="77777777">
        <w:tc>
          <w:tcPr>
            <w:tcW w:w="2263" w:type="dxa"/>
            <w:tcBorders>
              <w:top w:val="single" w:sz="4" w:space="0" w:color="auto"/>
              <w:left w:val="single" w:sz="4" w:space="0" w:color="auto"/>
              <w:bottom w:val="single" w:sz="4" w:space="0" w:color="auto"/>
              <w:right w:val="single" w:sz="4" w:space="0" w:color="auto"/>
            </w:tcBorders>
            <w:hideMark/>
          </w:tcPr>
          <w:p w14:paraId="6459AF82"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Закон України «Про Основні засади розвитку інформаційного суспільства…»</w:t>
            </w:r>
          </w:p>
        </w:tc>
        <w:tc>
          <w:tcPr>
            <w:tcW w:w="4962" w:type="dxa"/>
            <w:tcBorders>
              <w:top w:val="single" w:sz="4" w:space="0" w:color="auto"/>
              <w:left w:val="single" w:sz="4" w:space="0" w:color="auto"/>
              <w:bottom w:val="single" w:sz="4" w:space="0" w:color="auto"/>
              <w:right w:val="single" w:sz="4" w:space="0" w:color="auto"/>
            </w:tcBorders>
            <w:hideMark/>
          </w:tcPr>
          <w:p w14:paraId="5FAF030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Стан захищеності </w:t>
            </w:r>
            <w:proofErr w:type="spellStart"/>
            <w:r w:rsidRPr="00B9696B">
              <w:rPr>
                <w:rFonts w:ascii="Times New Roman" w:hAnsi="Times New Roman"/>
                <w:sz w:val="28"/>
                <w:szCs w:val="28"/>
              </w:rPr>
              <w:t>життєво</w:t>
            </w:r>
            <w:proofErr w:type="spellEnd"/>
            <w:r w:rsidRPr="00B9696B">
              <w:rPr>
                <w:rFonts w:ascii="Times New Roman" w:hAnsi="Times New Roman"/>
                <w:sz w:val="28"/>
                <w:szCs w:val="28"/>
              </w:rPr>
              <w:t xml:space="preserve"> важливих інтересів людини, суспільства і держави від шкоди, пов’язаної з інформацією та ІТ.</w:t>
            </w:r>
          </w:p>
        </w:tc>
        <w:tc>
          <w:tcPr>
            <w:tcW w:w="2404" w:type="dxa"/>
            <w:tcBorders>
              <w:top w:val="single" w:sz="4" w:space="0" w:color="auto"/>
              <w:left w:val="single" w:sz="4" w:space="0" w:color="auto"/>
              <w:bottom w:val="single" w:sz="4" w:space="0" w:color="auto"/>
              <w:right w:val="single" w:sz="4" w:space="0" w:color="auto"/>
            </w:tcBorders>
            <w:hideMark/>
          </w:tcPr>
          <w:p w14:paraId="5814774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Захист </w:t>
            </w:r>
            <w:proofErr w:type="spellStart"/>
            <w:r w:rsidRPr="00B9696B">
              <w:rPr>
                <w:rFonts w:ascii="Times New Roman" w:hAnsi="Times New Roman"/>
                <w:sz w:val="28"/>
                <w:szCs w:val="28"/>
              </w:rPr>
              <w:t>життєво</w:t>
            </w:r>
            <w:proofErr w:type="spellEnd"/>
            <w:r w:rsidRPr="00B9696B">
              <w:rPr>
                <w:rFonts w:ascii="Times New Roman" w:hAnsi="Times New Roman"/>
                <w:sz w:val="28"/>
                <w:szCs w:val="28"/>
              </w:rPr>
              <w:t xml:space="preserve"> важливих інтересів</w:t>
            </w:r>
          </w:p>
        </w:tc>
      </w:tr>
      <w:tr w:rsidR="00B9696B" w:rsidRPr="00B9696B" w14:paraId="5278B982" w14:textId="77777777">
        <w:tc>
          <w:tcPr>
            <w:tcW w:w="2263" w:type="dxa"/>
            <w:tcBorders>
              <w:top w:val="single" w:sz="4" w:space="0" w:color="auto"/>
              <w:left w:val="single" w:sz="4" w:space="0" w:color="auto"/>
              <w:bottom w:val="single" w:sz="4" w:space="0" w:color="auto"/>
              <w:right w:val="single" w:sz="4" w:space="0" w:color="auto"/>
            </w:tcBorders>
            <w:hideMark/>
          </w:tcPr>
          <w:p w14:paraId="0F38D4EE"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Шаньгін</w:t>
            </w:r>
            <w:proofErr w:type="spellEnd"/>
            <w:r w:rsidRPr="00B9696B">
              <w:rPr>
                <w:rFonts w:ascii="Times New Roman" w:hAnsi="Times New Roman"/>
                <w:sz w:val="28"/>
                <w:szCs w:val="28"/>
              </w:rPr>
              <w:t xml:space="preserve"> В.І.</w:t>
            </w:r>
          </w:p>
        </w:tc>
        <w:tc>
          <w:tcPr>
            <w:tcW w:w="4962" w:type="dxa"/>
            <w:tcBorders>
              <w:top w:val="single" w:sz="4" w:space="0" w:color="auto"/>
              <w:left w:val="single" w:sz="4" w:space="0" w:color="auto"/>
              <w:bottom w:val="single" w:sz="4" w:space="0" w:color="auto"/>
              <w:right w:val="single" w:sz="4" w:space="0" w:color="auto"/>
            </w:tcBorders>
            <w:hideMark/>
          </w:tcPr>
          <w:p w14:paraId="124D786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Захищеність інформації від незаконного ознайомлення, перетворення і знищення. Технічне трактування.</w:t>
            </w:r>
          </w:p>
        </w:tc>
        <w:tc>
          <w:tcPr>
            <w:tcW w:w="2404" w:type="dxa"/>
            <w:tcBorders>
              <w:top w:val="single" w:sz="4" w:space="0" w:color="auto"/>
              <w:left w:val="single" w:sz="4" w:space="0" w:color="auto"/>
              <w:bottom w:val="single" w:sz="4" w:space="0" w:color="auto"/>
              <w:right w:val="single" w:sz="4" w:space="0" w:color="auto"/>
            </w:tcBorders>
            <w:hideMark/>
          </w:tcPr>
          <w:p w14:paraId="41115F10"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Технічна захищеність інформації</w:t>
            </w:r>
          </w:p>
        </w:tc>
      </w:tr>
      <w:tr w:rsidR="00B9696B" w:rsidRPr="00B9696B" w14:paraId="32F8A6E4" w14:textId="77777777">
        <w:tc>
          <w:tcPr>
            <w:tcW w:w="2263" w:type="dxa"/>
            <w:tcBorders>
              <w:top w:val="single" w:sz="4" w:space="0" w:color="auto"/>
              <w:left w:val="single" w:sz="4" w:space="0" w:color="auto"/>
              <w:bottom w:val="single" w:sz="4" w:space="0" w:color="auto"/>
              <w:right w:val="single" w:sz="4" w:space="0" w:color="auto"/>
            </w:tcBorders>
            <w:hideMark/>
          </w:tcPr>
          <w:p w14:paraId="7C71A21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ISO/IEC 17799</w:t>
            </w:r>
          </w:p>
        </w:tc>
        <w:tc>
          <w:tcPr>
            <w:tcW w:w="4962" w:type="dxa"/>
            <w:tcBorders>
              <w:top w:val="single" w:sz="4" w:space="0" w:color="auto"/>
              <w:left w:val="single" w:sz="4" w:space="0" w:color="auto"/>
              <w:bottom w:val="single" w:sz="4" w:space="0" w:color="auto"/>
              <w:right w:val="single" w:sz="4" w:space="0" w:color="auto"/>
            </w:tcBorders>
            <w:hideMark/>
          </w:tcPr>
          <w:p w14:paraId="2E653656"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Забезпечення конфіденційності, цілісності та доступності інформації (</w:t>
            </w:r>
            <w:proofErr w:type="spellStart"/>
            <w:r w:rsidRPr="00B9696B">
              <w:rPr>
                <w:rFonts w:ascii="Times New Roman" w:hAnsi="Times New Roman"/>
                <w:sz w:val="28"/>
                <w:szCs w:val="28"/>
              </w:rPr>
              <w:t>т.зв</w:t>
            </w:r>
            <w:proofErr w:type="spellEnd"/>
            <w:r w:rsidRPr="00B9696B">
              <w:rPr>
                <w:rFonts w:ascii="Times New Roman" w:hAnsi="Times New Roman"/>
                <w:sz w:val="28"/>
                <w:szCs w:val="28"/>
              </w:rPr>
              <w:t>. CIA-тріада).</w:t>
            </w:r>
          </w:p>
        </w:tc>
        <w:tc>
          <w:tcPr>
            <w:tcW w:w="2404" w:type="dxa"/>
            <w:tcBorders>
              <w:top w:val="single" w:sz="4" w:space="0" w:color="auto"/>
              <w:left w:val="single" w:sz="4" w:space="0" w:color="auto"/>
              <w:bottom w:val="single" w:sz="4" w:space="0" w:color="auto"/>
              <w:right w:val="single" w:sz="4" w:space="0" w:color="auto"/>
            </w:tcBorders>
            <w:hideMark/>
          </w:tcPr>
          <w:p w14:paraId="7BE24832"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Конфіденційність, цілісність, доступність</w:t>
            </w:r>
          </w:p>
        </w:tc>
      </w:tr>
      <w:tr w:rsidR="00B9696B" w:rsidRPr="00B9696B" w14:paraId="4802776E" w14:textId="77777777">
        <w:tc>
          <w:tcPr>
            <w:tcW w:w="2263" w:type="dxa"/>
            <w:tcBorders>
              <w:top w:val="single" w:sz="4" w:space="0" w:color="auto"/>
              <w:left w:val="single" w:sz="4" w:space="0" w:color="auto"/>
              <w:bottom w:val="single" w:sz="4" w:space="0" w:color="auto"/>
              <w:right w:val="single" w:sz="4" w:space="0" w:color="auto"/>
            </w:tcBorders>
            <w:hideMark/>
          </w:tcPr>
          <w:p w14:paraId="08275512"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lastRenderedPageBreak/>
              <w:t>ISO/IEC 13335-1, ISO/IEC 27001</w:t>
            </w:r>
          </w:p>
        </w:tc>
        <w:tc>
          <w:tcPr>
            <w:tcW w:w="4962" w:type="dxa"/>
            <w:tcBorders>
              <w:top w:val="single" w:sz="4" w:space="0" w:color="auto"/>
              <w:left w:val="single" w:sz="4" w:space="0" w:color="auto"/>
              <w:bottom w:val="single" w:sz="4" w:space="0" w:color="auto"/>
              <w:right w:val="single" w:sz="4" w:space="0" w:color="auto"/>
            </w:tcBorders>
            <w:hideMark/>
          </w:tcPr>
          <w:p w14:paraId="67F737A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Розширене розуміння з урахуванням додаткових властивостей: </w:t>
            </w:r>
            <w:proofErr w:type="spellStart"/>
            <w:r w:rsidRPr="00B9696B">
              <w:rPr>
                <w:rFonts w:ascii="Times New Roman" w:hAnsi="Times New Roman"/>
                <w:sz w:val="28"/>
                <w:szCs w:val="28"/>
              </w:rPr>
              <w:t>обліковість</w:t>
            </w:r>
            <w:proofErr w:type="spellEnd"/>
            <w:r w:rsidRPr="00B9696B">
              <w:rPr>
                <w:rFonts w:ascii="Times New Roman" w:hAnsi="Times New Roman"/>
                <w:sz w:val="28"/>
                <w:szCs w:val="28"/>
              </w:rPr>
              <w:t xml:space="preserve">, достовірність, </w:t>
            </w:r>
            <w:proofErr w:type="spellStart"/>
            <w:r w:rsidRPr="00B9696B">
              <w:rPr>
                <w:rFonts w:ascii="Times New Roman" w:hAnsi="Times New Roman"/>
                <w:sz w:val="28"/>
                <w:szCs w:val="28"/>
              </w:rPr>
              <w:t>невідмовність</w:t>
            </w:r>
            <w:proofErr w:type="spellEnd"/>
            <w:r w:rsidRPr="00B9696B">
              <w:rPr>
                <w:rFonts w:ascii="Times New Roman" w:hAnsi="Times New Roman"/>
                <w:sz w:val="28"/>
                <w:szCs w:val="28"/>
              </w:rPr>
              <w:t>. Інформаційна безпека змінюється залежно від рівня загроз.</w:t>
            </w:r>
          </w:p>
        </w:tc>
        <w:tc>
          <w:tcPr>
            <w:tcW w:w="2404" w:type="dxa"/>
            <w:tcBorders>
              <w:top w:val="single" w:sz="4" w:space="0" w:color="auto"/>
              <w:left w:val="single" w:sz="4" w:space="0" w:color="auto"/>
              <w:bottom w:val="single" w:sz="4" w:space="0" w:color="auto"/>
              <w:right w:val="single" w:sz="4" w:space="0" w:color="auto"/>
            </w:tcBorders>
            <w:hideMark/>
          </w:tcPr>
          <w:p w14:paraId="121EF0A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Надійність, гнучкість, облік рівня загроз</w:t>
            </w:r>
          </w:p>
        </w:tc>
      </w:tr>
      <w:tr w:rsidR="00B9696B" w:rsidRPr="00B9696B" w14:paraId="4222580C" w14:textId="77777777">
        <w:tc>
          <w:tcPr>
            <w:tcW w:w="2263" w:type="dxa"/>
            <w:tcBorders>
              <w:top w:val="single" w:sz="4" w:space="0" w:color="auto"/>
              <w:left w:val="single" w:sz="4" w:space="0" w:color="auto"/>
              <w:bottom w:val="single" w:sz="4" w:space="0" w:color="auto"/>
              <w:right w:val="single" w:sz="4" w:space="0" w:color="auto"/>
            </w:tcBorders>
            <w:hideMark/>
          </w:tcPr>
          <w:p w14:paraId="21AC851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Архипов О.Є., Архипова Є.О.</w:t>
            </w:r>
          </w:p>
        </w:tc>
        <w:tc>
          <w:tcPr>
            <w:tcW w:w="4962" w:type="dxa"/>
            <w:tcBorders>
              <w:top w:val="single" w:sz="4" w:space="0" w:color="auto"/>
              <w:left w:val="single" w:sz="4" w:space="0" w:color="auto"/>
              <w:bottom w:val="single" w:sz="4" w:space="0" w:color="auto"/>
              <w:right w:val="single" w:sz="4" w:space="0" w:color="auto"/>
            </w:tcBorders>
            <w:hideMark/>
          </w:tcPr>
          <w:p w14:paraId="727B6E5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Інформаційна безпека –  це стан захищеності об’єкта від інформаційних загроз. Акцент на </w:t>
            </w:r>
            <w:proofErr w:type="spellStart"/>
            <w:r w:rsidRPr="00B9696B">
              <w:rPr>
                <w:rFonts w:ascii="Times New Roman" w:hAnsi="Times New Roman"/>
                <w:sz w:val="28"/>
                <w:szCs w:val="28"/>
              </w:rPr>
              <w:t>міждисциплінарність</w:t>
            </w:r>
            <w:proofErr w:type="spellEnd"/>
            <w:r w:rsidRPr="00B9696B">
              <w:rPr>
                <w:rFonts w:ascii="Times New Roman" w:hAnsi="Times New Roman"/>
                <w:sz w:val="28"/>
                <w:szCs w:val="28"/>
              </w:rPr>
              <w:t xml:space="preserve"> (правові, технічні, соціальні аспекти) та розмежування понять ІБ і безпеки І.</w:t>
            </w:r>
          </w:p>
        </w:tc>
        <w:tc>
          <w:tcPr>
            <w:tcW w:w="2404" w:type="dxa"/>
            <w:tcBorders>
              <w:top w:val="single" w:sz="4" w:space="0" w:color="auto"/>
              <w:left w:val="single" w:sz="4" w:space="0" w:color="auto"/>
              <w:bottom w:val="single" w:sz="4" w:space="0" w:color="auto"/>
              <w:right w:val="single" w:sz="4" w:space="0" w:color="auto"/>
            </w:tcBorders>
            <w:hideMark/>
          </w:tcPr>
          <w:p w14:paraId="04440FE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Комплексний підхід, урахування ризиків, правовий та соціальний контексти</w:t>
            </w:r>
          </w:p>
        </w:tc>
      </w:tr>
    </w:tbl>
    <w:p w14:paraId="3A98A35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0CC0334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 </w:t>
      </w:r>
    </w:p>
    <w:p w14:paraId="447BF45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Розгляд підходів до визначення поняття «інформаційна безпека» свідчить про еволюцію цього терміну від вузько технічного до широкого міждисциплінарного трактування. На ранніх етапах домінували підходи, які зосереджувалися винятково на технічному захисті інформації? зокрема на захисті від несанкціонованого доступу, втрати чи зміни даних. Такі трактування відображено в працях </w:t>
      </w:r>
      <w:proofErr w:type="spellStart"/>
      <w:r w:rsidRPr="00B9696B">
        <w:rPr>
          <w:rFonts w:ascii="Times New Roman" w:eastAsia="Calibri" w:hAnsi="Times New Roman" w:cs="Times New Roman"/>
          <w:sz w:val="28"/>
          <w:szCs w:val="28"/>
          <w:lang w:val="uk-UA"/>
        </w:rPr>
        <w:t>Шаньгіна</w:t>
      </w:r>
      <w:proofErr w:type="spellEnd"/>
      <w:r w:rsidRPr="00B9696B">
        <w:rPr>
          <w:rFonts w:ascii="Times New Roman" w:eastAsia="Calibri" w:hAnsi="Times New Roman" w:cs="Times New Roman"/>
          <w:sz w:val="28"/>
          <w:szCs w:val="28"/>
          <w:lang w:val="uk-UA"/>
        </w:rPr>
        <w:t xml:space="preserve"> В.І. та в стандартах ISO/IEC 17799, де основна увага приділяється тріаді: конфіденційність, цілісність і доступність (CIA).</w:t>
      </w:r>
    </w:p>
    <w:p w14:paraId="625AC896"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Подальший розвиток інформаційного суспільства і загострення інформаційних загроз сприяли розширенню підходів до інформаційної безпеки. Зокрема, стандарти ISO/IEC 13335-1 та ISO/IEC 27001 додають нові характеристики, такі як достовірність, </w:t>
      </w:r>
      <w:proofErr w:type="spellStart"/>
      <w:r w:rsidRPr="00B9696B">
        <w:rPr>
          <w:rFonts w:ascii="Times New Roman" w:eastAsia="Calibri" w:hAnsi="Times New Roman" w:cs="Times New Roman"/>
          <w:sz w:val="28"/>
          <w:szCs w:val="28"/>
          <w:lang w:val="uk-UA"/>
        </w:rPr>
        <w:t>обліковість</w:t>
      </w:r>
      <w:proofErr w:type="spellEnd"/>
      <w:r w:rsidRPr="00B9696B">
        <w:rPr>
          <w:rFonts w:ascii="Times New Roman" w:eastAsia="Calibri" w:hAnsi="Times New Roman" w:cs="Times New Roman"/>
          <w:sz w:val="28"/>
          <w:szCs w:val="28"/>
          <w:lang w:val="uk-UA"/>
        </w:rPr>
        <w:t xml:space="preserve"> і </w:t>
      </w:r>
      <w:proofErr w:type="spellStart"/>
      <w:r w:rsidRPr="00B9696B">
        <w:rPr>
          <w:rFonts w:ascii="Times New Roman" w:eastAsia="Calibri" w:hAnsi="Times New Roman" w:cs="Times New Roman"/>
          <w:sz w:val="28"/>
          <w:szCs w:val="28"/>
          <w:lang w:val="uk-UA"/>
        </w:rPr>
        <w:t>невідмовність</w:t>
      </w:r>
      <w:proofErr w:type="spellEnd"/>
      <w:r w:rsidRPr="00B9696B">
        <w:rPr>
          <w:rFonts w:ascii="Times New Roman" w:eastAsia="Calibri" w:hAnsi="Times New Roman" w:cs="Times New Roman"/>
          <w:sz w:val="28"/>
          <w:szCs w:val="28"/>
          <w:lang w:val="uk-UA"/>
        </w:rPr>
        <w:t>, що дозволяє адаптувати концепцію безпеки до нових форм атак і різнотипних ризиків.</w:t>
      </w:r>
    </w:p>
    <w:p w14:paraId="4FCE07CB"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Особливу увагу заслуговує підхід, запропонований у Законі України та розвинений у працях Архипова О.Є. Він трактує інформаційну безпеку як стан захищеності </w:t>
      </w:r>
      <w:proofErr w:type="spellStart"/>
      <w:r w:rsidRPr="00B9696B">
        <w:rPr>
          <w:rFonts w:ascii="Times New Roman" w:eastAsia="Calibri" w:hAnsi="Times New Roman" w:cs="Times New Roman"/>
          <w:sz w:val="28"/>
          <w:szCs w:val="28"/>
          <w:lang w:val="uk-UA"/>
        </w:rPr>
        <w:t>життєво</w:t>
      </w:r>
      <w:proofErr w:type="spellEnd"/>
      <w:r w:rsidRPr="00B9696B">
        <w:rPr>
          <w:rFonts w:ascii="Times New Roman" w:eastAsia="Calibri" w:hAnsi="Times New Roman" w:cs="Times New Roman"/>
          <w:sz w:val="28"/>
          <w:szCs w:val="28"/>
          <w:lang w:val="uk-UA"/>
        </w:rPr>
        <w:t xml:space="preserve"> важливих інтересів особи, суспільства та держави, що </w:t>
      </w:r>
      <w:proofErr w:type="spellStart"/>
      <w:r w:rsidRPr="00B9696B">
        <w:rPr>
          <w:rFonts w:ascii="Times New Roman" w:eastAsia="Calibri" w:hAnsi="Times New Roman" w:cs="Times New Roman"/>
          <w:sz w:val="28"/>
          <w:szCs w:val="28"/>
          <w:lang w:val="uk-UA"/>
        </w:rPr>
        <w:t>переносить</w:t>
      </w:r>
      <w:proofErr w:type="spellEnd"/>
      <w:r w:rsidRPr="00B9696B">
        <w:rPr>
          <w:rFonts w:ascii="Times New Roman" w:eastAsia="Calibri" w:hAnsi="Times New Roman" w:cs="Times New Roman"/>
          <w:sz w:val="28"/>
          <w:szCs w:val="28"/>
          <w:lang w:val="uk-UA"/>
        </w:rPr>
        <w:t xml:space="preserve"> фокус на більш </w:t>
      </w:r>
      <w:proofErr w:type="spellStart"/>
      <w:r w:rsidRPr="00B9696B">
        <w:rPr>
          <w:rFonts w:ascii="Times New Roman" w:eastAsia="Calibri" w:hAnsi="Times New Roman" w:cs="Times New Roman"/>
          <w:sz w:val="28"/>
          <w:szCs w:val="28"/>
          <w:lang w:val="uk-UA"/>
        </w:rPr>
        <w:t>загальносоціальні</w:t>
      </w:r>
      <w:proofErr w:type="spellEnd"/>
      <w:r w:rsidRPr="00B9696B">
        <w:rPr>
          <w:rFonts w:ascii="Times New Roman" w:eastAsia="Calibri" w:hAnsi="Times New Roman" w:cs="Times New Roman"/>
          <w:sz w:val="28"/>
          <w:szCs w:val="28"/>
          <w:lang w:val="uk-UA"/>
        </w:rPr>
        <w:t xml:space="preserve"> й гуманітарні виміри. Такий підхід охоплює не лише технічний, а й соціальний, правовий, політичний та культурний </w:t>
      </w:r>
      <w:r w:rsidRPr="00B9696B">
        <w:rPr>
          <w:rFonts w:ascii="Times New Roman" w:eastAsia="Calibri" w:hAnsi="Times New Roman" w:cs="Times New Roman"/>
          <w:sz w:val="28"/>
          <w:szCs w:val="28"/>
          <w:lang w:val="uk-UA"/>
        </w:rPr>
        <w:lastRenderedPageBreak/>
        <w:t xml:space="preserve">контексти, що є вкрай актуальним в умовах гібридної війни, кібератак та </w:t>
      </w:r>
      <w:proofErr w:type="spellStart"/>
      <w:r w:rsidRPr="00B9696B">
        <w:rPr>
          <w:rFonts w:ascii="Times New Roman" w:eastAsia="Calibri" w:hAnsi="Times New Roman" w:cs="Times New Roman"/>
          <w:sz w:val="28"/>
          <w:szCs w:val="28"/>
          <w:lang w:val="uk-UA"/>
        </w:rPr>
        <w:t>дезінформаційних</w:t>
      </w:r>
      <w:proofErr w:type="spellEnd"/>
      <w:r w:rsidRPr="00B9696B">
        <w:rPr>
          <w:rFonts w:ascii="Times New Roman" w:eastAsia="Calibri" w:hAnsi="Times New Roman" w:cs="Times New Roman"/>
          <w:sz w:val="28"/>
          <w:szCs w:val="28"/>
          <w:lang w:val="uk-UA"/>
        </w:rPr>
        <w:t xml:space="preserve"> кампаній.</w:t>
      </w:r>
    </w:p>
    <w:p w14:paraId="2E0DE6C4"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Комплексність сучасного розуміння інформаційної безпеки передбачає системний аналіз ризиків, оцінку потенційної шкоди, а також впровадження політик інформаційної безпеки, орієнтованих на захист інтересів як окремої особи, так і державних структур. Таким чином, інформаційна безпека постає не просто як технічне завдання, а як фундаментальний елемент національної безпеки.</w:t>
      </w:r>
    </w:p>
    <w:p w14:paraId="665AB5E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розгляд різних підходів до трактування поняття «інформаційна безпека», можна зробити низку принципових висновків, що мають значення як для теоретичного осмислення цього феномену, так і для практичної реалізації політик безпеки в умовах цифрової трансформації суспільства.</w:t>
      </w:r>
    </w:p>
    <w:p w14:paraId="41008049"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По-перше, поняття інформаційної безпеки є багатовимірним, </w:t>
      </w:r>
      <w:proofErr w:type="spellStart"/>
      <w:r w:rsidRPr="00B9696B">
        <w:rPr>
          <w:rFonts w:ascii="Times New Roman" w:eastAsia="Calibri" w:hAnsi="Times New Roman" w:cs="Times New Roman"/>
          <w:sz w:val="28"/>
          <w:szCs w:val="28"/>
          <w:lang w:val="uk-UA"/>
        </w:rPr>
        <w:t>мультидисциплінарним</w:t>
      </w:r>
      <w:proofErr w:type="spellEnd"/>
      <w:r w:rsidRPr="00B9696B">
        <w:rPr>
          <w:rFonts w:ascii="Times New Roman" w:eastAsia="Calibri" w:hAnsi="Times New Roman" w:cs="Times New Roman"/>
          <w:sz w:val="28"/>
          <w:szCs w:val="28"/>
          <w:lang w:val="uk-UA"/>
        </w:rPr>
        <w:t xml:space="preserve"> утворенням, яке охоплює не лише технічні аспекти збереження цілісності, конфіденційності та доступності даних, але й включає правові, політичні, соціальні, етичні та культурні компоненти. Такий підхід відображає необхідність переходу від вузькотехнічного розуміння до більш комплексного, системного бачення інформаційної безпеки як фундаментального елементу національної, громадянської та особистої безпеки.</w:t>
      </w:r>
    </w:p>
    <w:p w14:paraId="4B463A8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По-друге, технократичні моделі, що домінували в ранніх стандартах, таких як ISO/IEC 17799, зосереджували увагу виключно на захисті інформації як об’єкта, залишаючи поза увагою динаміку інформаційних відносин, мотивацію атак, інформаційні впливи на масову свідомість тощо. Ці моделі виявилися недостатніми для реагування на складні загрози сучасної епохи, пов’язані з інформаційною війною, </w:t>
      </w:r>
      <w:proofErr w:type="spellStart"/>
      <w:r w:rsidRPr="00B9696B">
        <w:rPr>
          <w:rFonts w:ascii="Times New Roman" w:eastAsia="Calibri" w:hAnsi="Times New Roman" w:cs="Times New Roman"/>
          <w:sz w:val="28"/>
          <w:szCs w:val="28"/>
          <w:lang w:val="uk-UA"/>
        </w:rPr>
        <w:t>кіберагресією</w:t>
      </w:r>
      <w:proofErr w:type="spellEnd"/>
      <w:r w:rsidRPr="00B9696B">
        <w:rPr>
          <w:rFonts w:ascii="Times New Roman" w:eastAsia="Calibri" w:hAnsi="Times New Roman" w:cs="Times New Roman"/>
          <w:sz w:val="28"/>
          <w:szCs w:val="28"/>
          <w:lang w:val="uk-UA"/>
        </w:rPr>
        <w:t>, дезінформацією та маніпуляціями.</w:t>
      </w:r>
    </w:p>
    <w:p w14:paraId="6040F86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По-третє, сучасні наукові та нормативно-правові підходи демонструють тенденцію до міждисциплінарної інтеграції. Інформаційна безпека дедалі частіше визначається як система засобів, спрямованих на захист інтересів суб’єктів інформаційних відносин (громадян, організацій, держави) від комплексу загроз, які включають не тільки технічні злами, а й інформаційні атаки </w:t>
      </w:r>
      <w:r w:rsidRPr="00B9696B">
        <w:rPr>
          <w:rFonts w:ascii="Times New Roman" w:eastAsia="Calibri" w:hAnsi="Times New Roman" w:cs="Times New Roman"/>
          <w:sz w:val="28"/>
          <w:szCs w:val="28"/>
          <w:lang w:val="uk-UA"/>
        </w:rPr>
        <w:lastRenderedPageBreak/>
        <w:t>на рівні свідомості, культурної ідентичності, політичної легітимності. Ці підходи акцентують необхідність гармонізації технічного захисту з правовими нормами, соціальною стійкістю та інформаційною гігієною.</w:t>
      </w:r>
    </w:p>
    <w:p w14:paraId="3785942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По-четверте, національні концептуальні моделі, особливо українські, висвітлюють безпеку через призму захисту базових суспільних інтересів в умовах гібридних воєн. Таке розширене розуміння інформаційної безпеки є адекватним викликам сьогодення, коли інформація використовується як інструмент не лише маніпуляції, а й дестабілізації державних інститутів та соціальних систем.</w:t>
      </w:r>
    </w:p>
    <w:p w14:paraId="1A92749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По-п’яте, найефективнішим і перспективним напрямом є інтегрований підхід до інформаційної безпеки, який поєднує технічні рішення з організаційними процедурами, правовим регулюванням, формуванням критичного мислення та розвитку інформаційної культури. Такий підхід забезпечує створення гнучкої, адаптивної та </w:t>
      </w:r>
      <w:proofErr w:type="spellStart"/>
      <w:r w:rsidRPr="00B9696B">
        <w:rPr>
          <w:rFonts w:ascii="Times New Roman" w:eastAsia="Calibri" w:hAnsi="Times New Roman" w:cs="Times New Roman"/>
          <w:sz w:val="28"/>
          <w:szCs w:val="28"/>
          <w:lang w:val="uk-UA"/>
        </w:rPr>
        <w:t>сталостійкої</w:t>
      </w:r>
      <w:proofErr w:type="spellEnd"/>
      <w:r w:rsidRPr="00B9696B">
        <w:rPr>
          <w:rFonts w:ascii="Times New Roman" w:eastAsia="Calibri" w:hAnsi="Times New Roman" w:cs="Times New Roman"/>
          <w:sz w:val="28"/>
          <w:szCs w:val="28"/>
          <w:lang w:val="uk-UA"/>
        </w:rPr>
        <w:t xml:space="preserve"> системи захисту інформаційного простору, яка здатна ефективно реагувати на змінні загрози в умовах глобалізованого цифрового середовища.</w:t>
      </w:r>
    </w:p>
    <w:p w14:paraId="7F9084F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Таким чином, інформаційна безпека постає як складний, динамічний і стратегічно важливий конструкт, ефективне функціонування якого вимагає постійного оновлення, міждисциплінарної взаємодії та високого рівня суспільної обізнаності.</w:t>
      </w:r>
    </w:p>
    <w:p w14:paraId="664936EA"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Розуміння інформаційної безпеки як складного міждисциплінарного явища створює концептуальну основу для формування відповідної державної політики. Усвідомлення багатовимірної природи загроз та необхідності захисту не лише технічної інформації, а й суспільних інтересів та державного суверенітету, зумовлює потребу у комплексному, системному підході до управління у сфері інформаційної безпеки. Саме в цьому контексті особливого значення набуває аналіз цілей, принципів і механізмів реалізації державної політики в галузі інформаційної безпеки, яка повинна відповідати сучасним викликам, динаміці інформаційного середовища та стратегічним інтересам національної безпеки.</w:t>
      </w:r>
    </w:p>
    <w:p w14:paraId="21CCAAB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Державна політика у сфері інформаційної безпеки формується як відповідь на зростання інформаційних загроз і має комплексний характер. Її завданням є створення нормативно-правових, інституційних і організаційних умов для захисту інформаційного простору без порушення базових принципів демократії та свободи слова. У цьому контексті держава змушена балансувати між необхідністю забезпечення безпеки та збереженням відкритості інформаційного середовища, що є фундаментальною цінністю демократичних суспільств. Більш того, «Питання балансу між національною безпекою і свободою слова та доступом до інформації постає як ключова дилема сучасного правового регулювання. Забезпечення національної безпеки, з одного боку, вимагає протидії дезінформації, захисту критичної інфраструктури та перешкоджання зовнішнім інформаційним втручанням. Водночас необґрунтовані обмеження свободи інформації можуть спричинити порушення прав людини, втрату довіри громадян, </w:t>
      </w:r>
      <w:proofErr w:type="spellStart"/>
      <w:r w:rsidRPr="00B9696B">
        <w:rPr>
          <w:rFonts w:ascii="Times New Roman" w:eastAsia="Calibri" w:hAnsi="Times New Roman" w:cs="Times New Roman"/>
          <w:sz w:val="28"/>
          <w:szCs w:val="28"/>
          <w:lang w:val="uk-UA"/>
        </w:rPr>
        <w:t>делегітимацію</w:t>
      </w:r>
      <w:proofErr w:type="spellEnd"/>
      <w:r w:rsidRPr="00B9696B">
        <w:rPr>
          <w:rFonts w:ascii="Times New Roman" w:eastAsia="Calibri" w:hAnsi="Times New Roman" w:cs="Times New Roman"/>
          <w:sz w:val="28"/>
          <w:szCs w:val="28"/>
          <w:lang w:val="uk-UA"/>
        </w:rPr>
        <w:t xml:space="preserve"> державних інститутів та посилення несприйняття влади в суспільстві. Правове регулювання такого балансу має бути засноване на принципах необхідності, пропорційності та демократичного контролю, щоб уникнути надмірного втручання держави в інформаційне середовище» (</w:t>
      </w:r>
      <w:proofErr w:type="spellStart"/>
      <w:r w:rsidRPr="00B9696B">
        <w:rPr>
          <w:rFonts w:ascii="Times New Roman" w:eastAsia="Calibri" w:hAnsi="Times New Roman" w:cs="Times New Roman"/>
          <w:sz w:val="28"/>
          <w:szCs w:val="28"/>
          <w:lang w:val="uk-UA"/>
        </w:rPr>
        <w:t>Povalena</w:t>
      </w:r>
      <w:proofErr w:type="spellEnd"/>
      <w:r w:rsidRPr="00B9696B">
        <w:rPr>
          <w:rFonts w:ascii="Times New Roman" w:eastAsia="Calibri" w:hAnsi="Times New Roman" w:cs="Times New Roman"/>
          <w:sz w:val="28"/>
          <w:szCs w:val="28"/>
          <w:lang w:val="uk-UA"/>
        </w:rPr>
        <w:t xml:space="preserve"> &amp; </w:t>
      </w:r>
      <w:proofErr w:type="spellStart"/>
      <w:r w:rsidRPr="00B9696B">
        <w:rPr>
          <w:rFonts w:ascii="Times New Roman" w:eastAsia="Calibri" w:hAnsi="Times New Roman" w:cs="Times New Roman"/>
          <w:sz w:val="28"/>
          <w:szCs w:val="28"/>
          <w:lang w:val="uk-UA"/>
        </w:rPr>
        <w:t>Havryltsiv</w:t>
      </w:r>
      <w:proofErr w:type="spellEnd"/>
      <w:r w:rsidRPr="00B9696B">
        <w:rPr>
          <w:rFonts w:ascii="Times New Roman" w:eastAsia="Calibri" w:hAnsi="Times New Roman" w:cs="Times New Roman"/>
          <w:sz w:val="28"/>
          <w:szCs w:val="28"/>
          <w:lang w:val="uk-UA"/>
        </w:rPr>
        <w:t>, 2025).</w:t>
      </w:r>
    </w:p>
    <w:p w14:paraId="43BE040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Також, варто підкреслити, що «державна політика забезпечення інформаційної безпеки є невід’ємною складовою державної політики національної безпеки та являє собою офіційно ухвалену систему поглядів та практичну діяльність органів державної влади і управління, спрямовану на забезпечення такого стану соціальних суб’єктів, при якому дія будь</w:t>
      </w:r>
      <w:r w:rsidRPr="00B9696B">
        <w:rPr>
          <w:rFonts w:ascii="Times New Roman" w:eastAsia="Calibri" w:hAnsi="Times New Roman" w:cs="Times New Roman"/>
          <w:sz w:val="28"/>
          <w:szCs w:val="28"/>
          <w:lang w:val="uk-UA"/>
        </w:rPr>
        <w:noBreakHyphen/>
        <w:t xml:space="preserve">якої інформаційної загрози не призводить до зниження рівня їхньої інформаційної безпеки нижче припустимого, небезпечного з високою ймовірністю реалізації негативних інформаційних впливів. Політика спрямована на забезпечення гарантій прав соціальних суб’єктів в інформаційній сфері, закріплення обов’язків і відповідальності держави та її органів за інформаційну безпеку та ґрунтується на додержанні балансу інтересів усіх соціальних суб’єктів у цій галузі. Вона передбачає оцінку стану чинного законодавства, формування правового статусу </w:t>
      </w:r>
      <w:r w:rsidRPr="00B9696B">
        <w:rPr>
          <w:rFonts w:ascii="Times New Roman" w:eastAsia="Calibri" w:hAnsi="Times New Roman" w:cs="Times New Roman"/>
          <w:sz w:val="28"/>
          <w:szCs w:val="28"/>
          <w:lang w:val="uk-UA"/>
        </w:rPr>
        <w:lastRenderedPageBreak/>
        <w:t>суб’єктів інформаційної безпеки, механізми протидії загрозам та порядок ліквідації наслідків інформаційних впливів» (</w:t>
      </w:r>
      <w:proofErr w:type="spellStart"/>
      <w:r w:rsidRPr="00B9696B">
        <w:rPr>
          <w:rFonts w:ascii="Times New Roman" w:eastAsia="Calibri" w:hAnsi="Times New Roman" w:cs="Times New Roman"/>
          <w:sz w:val="28"/>
          <w:szCs w:val="28"/>
          <w:lang w:val="uk-UA"/>
        </w:rPr>
        <w:t>Жарков</w:t>
      </w:r>
      <w:proofErr w:type="spellEnd"/>
      <w:r w:rsidRPr="00B9696B">
        <w:rPr>
          <w:rFonts w:ascii="Times New Roman" w:eastAsia="Calibri" w:hAnsi="Times New Roman" w:cs="Times New Roman"/>
          <w:sz w:val="28"/>
          <w:szCs w:val="28"/>
          <w:lang w:val="uk-UA"/>
        </w:rPr>
        <w:t xml:space="preserve">, Дзюба, </w:t>
      </w:r>
      <w:proofErr w:type="spellStart"/>
      <w:r w:rsidRPr="00B9696B">
        <w:rPr>
          <w:rFonts w:ascii="Times New Roman" w:eastAsia="Calibri" w:hAnsi="Times New Roman" w:cs="Times New Roman"/>
          <w:sz w:val="28"/>
          <w:szCs w:val="28"/>
          <w:lang w:val="uk-UA"/>
        </w:rPr>
        <w:t>Замаруєва</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etc</w:t>
      </w:r>
      <w:proofErr w:type="spellEnd"/>
      <w:r w:rsidRPr="00B9696B">
        <w:rPr>
          <w:rFonts w:ascii="Times New Roman" w:eastAsia="Calibri" w:hAnsi="Times New Roman" w:cs="Times New Roman"/>
          <w:sz w:val="28"/>
          <w:szCs w:val="28"/>
          <w:lang w:val="uk-UA"/>
        </w:rPr>
        <w:t>. 2008).</w:t>
      </w:r>
    </w:p>
    <w:p w14:paraId="6BAE2AD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Одним із основних напрямів державної політики у сфері інформаційної безпеки є нормативно-правове регулювання. Прийняття стратегій, доктрин і концепцій інформаційної безпеки дозволяє визначити пріоритети, загрози та механізми реагування на інформаційні виклики. Такі документи, як правило, окреслюють роль державних органів, принципи міжвідомчої координації та напрями співпраці з громадянським суспільством і міжнародними партнерами. Водночас ефективність нормативного регулювання залежить не лише від формального ухвалення документів, а й від їхньої практичної реалізації та адаптації до динамічних змін інформаційного середовища.</w:t>
      </w:r>
    </w:p>
    <w:p w14:paraId="13AE0B7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Інституційний вимір державної політики інформаційної безпеки передбачає створення спеціалізованих органів і структур, відповідальних за моніторинг інформаційних загроз, аналіз </w:t>
      </w:r>
      <w:proofErr w:type="spellStart"/>
      <w:r w:rsidRPr="00B9696B">
        <w:rPr>
          <w:rFonts w:ascii="Times New Roman" w:eastAsia="Calibri" w:hAnsi="Times New Roman" w:cs="Times New Roman"/>
          <w:sz w:val="28"/>
          <w:szCs w:val="28"/>
          <w:lang w:val="uk-UA"/>
        </w:rPr>
        <w:t>дезінформаційних</w:t>
      </w:r>
      <w:proofErr w:type="spellEnd"/>
      <w:r w:rsidRPr="00B9696B">
        <w:rPr>
          <w:rFonts w:ascii="Times New Roman" w:eastAsia="Calibri" w:hAnsi="Times New Roman" w:cs="Times New Roman"/>
          <w:sz w:val="28"/>
          <w:szCs w:val="28"/>
          <w:lang w:val="uk-UA"/>
        </w:rPr>
        <w:t xml:space="preserve"> кампаній і координацію заходів реагування. Такі інституції відіграють основну роль у забезпеченні стратегічних комунікацій держави, формуванні офіційного </w:t>
      </w:r>
      <w:proofErr w:type="spellStart"/>
      <w:r w:rsidRPr="00B9696B">
        <w:rPr>
          <w:rFonts w:ascii="Times New Roman" w:eastAsia="Calibri" w:hAnsi="Times New Roman" w:cs="Times New Roman"/>
          <w:sz w:val="28"/>
          <w:szCs w:val="28"/>
          <w:lang w:val="uk-UA"/>
        </w:rPr>
        <w:t>наративу</w:t>
      </w:r>
      <w:proofErr w:type="spellEnd"/>
      <w:r w:rsidRPr="00B9696B">
        <w:rPr>
          <w:rFonts w:ascii="Times New Roman" w:eastAsia="Calibri" w:hAnsi="Times New Roman" w:cs="Times New Roman"/>
          <w:sz w:val="28"/>
          <w:szCs w:val="28"/>
          <w:lang w:val="uk-UA"/>
        </w:rPr>
        <w:t xml:space="preserve"> та протидії ворожим інформаційним операціям. У сучасних умовах їхня діяльність дедалі частіше поєднує аналітичні, комунікативні та </w:t>
      </w:r>
      <w:proofErr w:type="spellStart"/>
      <w:r w:rsidRPr="00B9696B">
        <w:rPr>
          <w:rFonts w:ascii="Times New Roman" w:eastAsia="Calibri" w:hAnsi="Times New Roman" w:cs="Times New Roman"/>
          <w:sz w:val="28"/>
          <w:szCs w:val="28"/>
          <w:lang w:val="uk-UA"/>
        </w:rPr>
        <w:t>кризово</w:t>
      </w:r>
      <w:proofErr w:type="spellEnd"/>
      <w:r w:rsidRPr="00B9696B">
        <w:rPr>
          <w:rFonts w:ascii="Times New Roman" w:eastAsia="Calibri" w:hAnsi="Times New Roman" w:cs="Times New Roman"/>
          <w:sz w:val="28"/>
          <w:szCs w:val="28"/>
          <w:lang w:val="uk-UA"/>
        </w:rPr>
        <w:t xml:space="preserve">-менеджерські функції. «У багатьох державах створюються спеціалізовані органи для координації політики інформаційної безпеки та стратегічних комунікацій з метою аналізу загроз, моніторингу інформаційного середовища, протидії </w:t>
      </w:r>
      <w:proofErr w:type="spellStart"/>
      <w:r w:rsidRPr="00B9696B">
        <w:rPr>
          <w:rFonts w:ascii="Times New Roman" w:eastAsia="Calibri" w:hAnsi="Times New Roman" w:cs="Times New Roman"/>
          <w:sz w:val="28"/>
          <w:szCs w:val="28"/>
          <w:lang w:val="uk-UA"/>
        </w:rPr>
        <w:t>дезінформаційним</w:t>
      </w:r>
      <w:proofErr w:type="spellEnd"/>
      <w:r w:rsidRPr="00B9696B">
        <w:rPr>
          <w:rFonts w:ascii="Times New Roman" w:eastAsia="Calibri" w:hAnsi="Times New Roman" w:cs="Times New Roman"/>
          <w:sz w:val="28"/>
          <w:szCs w:val="28"/>
          <w:lang w:val="uk-UA"/>
        </w:rPr>
        <w:t xml:space="preserve"> кампаніям і забезпечення своєчасної відповіді на інформаційні атаки. Наприклад, в Україні було створено Центр стратегічних комунікацій та інформаційної безпеки, що функціонує при Міністерстві культури та інформаційної політики та координує дії урядових, громадських і міжнародних партнерів для підвищення інформаційної стійкості суспільства. Така інституція поєднує аналітичну діяльність, комунікаційні операції та просвітницькі </w:t>
      </w:r>
      <w:proofErr w:type="spellStart"/>
      <w:r w:rsidRPr="00B9696B">
        <w:rPr>
          <w:rFonts w:ascii="Times New Roman" w:eastAsia="Calibri" w:hAnsi="Times New Roman" w:cs="Times New Roman"/>
          <w:sz w:val="28"/>
          <w:szCs w:val="28"/>
          <w:lang w:val="uk-UA"/>
        </w:rPr>
        <w:t>проєкти</w:t>
      </w:r>
      <w:proofErr w:type="spellEnd"/>
      <w:r w:rsidRPr="00B9696B">
        <w:rPr>
          <w:rFonts w:ascii="Times New Roman" w:eastAsia="Calibri" w:hAnsi="Times New Roman" w:cs="Times New Roman"/>
          <w:sz w:val="28"/>
          <w:szCs w:val="28"/>
          <w:lang w:val="uk-UA"/>
        </w:rPr>
        <w:t xml:space="preserve">, що сприяють формуванню національного </w:t>
      </w:r>
      <w:proofErr w:type="spellStart"/>
      <w:r w:rsidRPr="00B9696B">
        <w:rPr>
          <w:rFonts w:ascii="Times New Roman" w:eastAsia="Calibri" w:hAnsi="Times New Roman" w:cs="Times New Roman"/>
          <w:sz w:val="28"/>
          <w:szCs w:val="28"/>
          <w:lang w:val="uk-UA"/>
        </w:rPr>
        <w:t>наративу</w:t>
      </w:r>
      <w:proofErr w:type="spellEnd"/>
      <w:r w:rsidRPr="00B9696B">
        <w:rPr>
          <w:rFonts w:ascii="Times New Roman" w:eastAsia="Calibri" w:hAnsi="Times New Roman" w:cs="Times New Roman"/>
          <w:sz w:val="28"/>
          <w:szCs w:val="28"/>
          <w:lang w:val="uk-UA"/>
        </w:rPr>
        <w:t xml:space="preserve"> і протидії інформаційним загрозам» (</w:t>
      </w:r>
      <w:proofErr w:type="spellStart"/>
      <w:r w:rsidRPr="00B9696B">
        <w:rPr>
          <w:rFonts w:ascii="Times New Roman" w:eastAsia="Calibri" w:hAnsi="Times New Roman" w:cs="Times New Roman"/>
          <w:sz w:val="28"/>
          <w:szCs w:val="28"/>
          <w:lang w:val="uk-UA"/>
        </w:rPr>
        <w:t>Centre</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for</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Strategic</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Communication</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and</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Information</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Security</w:t>
      </w:r>
      <w:proofErr w:type="spellEnd"/>
      <w:r w:rsidRPr="00B9696B">
        <w:rPr>
          <w:rFonts w:ascii="Times New Roman" w:eastAsia="Calibri" w:hAnsi="Times New Roman" w:cs="Times New Roman"/>
          <w:sz w:val="28"/>
          <w:szCs w:val="28"/>
          <w:lang w:val="uk-UA"/>
        </w:rPr>
        <w:t>, 2025).</w:t>
      </w:r>
    </w:p>
    <w:p w14:paraId="16FB99A6"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Важливим компонентом державної політики у сфері інформаційної безпеки є стратегічні комунікації. Вони спрямовані не лише на інформування громадян, але й на формування довіри до державних інститутів, пояснення політичних рішень і нейтралізацію маніпулятивних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Ефективні стратегічні комунікації ґрунтуються на прозорості, послідовності та здатності адаптувати меседжі до різних цільових аудиторій. У контексті інформаційної війни саме комунікативна слабкість держави часто стає точкою входу для зовнішнього інформаційного впливу.</w:t>
      </w:r>
    </w:p>
    <w:p w14:paraId="4D42239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Державна політика інформаційної безпеки неможлива без взаємодії з громадянським суспільством і медіа. «Для ефективної інформаційної безпеки сучасні держави все частіше інтегрують стратегії залучення громадськості, незалежних медіа та журналістських організацій в процес розробки й реалізації політик у сфері інформаційного простору. Громадянське суспільство сприяє виявленню дезінформації, підвищенню рівня </w:t>
      </w:r>
      <w:proofErr w:type="spellStart"/>
      <w:r w:rsidRPr="00B9696B">
        <w:rPr>
          <w:rFonts w:ascii="Times New Roman" w:eastAsia="Calibri" w:hAnsi="Times New Roman" w:cs="Times New Roman"/>
          <w:sz w:val="28"/>
          <w:szCs w:val="28"/>
          <w:lang w:val="uk-UA"/>
        </w:rPr>
        <w:t>медіаграмотності</w:t>
      </w:r>
      <w:proofErr w:type="spellEnd"/>
      <w:r w:rsidRPr="00B9696B">
        <w:rPr>
          <w:rFonts w:ascii="Times New Roman" w:eastAsia="Calibri" w:hAnsi="Times New Roman" w:cs="Times New Roman"/>
          <w:sz w:val="28"/>
          <w:szCs w:val="28"/>
          <w:lang w:val="uk-UA"/>
        </w:rPr>
        <w:t xml:space="preserve"> населення, розробці рекомендацій щодо захисту прав людини у цифровому середовищі та забезпеченню прозорості державних комунікацій. Такий підхід розглядається як важлива складова демократичного управління, оскільки забезпечує зворотний зв’язок між владою та громадянами і сприяє формуванню спільного інформаційного простору» (</w:t>
      </w:r>
      <w:proofErr w:type="spellStart"/>
      <w:r w:rsidRPr="00B9696B">
        <w:rPr>
          <w:rFonts w:ascii="Times New Roman" w:eastAsia="Calibri" w:hAnsi="Times New Roman" w:cs="Times New Roman"/>
          <w:sz w:val="28"/>
          <w:szCs w:val="28"/>
          <w:lang w:val="uk-UA"/>
        </w:rPr>
        <w:t>Ngobeni</w:t>
      </w:r>
      <w:proofErr w:type="spellEnd"/>
      <w:r w:rsidRPr="00B9696B">
        <w:rPr>
          <w:rFonts w:ascii="Times New Roman" w:eastAsia="Calibri" w:hAnsi="Times New Roman" w:cs="Times New Roman"/>
          <w:sz w:val="28"/>
          <w:szCs w:val="28"/>
          <w:lang w:val="uk-UA"/>
        </w:rPr>
        <w:t xml:space="preserve"> &amp; </w:t>
      </w:r>
      <w:proofErr w:type="spellStart"/>
      <w:r w:rsidRPr="00B9696B">
        <w:rPr>
          <w:rFonts w:ascii="Times New Roman" w:eastAsia="Calibri" w:hAnsi="Times New Roman" w:cs="Times New Roman"/>
          <w:sz w:val="28"/>
          <w:szCs w:val="28"/>
          <w:lang w:val="uk-UA"/>
        </w:rPr>
        <w:t>Wa</w:t>
      </w:r>
      <w:proofErr w:type="spellEnd"/>
      <w:r w:rsidRPr="00B9696B">
        <w:rPr>
          <w:rFonts w:ascii="Times New Roman" w:eastAsia="Calibri" w:hAnsi="Times New Roman" w:cs="Times New Roman"/>
          <w:sz w:val="28"/>
          <w:szCs w:val="28"/>
          <w:lang w:val="uk-UA"/>
        </w:rPr>
        <w:t xml:space="preserve"> </w:t>
      </w:r>
      <w:proofErr w:type="spellStart"/>
      <w:r w:rsidRPr="00B9696B">
        <w:rPr>
          <w:rFonts w:ascii="Times New Roman" w:eastAsia="Calibri" w:hAnsi="Times New Roman" w:cs="Times New Roman"/>
          <w:sz w:val="28"/>
          <w:szCs w:val="28"/>
          <w:lang w:val="uk-UA"/>
        </w:rPr>
        <w:t>Nkongolo</w:t>
      </w:r>
      <w:proofErr w:type="spellEnd"/>
      <w:r w:rsidRPr="00B9696B">
        <w:rPr>
          <w:rFonts w:ascii="Times New Roman" w:eastAsia="Calibri" w:hAnsi="Times New Roman" w:cs="Times New Roman"/>
          <w:sz w:val="28"/>
          <w:szCs w:val="28"/>
          <w:lang w:val="uk-UA"/>
        </w:rPr>
        <w:t>, 2025).</w:t>
      </w:r>
    </w:p>
    <w:p w14:paraId="7D5CFB4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Недержавні організації, журналістські спільноти та експертні центри відіграють важливу роль у виявленні дезінформації, підвищенні рівня </w:t>
      </w:r>
      <w:proofErr w:type="spellStart"/>
      <w:r w:rsidRPr="00B9696B">
        <w:rPr>
          <w:rFonts w:ascii="Times New Roman" w:eastAsia="Calibri" w:hAnsi="Times New Roman" w:cs="Times New Roman"/>
          <w:sz w:val="28"/>
          <w:szCs w:val="28"/>
          <w:lang w:val="uk-UA"/>
        </w:rPr>
        <w:t>медіаграмотності</w:t>
      </w:r>
      <w:proofErr w:type="spellEnd"/>
      <w:r w:rsidRPr="00B9696B">
        <w:rPr>
          <w:rFonts w:ascii="Times New Roman" w:eastAsia="Calibri" w:hAnsi="Times New Roman" w:cs="Times New Roman"/>
          <w:sz w:val="28"/>
          <w:szCs w:val="28"/>
          <w:lang w:val="uk-UA"/>
        </w:rPr>
        <w:t xml:space="preserve"> та формуванні культури відповідального споживання інформації. У цьому сенсі інформаційна безпека постає як спільна відповідальність держави та суспільства, а не виключно як сфера державного контролю.</w:t>
      </w:r>
    </w:p>
    <w:p w14:paraId="731FAF7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Окремого значення набуває міжнародний вимір державної політики інформаційної безпеки. Інформаційні загрози мають транснаціональний характер, що зумовлює необхідність міжнародної координації, обміну досвідом та спільних ініціатив у сфері протидії дезінформації. Участь у міжнародних платформах, партнерських програмах і колективних механізмах реагування </w:t>
      </w:r>
      <w:r w:rsidRPr="00B9696B">
        <w:rPr>
          <w:rFonts w:ascii="Times New Roman" w:eastAsia="Calibri" w:hAnsi="Times New Roman" w:cs="Times New Roman"/>
          <w:sz w:val="28"/>
          <w:szCs w:val="28"/>
          <w:lang w:val="uk-UA"/>
        </w:rPr>
        <w:lastRenderedPageBreak/>
        <w:t>посилює спроможність держави захищати власний інформаційний простір і сприяє формуванню спільних стандартів інформаційної стійкості.</w:t>
      </w:r>
    </w:p>
    <w:p w14:paraId="219AA98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Водночас державна політика у сфері інформаційної безпеки стикається з низкою викликів і ризиків. Надмірне посилення контролю над інформаційним простором може призвести до обмеження свободи слова, зниження довіри громадян і </w:t>
      </w:r>
      <w:proofErr w:type="spellStart"/>
      <w:r w:rsidRPr="00B9696B">
        <w:rPr>
          <w:rFonts w:ascii="Times New Roman" w:eastAsia="Calibri" w:hAnsi="Times New Roman" w:cs="Times New Roman"/>
          <w:sz w:val="28"/>
          <w:szCs w:val="28"/>
          <w:lang w:val="uk-UA"/>
        </w:rPr>
        <w:t>делегітимації</w:t>
      </w:r>
      <w:proofErr w:type="spellEnd"/>
      <w:r w:rsidRPr="00B9696B">
        <w:rPr>
          <w:rFonts w:ascii="Times New Roman" w:eastAsia="Calibri" w:hAnsi="Times New Roman" w:cs="Times New Roman"/>
          <w:sz w:val="28"/>
          <w:szCs w:val="28"/>
          <w:lang w:val="uk-UA"/>
        </w:rPr>
        <w:t xml:space="preserve"> самої політики безпеки. Тому ефективна інформаційна безпека має базуватися на принципах правової визначеності, пропорційності та підзвітності державних рішень.</w:t>
      </w:r>
    </w:p>
    <w:p w14:paraId="4566059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Таким чином, інформаційна безпека та державна політика є взаємопов’язаними елементами сучасної системи національної безпеки. В умовах інформаційних війн держава виступає не лише як захисник технічної інфраструктури, але й як основний актор у формуванні стійкого інформаційного середовища. Комплексний підхід, що поєднує нормативне регулювання, інституційну спроможність, стратегічні комунікації та співпрацю з суспільством і міжнародними партнерами, є необхідною умовою ефективної протидії інформаційним загрозам та забезпечення стабільності політичної системи в умовах сучасних гібридних конфліктів</w:t>
      </w:r>
    </w:p>
    <w:p w14:paraId="75F16D7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4A022302"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3.2. Критичне мислення та інформаційна гігієна громадян</w:t>
      </w:r>
    </w:p>
    <w:p w14:paraId="4F05F265" w14:textId="77777777" w:rsidR="00B9696B" w:rsidRPr="00B9696B" w:rsidRDefault="00B9696B" w:rsidP="00B9696B">
      <w:pPr>
        <w:spacing w:after="0" w:line="360" w:lineRule="auto"/>
        <w:ind w:firstLine="567"/>
        <w:jc w:val="both"/>
        <w:rPr>
          <w:rFonts w:ascii="Times New Roman" w:eastAsia="Calibri" w:hAnsi="Times New Roman" w:cs="Times New Roman"/>
          <w:b/>
          <w:bCs/>
          <w:sz w:val="28"/>
          <w:szCs w:val="28"/>
          <w:lang w:val="uk-UA"/>
        </w:rPr>
      </w:pPr>
    </w:p>
    <w:p w14:paraId="3230F16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 умовах сучасних інформаційних війн і гібридних конфліктів елементом протидії деструктивному інформаційному впливу стає не лише державна політика, але й рівень когнітивної стійкості суспільства. Саме тому критичне мислення та інформаційна гігієна громадян набувають статусу стратегічного ресурсу національної безпеки. На відміну від технічних або інституційних механізмів захисту, вони спрямовані на внутрішню, </w:t>
      </w:r>
      <w:proofErr w:type="spellStart"/>
      <w:r w:rsidRPr="00B9696B">
        <w:rPr>
          <w:rFonts w:ascii="Times New Roman" w:eastAsia="Calibri" w:hAnsi="Times New Roman" w:cs="Times New Roman"/>
          <w:sz w:val="28"/>
          <w:szCs w:val="28"/>
          <w:lang w:val="uk-UA"/>
        </w:rPr>
        <w:t>антропоцентричну</w:t>
      </w:r>
      <w:proofErr w:type="spellEnd"/>
      <w:r w:rsidRPr="00B9696B">
        <w:rPr>
          <w:rFonts w:ascii="Times New Roman" w:eastAsia="Calibri" w:hAnsi="Times New Roman" w:cs="Times New Roman"/>
          <w:sz w:val="28"/>
          <w:szCs w:val="28"/>
          <w:lang w:val="uk-UA"/>
        </w:rPr>
        <w:t xml:space="preserve"> площину інформаційної безпеки, де основним об’єктом і водночас суб’єктом протидії виступає людина. «Потреба в індивідуальній інформаційній безпеці зумовлена не лише захистом персональних даних, а й здатністю особистості критично осмислювати інформаційний потік, розпізнавати маніпуляції, дезінформацію та </w:t>
      </w:r>
      <w:r w:rsidRPr="00B9696B">
        <w:rPr>
          <w:rFonts w:ascii="Times New Roman" w:eastAsia="Calibri" w:hAnsi="Times New Roman" w:cs="Times New Roman"/>
          <w:sz w:val="28"/>
          <w:szCs w:val="28"/>
          <w:lang w:val="uk-UA"/>
        </w:rPr>
        <w:lastRenderedPageBreak/>
        <w:t xml:space="preserve">інформаційні атаки, що є характерними для сучасного комунікативного середовища. Індивідуальна інформаційна безпека стає важливою передумовою для забезпечення безпеки на рівні держави й суспільства загалом» (Курило ред., 2025).  </w:t>
      </w:r>
    </w:p>
    <w:p w14:paraId="1AA98E54"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Критичне мислення у політичному та соціальному контексті розглядається як здатність індивіда усвідомлено аналізувати інформацію, оцінювати її джерела, виявляти приховані смисли, маніпулятивні прийоми та логічні суперечності. У ситуації інформаційної війни критичне мислення виконує функцію когнітивного фільтра, що знижує ефективність пропаганди, дезінформації та психологічного тиску. Воно дозволяє громадянам дистанціюватися від </w:t>
      </w:r>
      <w:proofErr w:type="spellStart"/>
      <w:r w:rsidRPr="00B9696B">
        <w:rPr>
          <w:rFonts w:ascii="Times New Roman" w:eastAsia="Calibri" w:hAnsi="Times New Roman" w:cs="Times New Roman"/>
          <w:sz w:val="28"/>
          <w:szCs w:val="28"/>
          <w:lang w:val="uk-UA"/>
        </w:rPr>
        <w:t>емоційно</w:t>
      </w:r>
      <w:proofErr w:type="spellEnd"/>
      <w:r w:rsidRPr="00B9696B">
        <w:rPr>
          <w:rFonts w:ascii="Times New Roman" w:eastAsia="Calibri" w:hAnsi="Times New Roman" w:cs="Times New Roman"/>
          <w:sz w:val="28"/>
          <w:szCs w:val="28"/>
          <w:lang w:val="uk-UA"/>
        </w:rPr>
        <w:t xml:space="preserve"> насичених повідомлень і приймати рішення на основі раціонального аналізу, а не афективних імпульсів. «Одним з основних факторів формування інформаційної безпеки особистості виступає критичне мислення, здатність до аналітичного мислення, сумніву, перевірки фактів і прийняття зважених рішень. У ситуації інформаційного перевантаження саме критичне мислення забезпечує захист від інформаційного шуму, маніпулятивних тактик і психологічного тиску, сприяючи формуванню автономної й відповідальної поведінки» (Курило ред., 2025) .</w:t>
      </w:r>
    </w:p>
    <w:p w14:paraId="75C5EFCC"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Інформаційна гігієна, своєю чергою, є практичним виміром критичного мислення й охоплює сукупність поведінкових навичок і норм, спрямованих на безпечне та відповідальне споживання інформації. Вона включає вміння перевіряти достовірність джерел, розрізняти факти та оцінні судження, уникати інформаційного перевантаження, усвідомлено формувати власний інформаційний простір і мінімізувати вплив токсичного або маніпулятивного контенту. У цьому сенсі інформаційна гігієна постає як щоденна практика, що формує довготривалу стійкість особистості до інформаційних загроз. «Інформаційна гігієна включає не лише навички оцінки інформації, а й здатність дотримуватися етичних стандартів у цифровому середовищі: не поширювати фейки, поважати </w:t>
      </w:r>
      <w:proofErr w:type="spellStart"/>
      <w:r w:rsidRPr="00B9696B">
        <w:rPr>
          <w:rFonts w:ascii="Times New Roman" w:eastAsia="Calibri" w:hAnsi="Times New Roman" w:cs="Times New Roman"/>
          <w:sz w:val="28"/>
          <w:szCs w:val="28"/>
          <w:lang w:val="uk-UA"/>
        </w:rPr>
        <w:t>приватність</w:t>
      </w:r>
      <w:proofErr w:type="spellEnd"/>
      <w:r w:rsidRPr="00B9696B">
        <w:rPr>
          <w:rFonts w:ascii="Times New Roman" w:eastAsia="Calibri" w:hAnsi="Times New Roman" w:cs="Times New Roman"/>
          <w:sz w:val="28"/>
          <w:szCs w:val="28"/>
          <w:lang w:val="uk-UA"/>
        </w:rPr>
        <w:t xml:space="preserve"> інших користувачів, уникати мови ворожнечі. Такі практики сприяють не лише індивідуальному захисту, а й зменшують загальний рівень інформаційної вразливості суспільства» (Курило ред., 2025).  </w:t>
      </w:r>
    </w:p>
    <w:p w14:paraId="458D69A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Особливої актуальності критичне мислення та інформаційна гігієна набувають у цифровому середовищі, де інформаційні потоки характеризуються надмірною швидкістю, фрагментарністю та алгоритмічним відбором. Соціальні мережі та онлайн-платформи створюють умови, за яких маніпулятивні повідомлення поширюються швидше, ніж їх можна раціонально осмислити. У такій ситуації громадяни стають вразливими до емоційних тригерів, когнітивних упереджень і ефекту соціального наслідування. Розвинене критичне мислення дозволяє протистояти цим механізмам і зберігати автономність суджень.</w:t>
      </w:r>
    </w:p>
    <w:p w14:paraId="5D1B384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На політико-поведінковому рівні критичне мислення сприяє формуванню відповідального громадянства. Громадяни, здатні критично оцінювати інформацію, менш схильні до радикалізації, політичного екстремізму та участі в маніпулятивних кампаніях. Вони демонструють вищий рівень довіри до демократичних процедур, усвідомлюють складність політичних процесів і визнають множинність точок зору. У цьому контексті критичне мислення виступає важливою передумовою політичної стабільності та соціальної згуртованості.</w:t>
      </w:r>
    </w:p>
    <w:p w14:paraId="784C0636"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Формування інформаційної гігієни громадян тісно пов’язане з освітньою політикою держави. Інтеграція </w:t>
      </w:r>
      <w:proofErr w:type="spellStart"/>
      <w:r w:rsidRPr="00B9696B">
        <w:rPr>
          <w:rFonts w:ascii="Times New Roman" w:eastAsia="Calibri" w:hAnsi="Times New Roman" w:cs="Times New Roman"/>
          <w:sz w:val="28"/>
          <w:szCs w:val="28"/>
          <w:lang w:val="uk-UA"/>
        </w:rPr>
        <w:t>медіаграмотності</w:t>
      </w:r>
      <w:proofErr w:type="spellEnd"/>
      <w:r w:rsidRPr="00B9696B">
        <w:rPr>
          <w:rFonts w:ascii="Times New Roman" w:eastAsia="Calibri" w:hAnsi="Times New Roman" w:cs="Times New Roman"/>
          <w:sz w:val="28"/>
          <w:szCs w:val="28"/>
          <w:lang w:val="uk-UA"/>
        </w:rPr>
        <w:t>, критичного аналізу інформації та цифрової культури в освітні програми різних рівнів створює основу для довгострокової стійкості суспільства до інформаційних атак. Освіта в цій сфері має виходити за межі технічних навичок і включати розвиток етичної відповідальності за поширення інформації, усвідомлення наслідків інформаційної поведінки та розуміння ролі кожного громадянина в підтриманні здорового інформаційного середовища. «Освіта має відігравати ключову роль у формуванні інформаційної культури, навчаючи не лише технічним навичкам користування інформацією, а й формуючи критичне, етичне та рефлексивне ставлення до інформації. Здобуття таких компетенцій має починатися зі школи й бути наскрізною складовою навчальних програм усіх рівнів»  (Курило ред., 2025).</w:t>
      </w:r>
    </w:p>
    <w:p w14:paraId="17974BD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lastRenderedPageBreak/>
        <w:t xml:space="preserve">Водночас критичне мислення та інформаційна гігієна не можуть бути сформовані виключно через формальні освітні інструменти. Значну роль відіграють неформальні практики, а саме,  діяльність громадських організацій, медіа-ініціатив, просвітницьких кампаній і експертних спільнот. Такі актори сприяють поширенню культури </w:t>
      </w:r>
      <w:proofErr w:type="spellStart"/>
      <w:r w:rsidRPr="00B9696B">
        <w:rPr>
          <w:rFonts w:ascii="Times New Roman" w:eastAsia="Calibri" w:hAnsi="Times New Roman" w:cs="Times New Roman"/>
          <w:sz w:val="28"/>
          <w:szCs w:val="28"/>
          <w:lang w:val="uk-UA"/>
        </w:rPr>
        <w:t>фактчекінгу</w:t>
      </w:r>
      <w:proofErr w:type="spellEnd"/>
      <w:r w:rsidRPr="00B9696B">
        <w:rPr>
          <w:rFonts w:ascii="Times New Roman" w:eastAsia="Calibri" w:hAnsi="Times New Roman" w:cs="Times New Roman"/>
          <w:sz w:val="28"/>
          <w:szCs w:val="28"/>
          <w:lang w:val="uk-UA"/>
        </w:rPr>
        <w:t>, поясненню механізмів інформаційних маніпуляцій і підвищенню обізнаності громадян щодо інформаційних загроз. У сукупності це формує багаторівневу систему суспільної стійкості.</w:t>
      </w:r>
    </w:p>
    <w:p w14:paraId="224450B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Особливої уваги заслуговує питання відповідальності громадян як активних учасників інформаційного простору. У цифрову епоху кожен користувач є не лише споживачем, але й потенційним ретранслятором інформації. Поширення неперевірених повідомлень, емоційних чуток або маніпулятивних </w:t>
      </w:r>
      <w:proofErr w:type="spellStart"/>
      <w:r w:rsidRPr="00B9696B">
        <w:rPr>
          <w:rFonts w:ascii="Times New Roman" w:eastAsia="Calibri" w:hAnsi="Times New Roman" w:cs="Times New Roman"/>
          <w:sz w:val="28"/>
          <w:szCs w:val="28"/>
          <w:lang w:val="uk-UA"/>
        </w:rPr>
        <w:t>наративів</w:t>
      </w:r>
      <w:proofErr w:type="spellEnd"/>
      <w:r w:rsidRPr="00B9696B">
        <w:rPr>
          <w:rFonts w:ascii="Times New Roman" w:eastAsia="Calibri" w:hAnsi="Times New Roman" w:cs="Times New Roman"/>
          <w:sz w:val="28"/>
          <w:szCs w:val="28"/>
          <w:lang w:val="uk-UA"/>
        </w:rPr>
        <w:t xml:space="preserve"> може несвідомо посилювати ефект інформаційної війни. Інформаційна гігієна вимагає усвідомлення цієї відповідальності та готовності утримуватися від дій, що можуть завдати шкоди суспільству.</w:t>
      </w:r>
    </w:p>
    <w:p w14:paraId="31D85FE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Важливим аспектом є також психологічна стійкість громадян. Інформаційні війни часто спрямовані на виснаження, виклик тривоги та почуття безпорадності. Критичне мислення у поєднанні з навичками емоційної саморегуляції дозволяє зменшити психологічний вплив інформаційного тиску та зберегти здатність до конструктивної соціальної взаємодії. У цьому сенсі інформаційна гігієна тісно пов’язана з психосоціальним благополуччям суспільства. «Інформаційний тиск часто спрямований на підрив емоційної стабільності громадян. У цьому контексті важливою стає психологічна стійкість — здатність зберігати раціональність, спокій і впевненість в умовах інформаційної турбулентності. Формування такої стійкості потребує як інституційної підтримки, так і індивідуальних </w:t>
      </w:r>
      <w:proofErr w:type="spellStart"/>
      <w:r w:rsidRPr="00B9696B">
        <w:rPr>
          <w:rFonts w:ascii="Times New Roman" w:eastAsia="Calibri" w:hAnsi="Times New Roman" w:cs="Times New Roman"/>
          <w:sz w:val="28"/>
          <w:szCs w:val="28"/>
          <w:lang w:val="uk-UA"/>
        </w:rPr>
        <w:t>психоосвітніх</w:t>
      </w:r>
      <w:proofErr w:type="spellEnd"/>
      <w:r w:rsidRPr="00B9696B">
        <w:rPr>
          <w:rFonts w:ascii="Times New Roman" w:eastAsia="Calibri" w:hAnsi="Times New Roman" w:cs="Times New Roman"/>
          <w:sz w:val="28"/>
          <w:szCs w:val="28"/>
          <w:lang w:val="uk-UA"/>
        </w:rPr>
        <w:t xml:space="preserve"> практик»  (Курило ред., 2025).</w:t>
      </w:r>
    </w:p>
    <w:p w14:paraId="54E322D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Таким чином, критичне мислення та інформаційна гігієна громадян виступають фундаментальними елементами протидії інформаційним війнам на мікро- та </w:t>
      </w:r>
      <w:proofErr w:type="spellStart"/>
      <w:r w:rsidRPr="00B9696B">
        <w:rPr>
          <w:rFonts w:ascii="Times New Roman" w:eastAsia="Calibri" w:hAnsi="Times New Roman" w:cs="Times New Roman"/>
          <w:sz w:val="28"/>
          <w:szCs w:val="28"/>
          <w:lang w:val="uk-UA"/>
        </w:rPr>
        <w:t>мезорівнях</w:t>
      </w:r>
      <w:proofErr w:type="spellEnd"/>
      <w:r w:rsidRPr="00B9696B">
        <w:rPr>
          <w:rFonts w:ascii="Times New Roman" w:eastAsia="Calibri" w:hAnsi="Times New Roman" w:cs="Times New Roman"/>
          <w:sz w:val="28"/>
          <w:szCs w:val="28"/>
          <w:lang w:val="uk-UA"/>
        </w:rPr>
        <w:t xml:space="preserve">. Вони забезпечують когнітивну автономію особистості, сприяють формуванню відповідальної політичної поведінки та зміцнюють </w:t>
      </w:r>
      <w:r w:rsidRPr="00B9696B">
        <w:rPr>
          <w:rFonts w:ascii="Times New Roman" w:eastAsia="Calibri" w:hAnsi="Times New Roman" w:cs="Times New Roman"/>
          <w:sz w:val="28"/>
          <w:szCs w:val="28"/>
          <w:lang w:val="uk-UA"/>
        </w:rPr>
        <w:lastRenderedPageBreak/>
        <w:t>стійкість демократичних інститутів. У сучасних умовах ці компетентності набувають стратегічного значення, перетворюючись на один із основних чинників національної безпеки та соціальної стабільності в умовах тривалого інформаційного протистояння.</w:t>
      </w:r>
    </w:p>
    <w:p w14:paraId="28BB6ADE" w14:textId="77777777" w:rsidR="00B9696B" w:rsidRPr="00112B82" w:rsidRDefault="00B9696B" w:rsidP="00B9696B">
      <w:pPr>
        <w:spacing w:after="0" w:line="360" w:lineRule="auto"/>
        <w:ind w:firstLine="567"/>
        <w:jc w:val="both"/>
        <w:rPr>
          <w:rFonts w:ascii="Times New Roman" w:eastAsia="Calibri" w:hAnsi="Times New Roman" w:cs="Times New Roman"/>
          <w:sz w:val="28"/>
          <w:szCs w:val="28"/>
          <w:lang w:val="uk-UA"/>
        </w:rPr>
      </w:pPr>
    </w:p>
    <w:p w14:paraId="704210AF" w14:textId="77777777" w:rsidR="00F24903" w:rsidRPr="00B9696B" w:rsidRDefault="00F24903" w:rsidP="00B9696B">
      <w:pPr>
        <w:spacing w:after="0" w:line="360" w:lineRule="auto"/>
        <w:ind w:firstLine="567"/>
        <w:jc w:val="both"/>
        <w:rPr>
          <w:rFonts w:ascii="Times New Roman" w:eastAsia="Calibri" w:hAnsi="Times New Roman" w:cs="Times New Roman"/>
          <w:sz w:val="28"/>
          <w:szCs w:val="28"/>
          <w:lang w:val="uk-UA"/>
        </w:rPr>
      </w:pPr>
    </w:p>
    <w:p w14:paraId="3F4FC904" w14:textId="23CC27F4" w:rsidR="00B9696B" w:rsidRPr="00B9696B" w:rsidRDefault="00B9696B" w:rsidP="00F24903">
      <w:pPr>
        <w:spacing w:after="0" w:line="360" w:lineRule="auto"/>
        <w:ind w:firstLine="567"/>
        <w:jc w:val="both"/>
        <w:rPr>
          <w:rFonts w:ascii="Times New Roman" w:eastAsia="Calibri" w:hAnsi="Times New Roman" w:cs="Times New Roman"/>
          <w:b/>
          <w:bCs/>
          <w:sz w:val="28"/>
          <w:szCs w:val="28"/>
          <w:lang w:val="uk-UA"/>
        </w:rPr>
      </w:pPr>
      <w:r w:rsidRPr="00B9696B">
        <w:rPr>
          <w:rFonts w:ascii="Times New Roman" w:eastAsia="Calibri" w:hAnsi="Times New Roman" w:cs="Times New Roman"/>
          <w:b/>
          <w:bCs/>
          <w:sz w:val="28"/>
          <w:szCs w:val="28"/>
          <w:lang w:val="uk-UA"/>
        </w:rPr>
        <w:t>3.3. Міжнародний досвід і колективна відповідь на інформаційні загрози</w:t>
      </w:r>
    </w:p>
    <w:p w14:paraId="72DF7FA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Глобальний характер інформаційних війн і </w:t>
      </w:r>
      <w:proofErr w:type="spellStart"/>
      <w:r w:rsidRPr="00B9696B">
        <w:rPr>
          <w:rFonts w:ascii="Times New Roman" w:eastAsia="Calibri" w:hAnsi="Times New Roman" w:cs="Times New Roman"/>
          <w:sz w:val="28"/>
          <w:szCs w:val="28"/>
          <w:lang w:val="uk-UA"/>
        </w:rPr>
        <w:t>дезінформаційних</w:t>
      </w:r>
      <w:proofErr w:type="spellEnd"/>
      <w:r w:rsidRPr="00B9696B">
        <w:rPr>
          <w:rFonts w:ascii="Times New Roman" w:eastAsia="Calibri" w:hAnsi="Times New Roman" w:cs="Times New Roman"/>
          <w:sz w:val="28"/>
          <w:szCs w:val="28"/>
          <w:lang w:val="uk-UA"/>
        </w:rPr>
        <w:t xml:space="preserve"> кампаній зумовлює необхідність виходу за межі виключно національних підходів до інформаційної безпеки. У сучасних умовах жодна держава не здатна ефективно протидіяти інформаційним загрозам ізольовано, оскільки інформаційний простір є транснаціональним за своєю природою, а основні канали поширення інформації функціонують поза межами державних кордонів. Саме тому міжнародний досвід і колективні механізми реагування набувають основного значення у формуванні стійкості до інформаційних війн і гібридних загроз.</w:t>
      </w:r>
    </w:p>
    <w:p w14:paraId="03305A3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Міжнародний досвід демонструє, що лише через скоординовані дії можливо ефективно виявляти, нейтралізувати та попереджати інформаційні атаки, зберігаючи при цьому демократичні стандарти та свободу слова.</w:t>
      </w:r>
    </w:p>
    <w:p w14:paraId="7102E80B"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Представлена нижче таблиця узагальнює ключові напрями міжнародної взаємодії у сфері інформаційної безпеки, типові практики провідних міжнародних організацій, а також приклади ефективної міждержавної, </w:t>
      </w:r>
      <w:proofErr w:type="spellStart"/>
      <w:r w:rsidRPr="00B9696B">
        <w:rPr>
          <w:rFonts w:ascii="Times New Roman" w:eastAsia="Calibri" w:hAnsi="Times New Roman" w:cs="Times New Roman"/>
          <w:sz w:val="28"/>
          <w:szCs w:val="28"/>
          <w:lang w:val="uk-UA"/>
        </w:rPr>
        <w:t>міжсекторальної</w:t>
      </w:r>
      <w:proofErr w:type="spellEnd"/>
      <w:r w:rsidRPr="00B9696B">
        <w:rPr>
          <w:rFonts w:ascii="Times New Roman" w:eastAsia="Calibri" w:hAnsi="Times New Roman" w:cs="Times New Roman"/>
          <w:sz w:val="28"/>
          <w:szCs w:val="28"/>
          <w:lang w:val="uk-UA"/>
        </w:rPr>
        <w:t xml:space="preserve"> та нормативно-правової співпраці. Вона дозволяє структуровано представити основні моделі колективного реагування на інформаційні загрози, розкрити інституційні та інструментальні механізми захисту інформаційного простору, а також окреслити напрями, у яких міжнародний досвід може бути </w:t>
      </w:r>
      <w:proofErr w:type="spellStart"/>
      <w:r w:rsidRPr="00B9696B">
        <w:rPr>
          <w:rFonts w:ascii="Times New Roman" w:eastAsia="Calibri" w:hAnsi="Times New Roman" w:cs="Times New Roman"/>
          <w:sz w:val="28"/>
          <w:szCs w:val="28"/>
          <w:lang w:val="uk-UA"/>
        </w:rPr>
        <w:t>імплементований</w:t>
      </w:r>
      <w:proofErr w:type="spellEnd"/>
      <w:r w:rsidRPr="00B9696B">
        <w:rPr>
          <w:rFonts w:ascii="Times New Roman" w:eastAsia="Calibri" w:hAnsi="Times New Roman" w:cs="Times New Roman"/>
          <w:sz w:val="28"/>
          <w:szCs w:val="28"/>
          <w:lang w:val="uk-UA"/>
        </w:rPr>
        <w:t xml:space="preserve"> в українську державну політику.</w:t>
      </w:r>
    </w:p>
    <w:p w14:paraId="178CE0F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tbl>
      <w:tblPr>
        <w:tblStyle w:val="110"/>
        <w:tblW w:w="0" w:type="auto"/>
        <w:tblInd w:w="0" w:type="dxa"/>
        <w:tblLook w:val="04A0" w:firstRow="1" w:lastRow="0" w:firstColumn="1" w:lastColumn="0" w:noHBand="0" w:noVBand="1"/>
      </w:tblPr>
      <w:tblGrid>
        <w:gridCol w:w="2830"/>
        <w:gridCol w:w="4111"/>
        <w:gridCol w:w="2688"/>
      </w:tblGrid>
      <w:tr w:rsidR="00B9696B" w:rsidRPr="00B9696B" w14:paraId="18B4E17A" w14:textId="77777777">
        <w:tc>
          <w:tcPr>
            <w:tcW w:w="2830" w:type="dxa"/>
            <w:tcBorders>
              <w:top w:val="single" w:sz="4" w:space="0" w:color="auto"/>
              <w:left w:val="single" w:sz="4" w:space="0" w:color="auto"/>
              <w:bottom w:val="single" w:sz="4" w:space="0" w:color="auto"/>
              <w:right w:val="single" w:sz="4" w:space="0" w:color="auto"/>
            </w:tcBorders>
            <w:hideMark/>
          </w:tcPr>
          <w:p w14:paraId="129E3A2C"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lastRenderedPageBreak/>
              <w:t>Напрям міжнародної взаємодії</w:t>
            </w:r>
          </w:p>
        </w:tc>
        <w:tc>
          <w:tcPr>
            <w:tcW w:w="4111" w:type="dxa"/>
            <w:tcBorders>
              <w:top w:val="single" w:sz="4" w:space="0" w:color="auto"/>
              <w:left w:val="single" w:sz="4" w:space="0" w:color="auto"/>
              <w:bottom w:val="single" w:sz="4" w:space="0" w:color="auto"/>
              <w:right w:val="single" w:sz="4" w:space="0" w:color="auto"/>
            </w:tcBorders>
            <w:hideMark/>
          </w:tcPr>
          <w:p w14:paraId="5B2A5B70"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Опис</w:t>
            </w:r>
          </w:p>
        </w:tc>
        <w:tc>
          <w:tcPr>
            <w:tcW w:w="2688" w:type="dxa"/>
            <w:tcBorders>
              <w:top w:val="single" w:sz="4" w:space="0" w:color="auto"/>
              <w:left w:val="single" w:sz="4" w:space="0" w:color="auto"/>
              <w:bottom w:val="single" w:sz="4" w:space="0" w:color="auto"/>
              <w:right w:val="single" w:sz="4" w:space="0" w:color="auto"/>
            </w:tcBorders>
            <w:hideMark/>
          </w:tcPr>
          <w:p w14:paraId="0302AD09" w14:textId="77777777" w:rsidR="00B9696B" w:rsidRPr="00B9696B" w:rsidRDefault="00B9696B" w:rsidP="00B9696B">
            <w:pPr>
              <w:spacing w:line="360" w:lineRule="auto"/>
              <w:jc w:val="center"/>
              <w:rPr>
                <w:rFonts w:ascii="Times New Roman" w:hAnsi="Times New Roman"/>
                <w:sz w:val="28"/>
                <w:szCs w:val="28"/>
              </w:rPr>
            </w:pPr>
            <w:r w:rsidRPr="00B9696B">
              <w:rPr>
                <w:rFonts w:ascii="Times New Roman" w:hAnsi="Times New Roman"/>
                <w:b/>
                <w:bCs/>
                <w:sz w:val="28"/>
                <w:szCs w:val="28"/>
              </w:rPr>
              <w:t>Інституція</w:t>
            </w:r>
          </w:p>
        </w:tc>
      </w:tr>
      <w:tr w:rsidR="00B9696B" w:rsidRPr="00B9696B" w14:paraId="5877A0E7" w14:textId="77777777">
        <w:tc>
          <w:tcPr>
            <w:tcW w:w="2830" w:type="dxa"/>
            <w:tcBorders>
              <w:top w:val="single" w:sz="4" w:space="0" w:color="auto"/>
              <w:left w:val="single" w:sz="4" w:space="0" w:color="auto"/>
              <w:bottom w:val="single" w:sz="4" w:space="0" w:color="auto"/>
              <w:right w:val="single" w:sz="4" w:space="0" w:color="auto"/>
            </w:tcBorders>
            <w:hideMark/>
          </w:tcPr>
          <w:p w14:paraId="6E3AC96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Міжнародне визнання інформаційних загроз</w:t>
            </w:r>
          </w:p>
        </w:tc>
        <w:tc>
          <w:tcPr>
            <w:tcW w:w="4111" w:type="dxa"/>
            <w:tcBorders>
              <w:top w:val="single" w:sz="4" w:space="0" w:color="auto"/>
              <w:left w:val="single" w:sz="4" w:space="0" w:color="auto"/>
              <w:bottom w:val="single" w:sz="4" w:space="0" w:color="auto"/>
              <w:right w:val="single" w:sz="4" w:space="0" w:color="auto"/>
            </w:tcBorders>
            <w:hideMark/>
          </w:tcPr>
          <w:p w14:paraId="604E7612"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Розгляд дезінформації як загрози міжнародній безпеці; потреба в колективній відповіді.</w:t>
            </w:r>
          </w:p>
        </w:tc>
        <w:tc>
          <w:tcPr>
            <w:tcW w:w="2688" w:type="dxa"/>
            <w:tcBorders>
              <w:top w:val="single" w:sz="4" w:space="0" w:color="auto"/>
              <w:left w:val="single" w:sz="4" w:space="0" w:color="auto"/>
              <w:bottom w:val="single" w:sz="4" w:space="0" w:color="auto"/>
              <w:right w:val="single" w:sz="4" w:space="0" w:color="auto"/>
            </w:tcBorders>
            <w:hideMark/>
          </w:tcPr>
          <w:p w14:paraId="3D148D25"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Стратегії ЄС, НАТО, ООН</w:t>
            </w:r>
          </w:p>
        </w:tc>
      </w:tr>
      <w:tr w:rsidR="00B9696B" w:rsidRPr="00B9696B" w14:paraId="0FA8FFC9" w14:textId="77777777">
        <w:tc>
          <w:tcPr>
            <w:tcW w:w="2830" w:type="dxa"/>
            <w:tcBorders>
              <w:top w:val="single" w:sz="4" w:space="0" w:color="auto"/>
              <w:left w:val="single" w:sz="4" w:space="0" w:color="auto"/>
              <w:bottom w:val="single" w:sz="4" w:space="0" w:color="auto"/>
              <w:right w:val="single" w:sz="4" w:space="0" w:color="auto"/>
            </w:tcBorders>
            <w:hideMark/>
          </w:tcPr>
          <w:p w14:paraId="00649D4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Роль міжнародних організацій</w:t>
            </w:r>
          </w:p>
        </w:tc>
        <w:tc>
          <w:tcPr>
            <w:tcW w:w="4111" w:type="dxa"/>
            <w:tcBorders>
              <w:top w:val="single" w:sz="4" w:space="0" w:color="auto"/>
              <w:left w:val="single" w:sz="4" w:space="0" w:color="auto"/>
              <w:bottom w:val="single" w:sz="4" w:space="0" w:color="auto"/>
              <w:right w:val="single" w:sz="4" w:space="0" w:color="auto"/>
            </w:tcBorders>
            <w:hideMark/>
          </w:tcPr>
          <w:p w14:paraId="2EF37594"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Розробка стратегій комунікацій, виявлення атак, підвищення стійкості держав.</w:t>
            </w:r>
          </w:p>
        </w:tc>
        <w:tc>
          <w:tcPr>
            <w:tcW w:w="2688" w:type="dxa"/>
            <w:tcBorders>
              <w:top w:val="single" w:sz="4" w:space="0" w:color="auto"/>
              <w:left w:val="single" w:sz="4" w:space="0" w:color="auto"/>
              <w:bottom w:val="single" w:sz="4" w:space="0" w:color="auto"/>
              <w:right w:val="single" w:sz="4" w:space="0" w:color="auto"/>
            </w:tcBorders>
            <w:hideMark/>
          </w:tcPr>
          <w:p w14:paraId="4CF28A1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НАТО, ЄС, Рада Європи, ООН</w:t>
            </w:r>
          </w:p>
        </w:tc>
      </w:tr>
      <w:tr w:rsidR="00B9696B" w:rsidRPr="00B9696B" w14:paraId="0B2F017B" w14:textId="77777777">
        <w:tc>
          <w:tcPr>
            <w:tcW w:w="2830" w:type="dxa"/>
            <w:tcBorders>
              <w:top w:val="single" w:sz="4" w:space="0" w:color="auto"/>
              <w:left w:val="single" w:sz="4" w:space="0" w:color="auto"/>
              <w:bottom w:val="single" w:sz="4" w:space="0" w:color="auto"/>
              <w:right w:val="single" w:sz="4" w:space="0" w:color="auto"/>
            </w:tcBorders>
            <w:hideMark/>
          </w:tcPr>
          <w:p w14:paraId="61696A8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Європейський досвід протидії дезінформації</w:t>
            </w:r>
          </w:p>
        </w:tc>
        <w:tc>
          <w:tcPr>
            <w:tcW w:w="4111" w:type="dxa"/>
            <w:tcBorders>
              <w:top w:val="single" w:sz="4" w:space="0" w:color="auto"/>
              <w:left w:val="single" w:sz="4" w:space="0" w:color="auto"/>
              <w:bottom w:val="single" w:sz="4" w:space="0" w:color="auto"/>
              <w:right w:val="single" w:sz="4" w:space="0" w:color="auto"/>
            </w:tcBorders>
            <w:hideMark/>
          </w:tcPr>
          <w:p w14:paraId="2429ADB1"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Поєднання стратегічних комунікацій, </w:t>
            </w:r>
            <w:proofErr w:type="spellStart"/>
            <w:r w:rsidRPr="00B9696B">
              <w:rPr>
                <w:rFonts w:ascii="Times New Roman" w:hAnsi="Times New Roman"/>
                <w:sz w:val="28"/>
                <w:szCs w:val="28"/>
              </w:rPr>
              <w:t>медіаграмотності</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фактчекінгу</w:t>
            </w:r>
            <w:proofErr w:type="spellEnd"/>
            <w:r w:rsidRPr="00B9696B">
              <w:rPr>
                <w:rFonts w:ascii="Times New Roman" w:hAnsi="Times New Roman"/>
                <w:sz w:val="28"/>
                <w:szCs w:val="28"/>
              </w:rPr>
              <w:t xml:space="preserve"> та взаємодії з платформами.</w:t>
            </w:r>
          </w:p>
        </w:tc>
        <w:tc>
          <w:tcPr>
            <w:tcW w:w="2688" w:type="dxa"/>
            <w:tcBorders>
              <w:top w:val="single" w:sz="4" w:space="0" w:color="auto"/>
              <w:left w:val="single" w:sz="4" w:space="0" w:color="auto"/>
              <w:bottom w:val="single" w:sz="4" w:space="0" w:color="auto"/>
              <w:right w:val="single" w:sz="4" w:space="0" w:color="auto"/>
            </w:tcBorders>
            <w:hideMark/>
          </w:tcPr>
          <w:p w14:paraId="6DF92C8D"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East</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StratCom</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Task</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Force</w:t>
            </w:r>
            <w:proofErr w:type="spellEnd"/>
            <w:r w:rsidRPr="00B9696B">
              <w:rPr>
                <w:rFonts w:ascii="Times New Roman" w:hAnsi="Times New Roman"/>
                <w:sz w:val="28"/>
                <w:szCs w:val="28"/>
              </w:rPr>
              <w:t xml:space="preserve"> (ЄС), </w:t>
            </w:r>
            <w:proofErr w:type="spellStart"/>
            <w:r w:rsidRPr="00B9696B">
              <w:rPr>
                <w:rFonts w:ascii="Times New Roman" w:hAnsi="Times New Roman"/>
                <w:sz w:val="28"/>
                <w:szCs w:val="28"/>
              </w:rPr>
              <w:t>Code</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of</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Practice</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on</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Disinformation</w:t>
            </w:r>
            <w:proofErr w:type="spellEnd"/>
          </w:p>
        </w:tc>
      </w:tr>
      <w:tr w:rsidR="00B9696B" w:rsidRPr="00B9696B" w14:paraId="31010375" w14:textId="77777777">
        <w:tc>
          <w:tcPr>
            <w:tcW w:w="2830" w:type="dxa"/>
            <w:tcBorders>
              <w:top w:val="single" w:sz="4" w:space="0" w:color="auto"/>
              <w:left w:val="single" w:sz="4" w:space="0" w:color="auto"/>
              <w:bottom w:val="single" w:sz="4" w:space="0" w:color="auto"/>
              <w:right w:val="single" w:sz="4" w:space="0" w:color="auto"/>
            </w:tcBorders>
            <w:hideMark/>
          </w:tcPr>
          <w:p w14:paraId="255880A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Інформаційна оборона НАТО</w:t>
            </w:r>
          </w:p>
        </w:tc>
        <w:tc>
          <w:tcPr>
            <w:tcW w:w="4111" w:type="dxa"/>
            <w:tcBorders>
              <w:top w:val="single" w:sz="4" w:space="0" w:color="auto"/>
              <w:left w:val="single" w:sz="4" w:space="0" w:color="auto"/>
              <w:bottom w:val="single" w:sz="4" w:space="0" w:color="auto"/>
              <w:right w:val="single" w:sz="4" w:space="0" w:color="auto"/>
            </w:tcBorders>
            <w:hideMark/>
          </w:tcPr>
          <w:p w14:paraId="4F4C96F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Інтеграція інформаційного виміру в колективну оборону, стандарти реагування, тренінги.</w:t>
            </w:r>
          </w:p>
        </w:tc>
        <w:tc>
          <w:tcPr>
            <w:tcW w:w="2688" w:type="dxa"/>
            <w:tcBorders>
              <w:top w:val="single" w:sz="4" w:space="0" w:color="auto"/>
              <w:left w:val="single" w:sz="4" w:space="0" w:color="auto"/>
              <w:bottom w:val="single" w:sz="4" w:space="0" w:color="auto"/>
              <w:right w:val="single" w:sz="4" w:space="0" w:color="auto"/>
            </w:tcBorders>
            <w:hideMark/>
          </w:tcPr>
          <w:p w14:paraId="4848EEE1"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StratCom</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Centre</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of</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Excellence</w:t>
            </w:r>
            <w:proofErr w:type="spellEnd"/>
            <w:r w:rsidRPr="00B9696B">
              <w:rPr>
                <w:rFonts w:ascii="Times New Roman" w:hAnsi="Times New Roman"/>
                <w:sz w:val="28"/>
                <w:szCs w:val="28"/>
              </w:rPr>
              <w:t xml:space="preserve"> (Рига)</w:t>
            </w:r>
          </w:p>
        </w:tc>
      </w:tr>
      <w:tr w:rsidR="00B9696B" w:rsidRPr="00B9696B" w14:paraId="3C29C54F" w14:textId="77777777">
        <w:tc>
          <w:tcPr>
            <w:tcW w:w="2830" w:type="dxa"/>
            <w:tcBorders>
              <w:top w:val="single" w:sz="4" w:space="0" w:color="auto"/>
              <w:left w:val="single" w:sz="4" w:space="0" w:color="auto"/>
              <w:bottom w:val="single" w:sz="4" w:space="0" w:color="auto"/>
              <w:right w:val="single" w:sz="4" w:space="0" w:color="auto"/>
            </w:tcBorders>
            <w:hideMark/>
          </w:tcPr>
          <w:p w14:paraId="0EEE718E"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Горизонтальна міждержавна співпраця</w:t>
            </w:r>
          </w:p>
        </w:tc>
        <w:tc>
          <w:tcPr>
            <w:tcW w:w="4111" w:type="dxa"/>
            <w:tcBorders>
              <w:top w:val="single" w:sz="4" w:space="0" w:color="auto"/>
              <w:left w:val="single" w:sz="4" w:space="0" w:color="auto"/>
              <w:bottom w:val="single" w:sz="4" w:space="0" w:color="auto"/>
              <w:right w:val="single" w:sz="4" w:space="0" w:color="auto"/>
            </w:tcBorders>
            <w:hideMark/>
          </w:tcPr>
          <w:p w14:paraId="6C87041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Обмін аналітикою, спільні кампанії, дослідницькі </w:t>
            </w:r>
            <w:proofErr w:type="spellStart"/>
            <w:r w:rsidRPr="00B9696B">
              <w:rPr>
                <w:rFonts w:ascii="Times New Roman" w:hAnsi="Times New Roman"/>
                <w:sz w:val="28"/>
                <w:szCs w:val="28"/>
              </w:rPr>
              <w:t>проєкти</w:t>
            </w:r>
            <w:proofErr w:type="spellEnd"/>
            <w:r w:rsidRPr="00B9696B">
              <w:rPr>
                <w:rFonts w:ascii="Times New Roman" w:hAnsi="Times New Roman"/>
                <w:sz w:val="28"/>
                <w:szCs w:val="28"/>
              </w:rPr>
              <w:t>, особливо між країнами у зоні підвищеного тиску.</w:t>
            </w:r>
          </w:p>
        </w:tc>
        <w:tc>
          <w:tcPr>
            <w:tcW w:w="2688" w:type="dxa"/>
            <w:tcBorders>
              <w:top w:val="single" w:sz="4" w:space="0" w:color="auto"/>
              <w:left w:val="single" w:sz="4" w:space="0" w:color="auto"/>
              <w:bottom w:val="single" w:sz="4" w:space="0" w:color="auto"/>
              <w:right w:val="single" w:sz="4" w:space="0" w:color="auto"/>
            </w:tcBorders>
            <w:hideMark/>
          </w:tcPr>
          <w:p w14:paraId="12B4C657" w14:textId="77777777" w:rsidR="00B9696B" w:rsidRPr="00B9696B" w:rsidRDefault="00B9696B" w:rsidP="00B9696B">
            <w:pPr>
              <w:spacing w:line="360" w:lineRule="auto"/>
              <w:jc w:val="both"/>
              <w:rPr>
                <w:rFonts w:ascii="Times New Roman" w:hAnsi="Times New Roman"/>
                <w:sz w:val="28"/>
                <w:szCs w:val="28"/>
              </w:rPr>
            </w:pPr>
            <w:proofErr w:type="spellStart"/>
            <w:r w:rsidRPr="00B9696B">
              <w:rPr>
                <w:rFonts w:ascii="Times New Roman" w:hAnsi="Times New Roman"/>
                <w:sz w:val="28"/>
                <w:szCs w:val="28"/>
              </w:rPr>
              <w:t>Балтійсько</w:t>
            </w:r>
            <w:proofErr w:type="spellEnd"/>
            <w:r w:rsidRPr="00B9696B">
              <w:rPr>
                <w:rFonts w:ascii="Times New Roman" w:hAnsi="Times New Roman"/>
                <w:sz w:val="28"/>
                <w:szCs w:val="28"/>
              </w:rPr>
              <w:t>-скандинавські ініціативи</w:t>
            </w:r>
          </w:p>
        </w:tc>
      </w:tr>
      <w:tr w:rsidR="00B9696B" w:rsidRPr="00B9696B" w14:paraId="7734E0FD" w14:textId="77777777">
        <w:tc>
          <w:tcPr>
            <w:tcW w:w="2830" w:type="dxa"/>
            <w:tcBorders>
              <w:top w:val="single" w:sz="4" w:space="0" w:color="auto"/>
              <w:left w:val="single" w:sz="4" w:space="0" w:color="auto"/>
              <w:bottom w:val="single" w:sz="4" w:space="0" w:color="auto"/>
              <w:right w:val="single" w:sz="4" w:space="0" w:color="auto"/>
            </w:tcBorders>
            <w:hideMark/>
          </w:tcPr>
          <w:p w14:paraId="2983290A"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Співпраця з недержавними акторами</w:t>
            </w:r>
          </w:p>
        </w:tc>
        <w:tc>
          <w:tcPr>
            <w:tcW w:w="4111" w:type="dxa"/>
            <w:tcBorders>
              <w:top w:val="single" w:sz="4" w:space="0" w:color="auto"/>
              <w:left w:val="single" w:sz="4" w:space="0" w:color="auto"/>
              <w:bottom w:val="single" w:sz="4" w:space="0" w:color="auto"/>
              <w:right w:val="single" w:sz="4" w:space="0" w:color="auto"/>
            </w:tcBorders>
            <w:hideMark/>
          </w:tcPr>
          <w:p w14:paraId="27CA271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Залучення медіа, платформ, громадських ініціатив до виявлення та протидії дезінформації.</w:t>
            </w:r>
          </w:p>
        </w:tc>
        <w:tc>
          <w:tcPr>
            <w:tcW w:w="2688" w:type="dxa"/>
            <w:tcBorders>
              <w:top w:val="single" w:sz="4" w:space="0" w:color="auto"/>
              <w:left w:val="single" w:sz="4" w:space="0" w:color="auto"/>
              <w:bottom w:val="single" w:sz="4" w:space="0" w:color="auto"/>
              <w:right w:val="single" w:sz="4" w:space="0" w:color="auto"/>
            </w:tcBorders>
            <w:hideMark/>
          </w:tcPr>
          <w:p w14:paraId="114AA1F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Співпраця </w:t>
            </w:r>
            <w:proofErr w:type="spellStart"/>
            <w:r w:rsidRPr="00B9696B">
              <w:rPr>
                <w:rFonts w:ascii="Times New Roman" w:hAnsi="Times New Roman"/>
                <w:sz w:val="28"/>
                <w:szCs w:val="28"/>
              </w:rPr>
              <w:t>Facebook</w:t>
            </w:r>
            <w:proofErr w:type="spellEnd"/>
            <w:r w:rsidRPr="00B9696B">
              <w:rPr>
                <w:rFonts w:ascii="Times New Roman" w:hAnsi="Times New Roman"/>
                <w:sz w:val="28"/>
                <w:szCs w:val="28"/>
              </w:rPr>
              <w:t xml:space="preserve"> з EU </w:t>
            </w:r>
            <w:proofErr w:type="spellStart"/>
            <w:r w:rsidRPr="00B9696B">
              <w:rPr>
                <w:rFonts w:ascii="Times New Roman" w:hAnsi="Times New Roman"/>
                <w:sz w:val="28"/>
                <w:szCs w:val="28"/>
              </w:rPr>
              <w:t>Disinfo</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Lab</w:t>
            </w:r>
            <w:proofErr w:type="spellEnd"/>
            <w:r w:rsidRPr="00B9696B">
              <w:rPr>
                <w:rFonts w:ascii="Times New Roman" w:hAnsi="Times New Roman"/>
                <w:sz w:val="28"/>
                <w:szCs w:val="28"/>
              </w:rPr>
              <w:t xml:space="preserve">, </w:t>
            </w:r>
            <w:proofErr w:type="spellStart"/>
            <w:r w:rsidRPr="00B9696B">
              <w:rPr>
                <w:rFonts w:ascii="Times New Roman" w:hAnsi="Times New Roman"/>
                <w:sz w:val="28"/>
                <w:szCs w:val="28"/>
              </w:rPr>
              <w:t>фактчекінг</w:t>
            </w:r>
            <w:proofErr w:type="spellEnd"/>
            <w:r w:rsidRPr="00B9696B">
              <w:rPr>
                <w:rFonts w:ascii="Times New Roman" w:hAnsi="Times New Roman"/>
                <w:sz w:val="28"/>
                <w:szCs w:val="28"/>
              </w:rPr>
              <w:t>-мережі</w:t>
            </w:r>
          </w:p>
        </w:tc>
      </w:tr>
      <w:tr w:rsidR="00B9696B" w:rsidRPr="00B9696B" w14:paraId="40E841DF" w14:textId="77777777">
        <w:tc>
          <w:tcPr>
            <w:tcW w:w="2830" w:type="dxa"/>
            <w:tcBorders>
              <w:top w:val="single" w:sz="4" w:space="0" w:color="auto"/>
              <w:left w:val="single" w:sz="4" w:space="0" w:color="auto"/>
              <w:bottom w:val="single" w:sz="4" w:space="0" w:color="auto"/>
              <w:right w:val="single" w:sz="4" w:space="0" w:color="auto"/>
            </w:tcBorders>
            <w:hideMark/>
          </w:tcPr>
          <w:p w14:paraId="42A83CB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t>Міжнародно-правові аспекти</w:t>
            </w:r>
          </w:p>
        </w:tc>
        <w:tc>
          <w:tcPr>
            <w:tcW w:w="4111" w:type="dxa"/>
            <w:tcBorders>
              <w:top w:val="single" w:sz="4" w:space="0" w:color="auto"/>
              <w:left w:val="single" w:sz="4" w:space="0" w:color="auto"/>
              <w:bottom w:val="single" w:sz="4" w:space="0" w:color="auto"/>
              <w:right w:val="single" w:sz="4" w:space="0" w:color="auto"/>
            </w:tcBorders>
            <w:hideMark/>
          </w:tcPr>
          <w:p w14:paraId="4B2D835B"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Формування норм поведінки держав в інформаційному просторі; виклики для міжнародного права.</w:t>
            </w:r>
          </w:p>
        </w:tc>
        <w:tc>
          <w:tcPr>
            <w:tcW w:w="2688" w:type="dxa"/>
            <w:tcBorders>
              <w:top w:val="single" w:sz="4" w:space="0" w:color="auto"/>
              <w:left w:val="single" w:sz="4" w:space="0" w:color="auto"/>
              <w:bottom w:val="single" w:sz="4" w:space="0" w:color="auto"/>
              <w:right w:val="single" w:sz="4" w:space="0" w:color="auto"/>
            </w:tcBorders>
            <w:hideMark/>
          </w:tcPr>
          <w:p w14:paraId="2C151C37"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Дискусії в межах ООН, ОБСЄ</w:t>
            </w:r>
          </w:p>
        </w:tc>
      </w:tr>
      <w:tr w:rsidR="00B9696B" w:rsidRPr="00B9696B" w14:paraId="78274B8C" w14:textId="77777777">
        <w:tc>
          <w:tcPr>
            <w:tcW w:w="2830" w:type="dxa"/>
            <w:tcBorders>
              <w:top w:val="single" w:sz="4" w:space="0" w:color="auto"/>
              <w:left w:val="single" w:sz="4" w:space="0" w:color="auto"/>
              <w:bottom w:val="single" w:sz="4" w:space="0" w:color="auto"/>
              <w:right w:val="single" w:sz="4" w:space="0" w:color="auto"/>
            </w:tcBorders>
            <w:hideMark/>
          </w:tcPr>
          <w:p w14:paraId="2933E453"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b/>
                <w:bCs/>
                <w:sz w:val="28"/>
                <w:szCs w:val="28"/>
              </w:rPr>
              <w:lastRenderedPageBreak/>
              <w:t>Спільне інвестування в інформаційну стійкість</w:t>
            </w:r>
          </w:p>
        </w:tc>
        <w:tc>
          <w:tcPr>
            <w:tcW w:w="4111" w:type="dxa"/>
            <w:tcBorders>
              <w:top w:val="single" w:sz="4" w:space="0" w:color="auto"/>
              <w:left w:val="single" w:sz="4" w:space="0" w:color="auto"/>
              <w:bottom w:val="single" w:sz="4" w:space="0" w:color="auto"/>
              <w:right w:val="single" w:sz="4" w:space="0" w:color="auto"/>
            </w:tcBorders>
            <w:hideMark/>
          </w:tcPr>
          <w:p w14:paraId="46CB1599"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Освітні програми, обмін досвідом, підготовка фахівців, розвиток критичного мислення.</w:t>
            </w:r>
          </w:p>
        </w:tc>
        <w:tc>
          <w:tcPr>
            <w:tcW w:w="2688" w:type="dxa"/>
            <w:tcBorders>
              <w:top w:val="single" w:sz="4" w:space="0" w:color="auto"/>
              <w:left w:val="single" w:sz="4" w:space="0" w:color="auto"/>
              <w:bottom w:val="single" w:sz="4" w:space="0" w:color="auto"/>
              <w:right w:val="single" w:sz="4" w:space="0" w:color="auto"/>
            </w:tcBorders>
            <w:hideMark/>
          </w:tcPr>
          <w:p w14:paraId="7808796D" w14:textId="77777777" w:rsidR="00B9696B" w:rsidRPr="00B9696B" w:rsidRDefault="00B9696B" w:rsidP="00B9696B">
            <w:pPr>
              <w:spacing w:line="360" w:lineRule="auto"/>
              <w:jc w:val="both"/>
              <w:rPr>
                <w:rFonts w:ascii="Times New Roman" w:hAnsi="Times New Roman"/>
                <w:sz w:val="28"/>
                <w:szCs w:val="28"/>
              </w:rPr>
            </w:pPr>
            <w:r w:rsidRPr="00B9696B">
              <w:rPr>
                <w:rFonts w:ascii="Times New Roman" w:hAnsi="Times New Roman"/>
                <w:sz w:val="28"/>
                <w:szCs w:val="28"/>
              </w:rPr>
              <w:t xml:space="preserve">Міжнародні програми з </w:t>
            </w:r>
            <w:proofErr w:type="spellStart"/>
            <w:r w:rsidRPr="00B9696B">
              <w:rPr>
                <w:rFonts w:ascii="Times New Roman" w:hAnsi="Times New Roman"/>
                <w:sz w:val="28"/>
                <w:szCs w:val="28"/>
              </w:rPr>
              <w:t>медіаграмотності</w:t>
            </w:r>
            <w:proofErr w:type="spellEnd"/>
            <w:r w:rsidRPr="00B9696B">
              <w:rPr>
                <w:rFonts w:ascii="Times New Roman" w:hAnsi="Times New Roman"/>
                <w:sz w:val="28"/>
                <w:szCs w:val="28"/>
              </w:rPr>
              <w:t xml:space="preserve"> (UNESCO, DW </w:t>
            </w:r>
            <w:proofErr w:type="spellStart"/>
            <w:r w:rsidRPr="00B9696B">
              <w:rPr>
                <w:rFonts w:ascii="Times New Roman" w:hAnsi="Times New Roman"/>
                <w:sz w:val="28"/>
                <w:szCs w:val="28"/>
              </w:rPr>
              <w:t>Akademie</w:t>
            </w:r>
            <w:proofErr w:type="spellEnd"/>
            <w:r w:rsidRPr="00B9696B">
              <w:rPr>
                <w:rFonts w:ascii="Times New Roman" w:hAnsi="Times New Roman"/>
                <w:sz w:val="28"/>
                <w:szCs w:val="28"/>
              </w:rPr>
              <w:t xml:space="preserve"> тощо)</w:t>
            </w:r>
          </w:p>
        </w:tc>
      </w:tr>
    </w:tbl>
    <w:p w14:paraId="168A2AE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4D9DA3A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339D456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У міжнародному дискурсі інформаційні загрози дедалі частіше розглядаються як складова загроз міжнародній безпеці, що потребує спільної відповіді держав, міжнародних організацій та недержавних акторів. Таке розуміння закріплюється у стратегічних документах провідних міжнародних інституцій, де дезінформація, інформаційні операції та втручання у комунікаційні процеси визнаються чинниками дестабілізації демократичних систем, підриву довіри між державами та ослаблення міжнародного правопорядку. У цьому контексті формується нова парадигма безпеки, у якій інформаційна стійкість стає колективним благом.</w:t>
      </w:r>
    </w:p>
    <w:p w14:paraId="337BFED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Особливу роль у протидії інформаційним загрозам відіграють міжнародні організації. НАТО, Європейський Союз, Рада Європи, Організація Об’єднаних Націй та інші структури розробляють комплексні підходи до стратегічних комунікацій, протидії дезінформації та підвищення інформаційної стійкості держав-членів. У межах цих організацій створюються спеціалізовані центри, аналітичні платформи та механізми обміну інформацією, що дозволяють </w:t>
      </w:r>
      <w:proofErr w:type="spellStart"/>
      <w:r w:rsidRPr="00B9696B">
        <w:rPr>
          <w:rFonts w:ascii="Times New Roman" w:eastAsia="Calibri" w:hAnsi="Times New Roman" w:cs="Times New Roman"/>
          <w:sz w:val="28"/>
          <w:szCs w:val="28"/>
          <w:lang w:val="uk-UA"/>
        </w:rPr>
        <w:t>оперативно</w:t>
      </w:r>
      <w:proofErr w:type="spellEnd"/>
      <w:r w:rsidRPr="00B9696B">
        <w:rPr>
          <w:rFonts w:ascii="Times New Roman" w:eastAsia="Calibri" w:hAnsi="Times New Roman" w:cs="Times New Roman"/>
          <w:sz w:val="28"/>
          <w:szCs w:val="28"/>
          <w:lang w:val="uk-UA"/>
        </w:rPr>
        <w:t xml:space="preserve"> виявляти інформаційні атаки та координувати спільні дії у відповідь.</w:t>
      </w:r>
    </w:p>
    <w:p w14:paraId="36EC856D"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Європейський Союз, зокрема, сформував розгалужену систему протидії дезінформації, яка поєднує інституційні, нормативні та комунікативні інструменти. Запровадження механізмів стратегічних комунікацій, підтримка незалежних </w:t>
      </w:r>
      <w:proofErr w:type="spellStart"/>
      <w:r w:rsidRPr="00B9696B">
        <w:rPr>
          <w:rFonts w:ascii="Times New Roman" w:eastAsia="Calibri" w:hAnsi="Times New Roman" w:cs="Times New Roman"/>
          <w:sz w:val="28"/>
          <w:szCs w:val="28"/>
          <w:lang w:val="uk-UA"/>
        </w:rPr>
        <w:t>фактчекінгових</w:t>
      </w:r>
      <w:proofErr w:type="spellEnd"/>
      <w:r w:rsidRPr="00B9696B">
        <w:rPr>
          <w:rFonts w:ascii="Times New Roman" w:eastAsia="Calibri" w:hAnsi="Times New Roman" w:cs="Times New Roman"/>
          <w:sz w:val="28"/>
          <w:szCs w:val="28"/>
          <w:lang w:val="uk-UA"/>
        </w:rPr>
        <w:t xml:space="preserve"> ініціатив, співпраця з цифровими платформами та підвищення </w:t>
      </w:r>
      <w:proofErr w:type="spellStart"/>
      <w:r w:rsidRPr="00B9696B">
        <w:rPr>
          <w:rFonts w:ascii="Times New Roman" w:eastAsia="Calibri" w:hAnsi="Times New Roman" w:cs="Times New Roman"/>
          <w:sz w:val="28"/>
          <w:szCs w:val="28"/>
          <w:lang w:val="uk-UA"/>
        </w:rPr>
        <w:t>медіаграмотності</w:t>
      </w:r>
      <w:proofErr w:type="spellEnd"/>
      <w:r w:rsidRPr="00B9696B">
        <w:rPr>
          <w:rFonts w:ascii="Times New Roman" w:eastAsia="Calibri" w:hAnsi="Times New Roman" w:cs="Times New Roman"/>
          <w:sz w:val="28"/>
          <w:szCs w:val="28"/>
          <w:lang w:val="uk-UA"/>
        </w:rPr>
        <w:t xml:space="preserve"> громадян стали важливими елементами європейського підходу до інформаційної безпеки. При цьому ЄС акцентує увагу </w:t>
      </w:r>
      <w:r w:rsidRPr="00B9696B">
        <w:rPr>
          <w:rFonts w:ascii="Times New Roman" w:eastAsia="Calibri" w:hAnsi="Times New Roman" w:cs="Times New Roman"/>
          <w:sz w:val="28"/>
          <w:szCs w:val="28"/>
          <w:lang w:val="uk-UA"/>
        </w:rPr>
        <w:lastRenderedPageBreak/>
        <w:t>на захисті демократичних цінностей і свобод, намагаючись уникати надмірного обмеження свободи слова.</w:t>
      </w:r>
    </w:p>
    <w:p w14:paraId="2AC78216"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Досвід НАТО демонструє важливість інтеграції інформаційного виміру в систему колективної оборони. Інформаційні операції та стратегічні комунікації розглядаються як невід’ємна складова сучасних конфліктів, а інформаційна стійкість — як елемент загальної обороноздатності союзників. У цьому контексті НАТО розвиває спільні стандарти реагування на інформаційні загрози, проводить навчання та тренінги, спрямовані на підвищення готовності держав-членів до протидії гібридним атакам.</w:t>
      </w:r>
    </w:p>
    <w:p w14:paraId="42D65784"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Важливим аспектом міжнародного досвіду є розвиток горизонтальної співпраці між державами. Двосторонні та багатосторонні ініціативи з обміну аналітичною інформацією, спільні дослідницькі </w:t>
      </w:r>
      <w:proofErr w:type="spellStart"/>
      <w:r w:rsidRPr="00B9696B">
        <w:rPr>
          <w:rFonts w:ascii="Times New Roman" w:eastAsia="Calibri" w:hAnsi="Times New Roman" w:cs="Times New Roman"/>
          <w:sz w:val="28"/>
          <w:szCs w:val="28"/>
          <w:lang w:val="uk-UA"/>
        </w:rPr>
        <w:t>проєкти</w:t>
      </w:r>
      <w:proofErr w:type="spellEnd"/>
      <w:r w:rsidRPr="00B9696B">
        <w:rPr>
          <w:rFonts w:ascii="Times New Roman" w:eastAsia="Calibri" w:hAnsi="Times New Roman" w:cs="Times New Roman"/>
          <w:sz w:val="28"/>
          <w:szCs w:val="28"/>
          <w:lang w:val="uk-UA"/>
        </w:rPr>
        <w:t xml:space="preserve"> та координація інформаційних кампаній дозволяють підвищити ефективність реагування на дезінформацію. Така співпраця особливо актуальна для держав, які перебувають у зоні підвищеного інформаційного тиску, оскільки вона забезпечує доступ до експертних ресурсів і міжнародної підтримки.</w:t>
      </w:r>
    </w:p>
    <w:p w14:paraId="33E82E68"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Колективна відповідь на інформаційні загрози включає також взаємодію з недержавними акторами на міжнародному рівні. Транснаціональні медіа, технологічні компанії, аналітичні центри та громадські організації відіграють дедалі більшу роль у виявленні та нейтралізації </w:t>
      </w:r>
      <w:proofErr w:type="spellStart"/>
      <w:r w:rsidRPr="00B9696B">
        <w:rPr>
          <w:rFonts w:ascii="Times New Roman" w:eastAsia="Calibri" w:hAnsi="Times New Roman" w:cs="Times New Roman"/>
          <w:sz w:val="28"/>
          <w:szCs w:val="28"/>
          <w:lang w:val="uk-UA"/>
        </w:rPr>
        <w:t>дезінформаційних</w:t>
      </w:r>
      <w:proofErr w:type="spellEnd"/>
      <w:r w:rsidRPr="00B9696B">
        <w:rPr>
          <w:rFonts w:ascii="Times New Roman" w:eastAsia="Calibri" w:hAnsi="Times New Roman" w:cs="Times New Roman"/>
          <w:sz w:val="28"/>
          <w:szCs w:val="28"/>
          <w:lang w:val="uk-UA"/>
        </w:rPr>
        <w:t xml:space="preserve"> кампаній. Співпраця між державами та приватним сектором дозволяє поєднати регуляторні можливості з технологічними та аналітичними ресурсами, що є особливо важливим в умовах швидкого розвитку цифрових платформ.</w:t>
      </w:r>
    </w:p>
    <w:p w14:paraId="6D49223F"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Окремої уваги заслуговує питання міжнародно-правового виміру протидії інформаційним загрозам. Наразі міжнародне право перебуває у процесі адаптації до нових форм інформаційного протистояння, що створює певні прогалини у регулюванні. Водночас на міжнародному рівні ведеться активна дискусія щодо норм відповідальної поведінки держав у інформаційному та кіберпросторі, захисту інформаційного суверенітету та недопустимості втручання у внутрішні справи через інформаційні операції. Формування таких норм є важливою </w:t>
      </w:r>
      <w:r w:rsidRPr="00B9696B">
        <w:rPr>
          <w:rFonts w:ascii="Times New Roman" w:eastAsia="Calibri" w:hAnsi="Times New Roman" w:cs="Times New Roman"/>
          <w:sz w:val="28"/>
          <w:szCs w:val="28"/>
          <w:lang w:val="uk-UA"/>
        </w:rPr>
        <w:lastRenderedPageBreak/>
        <w:t>передумовою для підвищення передбачуваності та стабільності міжнародних відносин.</w:t>
      </w:r>
    </w:p>
    <w:p w14:paraId="29B3BC41"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Колективна відповідь на інформаційні загрози передбачає також спільне інвестування в розвиток інформаційної стійкості суспільств. Міжнародні освітні програми, обмін найкращими практиками у сфері </w:t>
      </w:r>
      <w:proofErr w:type="spellStart"/>
      <w:r w:rsidRPr="00B9696B">
        <w:rPr>
          <w:rFonts w:ascii="Times New Roman" w:eastAsia="Calibri" w:hAnsi="Times New Roman" w:cs="Times New Roman"/>
          <w:sz w:val="28"/>
          <w:szCs w:val="28"/>
          <w:lang w:val="uk-UA"/>
        </w:rPr>
        <w:t>медіаграмотності</w:t>
      </w:r>
      <w:proofErr w:type="spellEnd"/>
      <w:r w:rsidRPr="00B9696B">
        <w:rPr>
          <w:rFonts w:ascii="Times New Roman" w:eastAsia="Calibri" w:hAnsi="Times New Roman" w:cs="Times New Roman"/>
          <w:sz w:val="28"/>
          <w:szCs w:val="28"/>
          <w:lang w:val="uk-UA"/>
        </w:rPr>
        <w:t>, підтримка наукових досліджень і підготовка фахівців у галузі інформаційної безпеки сприяють формуванню довготривалої здатності держав протистояти інформаційним війнам. У цьому сенсі міжнародна співпраця має не лише реактивний, але й превентивний характер.</w:t>
      </w:r>
    </w:p>
    <w:p w14:paraId="6F49DCB5"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Таким чином, міжнародний досвід і колективна відповідь на інформаційні загрози демонструють, що ефективна протидія інформаційним війнам можлива лише за умови поєднання національних зусиль із міжнародною координацією. Спільні стандарти, інституційна взаємодія, обмін інформацією та розвиток інформаційної стійкості суспільств формують основу для колективної безпеки в інформаційному просторі. В умовах тривалих гібридних конфліктів саме колективний підхід дозволяє мінімізувати деструктивний вплив інформаційних загроз і забезпечити стабільність демократичних політичних систем на глобальному рівні.</w:t>
      </w:r>
    </w:p>
    <w:p w14:paraId="7FA4F67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768F8CCA" w14:textId="77777777" w:rsidR="00B9696B" w:rsidRPr="00B9696B" w:rsidRDefault="00B9696B" w:rsidP="00B9696B">
      <w:pPr>
        <w:spacing w:after="0" w:line="360" w:lineRule="auto"/>
        <w:ind w:firstLine="567"/>
        <w:jc w:val="both"/>
        <w:rPr>
          <w:rFonts w:ascii="Times New Roman" w:eastAsia="Calibri" w:hAnsi="Times New Roman" w:cs="Times New Roman"/>
          <w:i/>
          <w:iCs/>
          <w:sz w:val="28"/>
          <w:szCs w:val="28"/>
          <w:lang w:val="uk-UA"/>
        </w:rPr>
      </w:pPr>
      <w:r w:rsidRPr="00B9696B">
        <w:rPr>
          <w:rFonts w:ascii="Times New Roman" w:eastAsia="Calibri" w:hAnsi="Times New Roman" w:cs="Times New Roman"/>
          <w:i/>
          <w:iCs/>
          <w:sz w:val="28"/>
          <w:szCs w:val="28"/>
          <w:lang w:val="uk-UA"/>
        </w:rPr>
        <w:t>Висновки до  третього розділу</w:t>
      </w:r>
    </w:p>
    <w:p w14:paraId="7C191AB0"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Комплексний розгляд сучасних викликів інформаційної безпеки, підкреслюючи, що протидія інформаційним війнам вимагає міждисциплінарного підходу, який поєднує інституційні, когнітивні та міжнародні виміри. Ключовим висновком є те, що інформаційна безпека вже не може трактуватися винятково як технічне або адміністративне завдання, вона перетворилася на стратегічну сферу державного управління та соціального розвитку.</w:t>
      </w:r>
    </w:p>
    <w:p w14:paraId="6A21D522"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По-перше, державна політика в галузі інформаційної безпеки повинна базуватися на чіткому розумінні багатовимірної природи загроз. Законодавча та інституційна база мають забезпечувати як захист технічної інфраструктури, так і формування стійкості політичної системи до зовнішніх інформаційних </w:t>
      </w:r>
      <w:proofErr w:type="spellStart"/>
      <w:r w:rsidRPr="00B9696B">
        <w:rPr>
          <w:rFonts w:ascii="Times New Roman" w:eastAsia="Calibri" w:hAnsi="Times New Roman" w:cs="Times New Roman"/>
          <w:sz w:val="28"/>
          <w:szCs w:val="28"/>
          <w:lang w:val="uk-UA"/>
        </w:rPr>
        <w:t>втручань</w:t>
      </w:r>
      <w:proofErr w:type="spellEnd"/>
      <w:r w:rsidRPr="00B9696B">
        <w:rPr>
          <w:rFonts w:ascii="Times New Roman" w:eastAsia="Calibri" w:hAnsi="Times New Roman" w:cs="Times New Roman"/>
          <w:sz w:val="28"/>
          <w:szCs w:val="28"/>
          <w:lang w:val="uk-UA"/>
        </w:rPr>
        <w:t xml:space="preserve">. </w:t>
      </w:r>
      <w:r w:rsidRPr="00B9696B">
        <w:rPr>
          <w:rFonts w:ascii="Times New Roman" w:eastAsia="Calibri" w:hAnsi="Times New Roman" w:cs="Times New Roman"/>
          <w:sz w:val="28"/>
          <w:szCs w:val="28"/>
          <w:lang w:val="uk-UA"/>
        </w:rPr>
        <w:lastRenderedPageBreak/>
        <w:t>Комплексна політика має враховувати баланс між безпекою і свободою слова, запобігаючи надмірному регулюванню, яке може підірвати демократичні цінності.</w:t>
      </w:r>
    </w:p>
    <w:p w14:paraId="2EFA7BA7"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По-друге, розвиток критичного мислення та інформаційної гігієни громадян визначається як одна з найефективніших форм превенції деструктивного впливу. Суспільна стійкість не зводиться до інфраструктурних заходів, вона формується у сфері освіти, просвіти, </w:t>
      </w:r>
      <w:proofErr w:type="spellStart"/>
      <w:r w:rsidRPr="00B9696B">
        <w:rPr>
          <w:rFonts w:ascii="Times New Roman" w:eastAsia="Calibri" w:hAnsi="Times New Roman" w:cs="Times New Roman"/>
          <w:sz w:val="28"/>
          <w:szCs w:val="28"/>
          <w:lang w:val="uk-UA"/>
        </w:rPr>
        <w:t>медіакультури</w:t>
      </w:r>
      <w:proofErr w:type="spellEnd"/>
      <w:r w:rsidRPr="00B9696B">
        <w:rPr>
          <w:rFonts w:ascii="Times New Roman" w:eastAsia="Calibri" w:hAnsi="Times New Roman" w:cs="Times New Roman"/>
          <w:sz w:val="28"/>
          <w:szCs w:val="28"/>
          <w:lang w:val="uk-UA"/>
        </w:rPr>
        <w:t xml:space="preserve"> та громадянської участі. Критичне мислення виступає своєрідним «внутрішнім антивірусом», що зменшує вразливість до фейків, маніпуляцій і пропаганди. Водночас інформаційна гігієна як сукупність практичних навичок формує повсякденну культуру відповідального інформаційного споживання.</w:t>
      </w:r>
    </w:p>
    <w:p w14:paraId="5A668AA3"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 xml:space="preserve">По-третє, міжнародний досвід свідчить про те, що ефективна протидія інформаційним загрозам потребує колективної відповіді. Участь у міжнародних ініціативах, адаптація стандартів стратегічних комунікацій, партнерство з технологічними компаніями, розвиток інституційної спроможності, усе це формує підґрунтя для зміцнення національної інформаційної безпеки. Важливою є також підтримка транскордонної аналітики, обміну інформацією та колективного інвестування в </w:t>
      </w:r>
      <w:proofErr w:type="spellStart"/>
      <w:r w:rsidRPr="00B9696B">
        <w:rPr>
          <w:rFonts w:ascii="Times New Roman" w:eastAsia="Calibri" w:hAnsi="Times New Roman" w:cs="Times New Roman"/>
          <w:sz w:val="28"/>
          <w:szCs w:val="28"/>
          <w:lang w:val="uk-UA"/>
        </w:rPr>
        <w:t>медіаосвіту</w:t>
      </w:r>
      <w:proofErr w:type="spellEnd"/>
      <w:r w:rsidRPr="00B9696B">
        <w:rPr>
          <w:rFonts w:ascii="Times New Roman" w:eastAsia="Calibri" w:hAnsi="Times New Roman" w:cs="Times New Roman"/>
          <w:sz w:val="28"/>
          <w:szCs w:val="28"/>
          <w:lang w:val="uk-UA"/>
        </w:rPr>
        <w:t>, зокрема в умовах гібридних конфліктів.</w:t>
      </w:r>
    </w:p>
    <w:p w14:paraId="2AE1684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r w:rsidRPr="00B9696B">
        <w:rPr>
          <w:rFonts w:ascii="Times New Roman" w:eastAsia="Calibri" w:hAnsi="Times New Roman" w:cs="Times New Roman"/>
          <w:sz w:val="28"/>
          <w:szCs w:val="28"/>
          <w:lang w:val="uk-UA"/>
        </w:rPr>
        <w:t>Таким чином, боротьба з інформаційними загрозами вимагає скоординованої політики, яка охоплює не лише державний апарат, але й суспільні, академічні та міжнародні ресурси. Розуміння інформаційної безпеки як публічного блага, що формується спільними зусиллями, є концептуальною рамкою для майбутньої трансформації безпекових стратегій у цифрову епоху.</w:t>
      </w:r>
    </w:p>
    <w:p w14:paraId="246B510E" w14:textId="77777777" w:rsidR="00B9696B" w:rsidRPr="00B9696B" w:rsidRDefault="00B9696B" w:rsidP="00B9696B">
      <w:pPr>
        <w:spacing w:after="0" w:line="360" w:lineRule="auto"/>
        <w:ind w:firstLine="567"/>
        <w:jc w:val="both"/>
        <w:rPr>
          <w:rFonts w:ascii="Times New Roman" w:eastAsia="Calibri" w:hAnsi="Times New Roman" w:cs="Times New Roman"/>
          <w:sz w:val="28"/>
          <w:szCs w:val="28"/>
          <w:lang w:val="uk-UA"/>
        </w:rPr>
      </w:pPr>
    </w:p>
    <w:p w14:paraId="2A48CB53" w14:textId="77777777" w:rsidR="009C521E" w:rsidRPr="00112B82" w:rsidRDefault="009C521E">
      <w:pPr>
        <w:rPr>
          <w:rFonts w:ascii="Times New Roman" w:hAnsi="Times New Roman" w:cs="Times New Roman"/>
          <w:sz w:val="28"/>
          <w:szCs w:val="28"/>
          <w:lang w:val="uk-UA"/>
        </w:rPr>
      </w:pPr>
    </w:p>
    <w:p w14:paraId="1A75677E" w14:textId="77777777" w:rsidR="009C521E" w:rsidRPr="00112B82" w:rsidRDefault="009C521E">
      <w:pPr>
        <w:rPr>
          <w:rFonts w:ascii="Times New Roman" w:hAnsi="Times New Roman" w:cs="Times New Roman"/>
          <w:sz w:val="28"/>
          <w:szCs w:val="28"/>
          <w:lang w:val="uk-UA"/>
        </w:rPr>
      </w:pPr>
    </w:p>
    <w:p w14:paraId="7198CC69" w14:textId="77777777" w:rsidR="009C521E" w:rsidRPr="00112B82" w:rsidRDefault="009C521E">
      <w:pPr>
        <w:rPr>
          <w:rFonts w:ascii="Times New Roman" w:hAnsi="Times New Roman" w:cs="Times New Roman"/>
          <w:sz w:val="28"/>
          <w:szCs w:val="28"/>
          <w:lang w:val="uk-UA"/>
        </w:rPr>
      </w:pPr>
    </w:p>
    <w:p w14:paraId="6B62C786" w14:textId="77777777" w:rsidR="009C521E" w:rsidRPr="00112B82" w:rsidRDefault="009C521E">
      <w:pPr>
        <w:rPr>
          <w:rFonts w:ascii="Times New Roman" w:hAnsi="Times New Roman" w:cs="Times New Roman"/>
          <w:sz w:val="28"/>
          <w:szCs w:val="28"/>
          <w:lang w:val="uk-UA"/>
        </w:rPr>
      </w:pPr>
    </w:p>
    <w:p w14:paraId="129EF5B7" w14:textId="77777777" w:rsidR="009C521E" w:rsidRPr="00112B82" w:rsidRDefault="009C521E">
      <w:pPr>
        <w:rPr>
          <w:rFonts w:ascii="Times New Roman" w:hAnsi="Times New Roman" w:cs="Times New Roman"/>
          <w:sz w:val="28"/>
          <w:szCs w:val="28"/>
          <w:lang w:val="uk-UA"/>
        </w:rPr>
      </w:pPr>
    </w:p>
    <w:p w14:paraId="337B3841" w14:textId="77777777" w:rsidR="009C521E" w:rsidRPr="00112B82" w:rsidRDefault="009C521E">
      <w:pPr>
        <w:rPr>
          <w:rFonts w:ascii="Times New Roman" w:hAnsi="Times New Roman" w:cs="Times New Roman"/>
          <w:sz w:val="28"/>
          <w:szCs w:val="28"/>
          <w:lang w:val="uk-UA"/>
        </w:rPr>
      </w:pPr>
    </w:p>
    <w:p w14:paraId="7513F201" w14:textId="77777777" w:rsidR="009C521E" w:rsidRPr="00112B82" w:rsidRDefault="009C521E">
      <w:pPr>
        <w:rPr>
          <w:rFonts w:ascii="Times New Roman" w:hAnsi="Times New Roman" w:cs="Times New Roman"/>
          <w:sz w:val="28"/>
          <w:szCs w:val="28"/>
          <w:lang w:val="uk-UA"/>
        </w:rPr>
      </w:pPr>
    </w:p>
    <w:p w14:paraId="161CE538" w14:textId="77777777" w:rsidR="009C521E" w:rsidRPr="00112B82" w:rsidRDefault="009C521E">
      <w:pPr>
        <w:rPr>
          <w:rFonts w:ascii="Times New Roman" w:hAnsi="Times New Roman" w:cs="Times New Roman"/>
          <w:sz w:val="28"/>
          <w:szCs w:val="28"/>
          <w:lang w:val="uk-UA"/>
        </w:rPr>
      </w:pPr>
    </w:p>
    <w:p w14:paraId="22BAF289" w14:textId="77777777" w:rsidR="009C521E" w:rsidRPr="00112B82" w:rsidRDefault="009C521E">
      <w:pPr>
        <w:rPr>
          <w:rFonts w:ascii="Times New Roman" w:hAnsi="Times New Roman" w:cs="Times New Roman"/>
          <w:sz w:val="28"/>
          <w:szCs w:val="28"/>
          <w:lang w:val="uk-UA"/>
        </w:rPr>
      </w:pPr>
    </w:p>
    <w:p w14:paraId="4175B8D8" w14:textId="77777777" w:rsidR="009C521E" w:rsidRPr="00112B82" w:rsidRDefault="009C521E">
      <w:pPr>
        <w:rPr>
          <w:rFonts w:ascii="Times New Roman" w:hAnsi="Times New Roman" w:cs="Times New Roman"/>
          <w:sz w:val="28"/>
          <w:szCs w:val="28"/>
          <w:lang w:val="uk-UA"/>
        </w:rPr>
      </w:pPr>
    </w:p>
    <w:p w14:paraId="485D69E3" w14:textId="77777777" w:rsidR="009C521E" w:rsidRPr="00112B82" w:rsidRDefault="009C521E">
      <w:pPr>
        <w:rPr>
          <w:rFonts w:ascii="Times New Roman" w:hAnsi="Times New Roman" w:cs="Times New Roman"/>
          <w:sz w:val="28"/>
          <w:szCs w:val="28"/>
          <w:lang w:val="uk-UA"/>
        </w:rPr>
      </w:pPr>
    </w:p>
    <w:p w14:paraId="0EB05BDB" w14:textId="77777777" w:rsidR="009C521E" w:rsidRPr="00112B82" w:rsidRDefault="009C521E">
      <w:pPr>
        <w:rPr>
          <w:rFonts w:ascii="Times New Roman" w:hAnsi="Times New Roman" w:cs="Times New Roman"/>
          <w:sz w:val="28"/>
          <w:szCs w:val="28"/>
          <w:lang w:val="uk-UA"/>
        </w:rPr>
      </w:pPr>
    </w:p>
    <w:p w14:paraId="0E640BFF" w14:textId="77777777" w:rsidR="00C068B0" w:rsidRPr="00C068B0" w:rsidRDefault="00C068B0" w:rsidP="00C068B0">
      <w:pPr>
        <w:spacing w:after="0" w:line="360" w:lineRule="auto"/>
        <w:ind w:firstLine="567"/>
        <w:jc w:val="center"/>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t>РОЗДІЛ 4</w:t>
      </w:r>
    </w:p>
    <w:p w14:paraId="2F2CE01F" w14:textId="77777777" w:rsidR="00C068B0" w:rsidRPr="00C068B0" w:rsidRDefault="00C068B0" w:rsidP="00C068B0">
      <w:pPr>
        <w:spacing w:after="0" w:line="360" w:lineRule="auto"/>
        <w:ind w:firstLine="567"/>
        <w:jc w:val="center"/>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t>РОСІЙСЬКО-УКРАЇНСЬКА ВІЙНА ЯК КЕЙС ІНФОРМАЦІЙНОГО ПРОТИСТОЯННЯ</w:t>
      </w:r>
    </w:p>
    <w:p w14:paraId="679EDEB9" w14:textId="77777777" w:rsidR="00C068B0" w:rsidRPr="00C068B0" w:rsidRDefault="00C068B0" w:rsidP="00C068B0">
      <w:pPr>
        <w:spacing w:after="0" w:line="360" w:lineRule="auto"/>
        <w:ind w:firstLine="567"/>
        <w:jc w:val="center"/>
        <w:rPr>
          <w:rFonts w:ascii="Times New Roman" w:eastAsia="Calibri" w:hAnsi="Times New Roman" w:cs="Times New Roman"/>
          <w:b/>
          <w:bCs/>
          <w:sz w:val="28"/>
          <w:szCs w:val="28"/>
          <w:lang w:val="uk-UA"/>
        </w:rPr>
      </w:pPr>
    </w:p>
    <w:p w14:paraId="54D35AC3" w14:textId="77777777" w:rsidR="00C068B0" w:rsidRPr="00C068B0" w:rsidRDefault="00C068B0" w:rsidP="00C068B0">
      <w:pPr>
        <w:spacing w:after="0" w:line="360" w:lineRule="auto"/>
        <w:ind w:firstLine="567"/>
        <w:jc w:val="both"/>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t>4.1. Еволюція інформаційної війни Росії проти України (2014–2025 рр.)</w:t>
      </w:r>
    </w:p>
    <w:p w14:paraId="4B4DD8D6" w14:textId="77777777" w:rsidR="00C068B0" w:rsidRPr="00C068B0" w:rsidRDefault="00C068B0" w:rsidP="00C068B0">
      <w:pPr>
        <w:spacing w:after="0" w:line="360" w:lineRule="auto"/>
        <w:ind w:firstLine="567"/>
        <w:jc w:val="both"/>
        <w:rPr>
          <w:rFonts w:ascii="Times New Roman" w:eastAsia="Calibri" w:hAnsi="Times New Roman" w:cs="Times New Roman"/>
          <w:b/>
          <w:bCs/>
          <w:sz w:val="28"/>
          <w:szCs w:val="28"/>
          <w:lang w:val="uk-UA"/>
        </w:rPr>
      </w:pPr>
    </w:p>
    <w:p w14:paraId="0484561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Інформаційна війна Російської Федерації проти України є одним із найбільш показових прикладів системного та довготривалого застосування інформаційного впливу як основного елементу гібридного конфлікту. Починаючи з 2014 р., інформаційний вимір агресії набув не лише допоміжного, а визначального значення, супроводжуючи всі етапи збройного, політичного та дипломатичного протистояння. Еволюція цієї інформаційної війни демонструє поступовий перехід від відносно примітивних пропагандистських практик до складних, багаторівневих і технологічно витончених стратегій впливу на внутрішню та зовнішню аудиторії (Див. </w:t>
      </w:r>
      <w:proofErr w:type="spellStart"/>
      <w:r w:rsidRPr="00C068B0">
        <w:rPr>
          <w:rFonts w:ascii="Times New Roman" w:eastAsia="Calibri" w:hAnsi="Times New Roman" w:cs="Times New Roman"/>
          <w:sz w:val="28"/>
          <w:szCs w:val="28"/>
          <w:lang w:val="uk-UA"/>
        </w:rPr>
        <w:t>Табл</w:t>
      </w:r>
      <w:proofErr w:type="spellEnd"/>
      <w:r w:rsidRPr="00C068B0">
        <w:rPr>
          <w:rFonts w:ascii="Times New Roman" w:eastAsia="Calibri" w:hAnsi="Times New Roman" w:cs="Times New Roman"/>
          <w:sz w:val="28"/>
          <w:szCs w:val="28"/>
          <w:lang w:val="uk-UA"/>
        </w:rPr>
        <w:t>) (</w:t>
      </w:r>
      <w:proofErr w:type="spellStart"/>
      <w:r w:rsidRPr="00C068B0">
        <w:rPr>
          <w:rFonts w:ascii="Times New Roman" w:eastAsia="Calibri" w:hAnsi="Times New Roman" w:cs="Times New Roman"/>
          <w:sz w:val="28"/>
          <w:szCs w:val="28"/>
          <w:lang w:val="uk-UA"/>
        </w:rPr>
        <w:t>Киридон</w:t>
      </w:r>
      <w:proofErr w:type="spellEnd"/>
      <w:r w:rsidRPr="00C068B0">
        <w:rPr>
          <w:rFonts w:ascii="Times New Roman" w:eastAsia="Calibri" w:hAnsi="Times New Roman" w:cs="Times New Roman"/>
          <w:sz w:val="28"/>
          <w:szCs w:val="28"/>
          <w:lang w:val="uk-UA"/>
        </w:rPr>
        <w:t xml:space="preserve"> Ред., 2025); </w:t>
      </w:r>
    </w:p>
    <w:p w14:paraId="63E7B414"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tbl>
      <w:tblPr>
        <w:tblStyle w:val="12"/>
        <w:tblW w:w="0" w:type="auto"/>
        <w:tblInd w:w="0" w:type="dxa"/>
        <w:tblLook w:val="04A0" w:firstRow="1" w:lastRow="0" w:firstColumn="1" w:lastColumn="0" w:noHBand="0" w:noVBand="1"/>
      </w:tblPr>
      <w:tblGrid>
        <w:gridCol w:w="2745"/>
        <w:gridCol w:w="4077"/>
        <w:gridCol w:w="2807"/>
      </w:tblGrid>
      <w:tr w:rsidR="00C068B0" w:rsidRPr="00C068B0" w14:paraId="1B7BB5FF" w14:textId="77777777">
        <w:tc>
          <w:tcPr>
            <w:tcW w:w="1980" w:type="dxa"/>
            <w:tcBorders>
              <w:top w:val="single" w:sz="4" w:space="0" w:color="auto"/>
              <w:left w:val="single" w:sz="4" w:space="0" w:color="auto"/>
              <w:bottom w:val="single" w:sz="4" w:space="0" w:color="auto"/>
              <w:right w:val="single" w:sz="4" w:space="0" w:color="auto"/>
            </w:tcBorders>
          </w:tcPr>
          <w:p w14:paraId="4AF4498B" w14:textId="77777777" w:rsidR="00C068B0" w:rsidRPr="00C068B0" w:rsidRDefault="00C068B0" w:rsidP="00C068B0">
            <w:pPr>
              <w:spacing w:line="360" w:lineRule="auto"/>
              <w:jc w:val="center"/>
              <w:rPr>
                <w:rFonts w:ascii="Times New Roman" w:hAnsi="Times New Roman"/>
                <w:b/>
                <w:bCs/>
              </w:rPr>
            </w:pPr>
            <w:r w:rsidRPr="00C068B0">
              <w:rPr>
                <w:rFonts w:ascii="Times New Roman" w:hAnsi="Times New Roman"/>
                <w:b/>
                <w:bCs/>
                <w:sz w:val="28"/>
                <w:szCs w:val="28"/>
              </w:rPr>
              <w:t>Етап</w:t>
            </w:r>
          </w:p>
          <w:p w14:paraId="18B63104" w14:textId="77777777" w:rsidR="00C068B0" w:rsidRPr="00C068B0" w:rsidRDefault="00C068B0" w:rsidP="00C068B0">
            <w:pPr>
              <w:spacing w:line="360" w:lineRule="auto"/>
              <w:jc w:val="center"/>
              <w:rPr>
                <w:rFonts w:ascii="Times New Roman" w:hAnsi="Times New Roman"/>
              </w:rPr>
            </w:pPr>
          </w:p>
        </w:tc>
        <w:tc>
          <w:tcPr>
            <w:tcW w:w="4728" w:type="dxa"/>
            <w:tcBorders>
              <w:top w:val="single" w:sz="4" w:space="0" w:color="auto"/>
              <w:left w:val="single" w:sz="4" w:space="0" w:color="auto"/>
              <w:bottom w:val="single" w:sz="4" w:space="0" w:color="auto"/>
              <w:right w:val="single" w:sz="4" w:space="0" w:color="auto"/>
            </w:tcBorders>
            <w:hideMark/>
          </w:tcPr>
          <w:p w14:paraId="20831FED" w14:textId="77777777" w:rsidR="00C068B0" w:rsidRPr="00C068B0" w:rsidRDefault="00C068B0" w:rsidP="00C068B0">
            <w:pPr>
              <w:spacing w:line="360" w:lineRule="auto"/>
              <w:jc w:val="center"/>
              <w:rPr>
                <w:rFonts w:ascii="Times New Roman" w:hAnsi="Times New Roman"/>
                <w:sz w:val="28"/>
                <w:szCs w:val="28"/>
              </w:rPr>
            </w:pPr>
            <w:r w:rsidRPr="00C068B0">
              <w:rPr>
                <w:rFonts w:ascii="Times New Roman" w:hAnsi="Times New Roman"/>
                <w:b/>
                <w:bCs/>
                <w:sz w:val="28"/>
                <w:szCs w:val="28"/>
              </w:rPr>
              <w:t>Характеристика</w:t>
            </w:r>
          </w:p>
        </w:tc>
        <w:tc>
          <w:tcPr>
            <w:tcW w:w="2921" w:type="dxa"/>
            <w:tcBorders>
              <w:top w:val="single" w:sz="4" w:space="0" w:color="auto"/>
              <w:left w:val="single" w:sz="4" w:space="0" w:color="auto"/>
              <w:bottom w:val="single" w:sz="4" w:space="0" w:color="auto"/>
              <w:right w:val="single" w:sz="4" w:space="0" w:color="auto"/>
            </w:tcBorders>
            <w:hideMark/>
          </w:tcPr>
          <w:p w14:paraId="616C86C9" w14:textId="77777777" w:rsidR="00C068B0" w:rsidRPr="00C068B0" w:rsidRDefault="00C068B0" w:rsidP="00C068B0">
            <w:pPr>
              <w:spacing w:line="360" w:lineRule="auto"/>
              <w:jc w:val="center"/>
              <w:rPr>
                <w:rFonts w:ascii="Times New Roman" w:hAnsi="Times New Roman"/>
                <w:sz w:val="28"/>
                <w:szCs w:val="28"/>
              </w:rPr>
            </w:pPr>
            <w:proofErr w:type="spellStart"/>
            <w:r w:rsidRPr="00C068B0">
              <w:rPr>
                <w:rFonts w:ascii="Times New Roman" w:hAnsi="Times New Roman"/>
                <w:b/>
                <w:bCs/>
                <w:sz w:val="28"/>
                <w:szCs w:val="28"/>
              </w:rPr>
              <w:t>Наративи</w:t>
            </w:r>
            <w:proofErr w:type="spellEnd"/>
          </w:p>
        </w:tc>
      </w:tr>
      <w:tr w:rsidR="00C068B0" w:rsidRPr="00C068B0" w14:paraId="74D6DCB7" w14:textId="77777777">
        <w:tc>
          <w:tcPr>
            <w:tcW w:w="1980" w:type="dxa"/>
            <w:tcBorders>
              <w:top w:val="single" w:sz="4" w:space="0" w:color="auto"/>
              <w:left w:val="single" w:sz="4" w:space="0" w:color="auto"/>
              <w:bottom w:val="single" w:sz="4" w:space="0" w:color="auto"/>
              <w:right w:val="single" w:sz="4" w:space="0" w:color="auto"/>
            </w:tcBorders>
            <w:hideMark/>
          </w:tcPr>
          <w:p w14:paraId="7401BD78"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2013–2014: Початковий етап</w:t>
            </w:r>
          </w:p>
        </w:tc>
        <w:tc>
          <w:tcPr>
            <w:tcW w:w="4728" w:type="dxa"/>
            <w:tcBorders>
              <w:top w:val="single" w:sz="4" w:space="0" w:color="auto"/>
              <w:left w:val="single" w:sz="4" w:space="0" w:color="auto"/>
              <w:bottom w:val="single" w:sz="4" w:space="0" w:color="auto"/>
              <w:right w:val="single" w:sz="4" w:space="0" w:color="auto"/>
            </w:tcBorders>
            <w:hideMark/>
          </w:tcPr>
          <w:p w14:paraId="01CE8987"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 xml:space="preserve">Дискредитація Євромайдану, </w:t>
            </w:r>
            <w:proofErr w:type="spellStart"/>
            <w:r w:rsidRPr="00C068B0">
              <w:rPr>
                <w:rFonts w:ascii="Times New Roman" w:hAnsi="Times New Roman"/>
                <w:sz w:val="28"/>
                <w:szCs w:val="28"/>
              </w:rPr>
              <w:t>делегітимація</w:t>
            </w:r>
            <w:proofErr w:type="spellEnd"/>
            <w:r w:rsidRPr="00C068B0">
              <w:rPr>
                <w:rFonts w:ascii="Times New Roman" w:hAnsi="Times New Roman"/>
                <w:sz w:val="28"/>
                <w:szCs w:val="28"/>
              </w:rPr>
              <w:t xml:space="preserve"> нової влади, поширення страхів щодо «радикалізму» і «зовнішнього управління».</w:t>
            </w:r>
          </w:p>
        </w:tc>
        <w:tc>
          <w:tcPr>
            <w:tcW w:w="2921" w:type="dxa"/>
            <w:tcBorders>
              <w:top w:val="single" w:sz="4" w:space="0" w:color="auto"/>
              <w:left w:val="single" w:sz="4" w:space="0" w:color="auto"/>
              <w:bottom w:val="single" w:sz="4" w:space="0" w:color="auto"/>
              <w:right w:val="single" w:sz="4" w:space="0" w:color="auto"/>
            </w:tcBorders>
            <w:hideMark/>
          </w:tcPr>
          <w:p w14:paraId="6B7EA6EE"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w:t>
            </w:r>
            <w:proofErr w:type="spellStart"/>
            <w:r w:rsidRPr="00C068B0">
              <w:rPr>
                <w:rFonts w:ascii="Times New Roman" w:hAnsi="Times New Roman"/>
                <w:sz w:val="28"/>
                <w:szCs w:val="28"/>
              </w:rPr>
              <w:t>Держпереворот</w:t>
            </w:r>
            <w:proofErr w:type="spellEnd"/>
            <w:r w:rsidRPr="00C068B0">
              <w:rPr>
                <w:rFonts w:ascii="Times New Roman" w:hAnsi="Times New Roman"/>
                <w:sz w:val="28"/>
                <w:szCs w:val="28"/>
              </w:rPr>
              <w:t xml:space="preserve">», «зовнішнє управління», «неонацизм», </w:t>
            </w:r>
            <w:r w:rsidRPr="00C068B0">
              <w:rPr>
                <w:rFonts w:ascii="Times New Roman" w:hAnsi="Times New Roman"/>
                <w:sz w:val="28"/>
                <w:szCs w:val="28"/>
              </w:rPr>
              <w:lastRenderedPageBreak/>
              <w:t>«загроза російськомовним».</w:t>
            </w:r>
          </w:p>
        </w:tc>
      </w:tr>
      <w:tr w:rsidR="00C068B0" w:rsidRPr="00C068B0" w14:paraId="02A23DE7" w14:textId="77777777">
        <w:tc>
          <w:tcPr>
            <w:tcW w:w="1980" w:type="dxa"/>
            <w:tcBorders>
              <w:top w:val="single" w:sz="4" w:space="0" w:color="auto"/>
              <w:left w:val="single" w:sz="4" w:space="0" w:color="auto"/>
              <w:bottom w:val="single" w:sz="4" w:space="0" w:color="auto"/>
              <w:right w:val="single" w:sz="4" w:space="0" w:color="auto"/>
            </w:tcBorders>
            <w:hideMark/>
          </w:tcPr>
          <w:p w14:paraId="71DE4ABE" w14:textId="77777777" w:rsidR="00C068B0" w:rsidRPr="00C068B0" w:rsidRDefault="00C068B0" w:rsidP="00C068B0">
            <w:pPr>
              <w:spacing w:line="360" w:lineRule="auto"/>
              <w:jc w:val="both"/>
              <w:rPr>
                <w:rFonts w:ascii="Times New Roman" w:hAnsi="Times New Roman"/>
                <w:b/>
                <w:bCs/>
              </w:rPr>
            </w:pPr>
            <w:r w:rsidRPr="00C068B0">
              <w:rPr>
                <w:rFonts w:ascii="Times New Roman" w:hAnsi="Times New Roman"/>
                <w:b/>
                <w:bCs/>
                <w:sz w:val="28"/>
                <w:szCs w:val="28"/>
              </w:rPr>
              <w:lastRenderedPageBreak/>
              <w:t xml:space="preserve">2014–2015: </w:t>
            </w:r>
          </w:p>
          <w:p w14:paraId="77E65B5F" w14:textId="77777777" w:rsidR="00C068B0" w:rsidRPr="00C068B0" w:rsidRDefault="00C068B0" w:rsidP="00C068B0">
            <w:pPr>
              <w:spacing w:line="360" w:lineRule="auto"/>
              <w:jc w:val="both"/>
              <w:rPr>
                <w:rFonts w:ascii="Times New Roman" w:hAnsi="Times New Roman"/>
              </w:rPr>
            </w:pPr>
            <w:r w:rsidRPr="00C068B0">
              <w:rPr>
                <w:rFonts w:ascii="Times New Roman" w:hAnsi="Times New Roman"/>
                <w:b/>
                <w:bCs/>
                <w:sz w:val="28"/>
                <w:szCs w:val="28"/>
              </w:rPr>
              <w:t>Анексія Криму та війна</w:t>
            </w:r>
          </w:p>
        </w:tc>
        <w:tc>
          <w:tcPr>
            <w:tcW w:w="4728" w:type="dxa"/>
            <w:tcBorders>
              <w:top w:val="single" w:sz="4" w:space="0" w:color="auto"/>
              <w:left w:val="single" w:sz="4" w:space="0" w:color="auto"/>
              <w:bottom w:val="single" w:sz="4" w:space="0" w:color="auto"/>
              <w:right w:val="single" w:sz="4" w:space="0" w:color="auto"/>
            </w:tcBorders>
            <w:hideMark/>
          </w:tcPr>
          <w:p w14:paraId="5B4C518F"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Інформаційний супровід анексії, створення ілюзії «місцевого повстання», масова дезінформація та фейкові новини.</w:t>
            </w:r>
          </w:p>
        </w:tc>
        <w:tc>
          <w:tcPr>
            <w:tcW w:w="2921" w:type="dxa"/>
            <w:tcBorders>
              <w:top w:val="single" w:sz="4" w:space="0" w:color="auto"/>
              <w:left w:val="single" w:sz="4" w:space="0" w:color="auto"/>
              <w:bottom w:val="single" w:sz="4" w:space="0" w:color="auto"/>
              <w:right w:val="single" w:sz="4" w:space="0" w:color="auto"/>
            </w:tcBorders>
            <w:hideMark/>
          </w:tcPr>
          <w:p w14:paraId="19E1B324"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«Громадянська війна», «самооборона Криму», «відсутність Росії у конфлікті».</w:t>
            </w:r>
          </w:p>
        </w:tc>
      </w:tr>
      <w:tr w:rsidR="00C068B0" w:rsidRPr="00C068B0" w14:paraId="0A09645F" w14:textId="77777777">
        <w:tc>
          <w:tcPr>
            <w:tcW w:w="1980" w:type="dxa"/>
            <w:tcBorders>
              <w:top w:val="single" w:sz="4" w:space="0" w:color="auto"/>
              <w:left w:val="single" w:sz="4" w:space="0" w:color="auto"/>
              <w:bottom w:val="single" w:sz="4" w:space="0" w:color="auto"/>
              <w:right w:val="single" w:sz="4" w:space="0" w:color="auto"/>
            </w:tcBorders>
            <w:hideMark/>
          </w:tcPr>
          <w:p w14:paraId="252D87E2"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 xml:space="preserve">2015–2018: </w:t>
            </w:r>
            <w:proofErr w:type="spellStart"/>
            <w:r w:rsidRPr="00C068B0">
              <w:rPr>
                <w:rFonts w:ascii="Times New Roman" w:hAnsi="Times New Roman"/>
                <w:b/>
                <w:bCs/>
                <w:sz w:val="28"/>
                <w:szCs w:val="28"/>
              </w:rPr>
              <w:t>Інституціоналізація</w:t>
            </w:r>
            <w:proofErr w:type="spellEnd"/>
          </w:p>
        </w:tc>
        <w:tc>
          <w:tcPr>
            <w:tcW w:w="4728" w:type="dxa"/>
            <w:tcBorders>
              <w:top w:val="single" w:sz="4" w:space="0" w:color="auto"/>
              <w:left w:val="single" w:sz="4" w:space="0" w:color="auto"/>
              <w:bottom w:val="single" w:sz="4" w:space="0" w:color="auto"/>
              <w:right w:val="single" w:sz="4" w:space="0" w:color="auto"/>
            </w:tcBorders>
            <w:hideMark/>
          </w:tcPr>
          <w:p w14:paraId="5EC2AF16"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 xml:space="preserve">Системне поширення </w:t>
            </w:r>
            <w:proofErr w:type="spellStart"/>
            <w:r w:rsidRPr="00C068B0">
              <w:rPr>
                <w:rFonts w:ascii="Times New Roman" w:hAnsi="Times New Roman"/>
                <w:sz w:val="28"/>
                <w:szCs w:val="28"/>
              </w:rPr>
              <w:t>наративів</w:t>
            </w:r>
            <w:proofErr w:type="spellEnd"/>
            <w:r w:rsidRPr="00C068B0">
              <w:rPr>
                <w:rFonts w:ascii="Times New Roman" w:hAnsi="Times New Roman"/>
                <w:sz w:val="28"/>
                <w:szCs w:val="28"/>
              </w:rPr>
              <w:t xml:space="preserve"> через міжнародні медіа, орієнтація на підрив міжнародної підтримки України.</w:t>
            </w:r>
          </w:p>
        </w:tc>
        <w:tc>
          <w:tcPr>
            <w:tcW w:w="2921" w:type="dxa"/>
            <w:tcBorders>
              <w:top w:val="single" w:sz="4" w:space="0" w:color="auto"/>
              <w:left w:val="single" w:sz="4" w:space="0" w:color="auto"/>
              <w:bottom w:val="single" w:sz="4" w:space="0" w:color="auto"/>
              <w:right w:val="single" w:sz="4" w:space="0" w:color="auto"/>
            </w:tcBorders>
            <w:hideMark/>
          </w:tcPr>
          <w:p w14:paraId="6DC3C27F"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«Світ втомився від України», «Україна – фейкова держава», «нелегітимна влада».</w:t>
            </w:r>
          </w:p>
        </w:tc>
      </w:tr>
      <w:tr w:rsidR="00C068B0" w:rsidRPr="00C068B0" w14:paraId="6BE48554" w14:textId="77777777">
        <w:tc>
          <w:tcPr>
            <w:tcW w:w="1980" w:type="dxa"/>
            <w:tcBorders>
              <w:top w:val="single" w:sz="4" w:space="0" w:color="auto"/>
              <w:left w:val="single" w:sz="4" w:space="0" w:color="auto"/>
              <w:bottom w:val="single" w:sz="4" w:space="0" w:color="auto"/>
              <w:right w:val="single" w:sz="4" w:space="0" w:color="auto"/>
            </w:tcBorders>
            <w:hideMark/>
          </w:tcPr>
          <w:p w14:paraId="255C4916"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2019–2021: Втручання у політику</w:t>
            </w:r>
          </w:p>
        </w:tc>
        <w:tc>
          <w:tcPr>
            <w:tcW w:w="4728" w:type="dxa"/>
            <w:tcBorders>
              <w:top w:val="single" w:sz="4" w:space="0" w:color="auto"/>
              <w:left w:val="single" w:sz="4" w:space="0" w:color="auto"/>
              <w:bottom w:val="single" w:sz="4" w:space="0" w:color="auto"/>
              <w:right w:val="single" w:sz="4" w:space="0" w:color="auto"/>
            </w:tcBorders>
            <w:hideMark/>
          </w:tcPr>
          <w:p w14:paraId="606C89C9"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Посилення дестабілізації всередині країни, атаки на реформи, волонтерів, армію, посилення соціального розчарування.</w:t>
            </w:r>
          </w:p>
        </w:tc>
        <w:tc>
          <w:tcPr>
            <w:tcW w:w="2921" w:type="dxa"/>
            <w:tcBorders>
              <w:top w:val="single" w:sz="4" w:space="0" w:color="auto"/>
              <w:left w:val="single" w:sz="4" w:space="0" w:color="auto"/>
              <w:bottom w:val="single" w:sz="4" w:space="0" w:color="auto"/>
              <w:right w:val="single" w:sz="4" w:space="0" w:color="auto"/>
            </w:tcBorders>
            <w:hideMark/>
          </w:tcPr>
          <w:p w14:paraId="3EEED815"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«Реформи провалилися», «армія неефективна», «Захід зрадив Україну».</w:t>
            </w:r>
          </w:p>
        </w:tc>
      </w:tr>
      <w:tr w:rsidR="00C068B0" w:rsidRPr="00C068B0" w14:paraId="456D2CD2" w14:textId="77777777">
        <w:tc>
          <w:tcPr>
            <w:tcW w:w="1980" w:type="dxa"/>
            <w:tcBorders>
              <w:top w:val="single" w:sz="4" w:space="0" w:color="auto"/>
              <w:left w:val="single" w:sz="4" w:space="0" w:color="auto"/>
              <w:bottom w:val="single" w:sz="4" w:space="0" w:color="auto"/>
              <w:right w:val="single" w:sz="4" w:space="0" w:color="auto"/>
            </w:tcBorders>
            <w:hideMark/>
          </w:tcPr>
          <w:p w14:paraId="38DBD057"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2022–2025: Повномасштабне вторгнення</w:t>
            </w:r>
          </w:p>
        </w:tc>
        <w:tc>
          <w:tcPr>
            <w:tcW w:w="4728" w:type="dxa"/>
            <w:tcBorders>
              <w:top w:val="single" w:sz="4" w:space="0" w:color="auto"/>
              <w:left w:val="single" w:sz="4" w:space="0" w:color="auto"/>
              <w:bottom w:val="single" w:sz="4" w:space="0" w:color="auto"/>
              <w:right w:val="single" w:sz="4" w:space="0" w:color="auto"/>
            </w:tcBorders>
            <w:hideMark/>
          </w:tcPr>
          <w:p w14:paraId="63D477F0"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 xml:space="preserve">Глобальна інформаційна кампанія з виправдання війни, активізація </w:t>
            </w:r>
            <w:proofErr w:type="spellStart"/>
            <w:r w:rsidRPr="00C068B0">
              <w:rPr>
                <w:rFonts w:ascii="Times New Roman" w:hAnsi="Times New Roman"/>
                <w:sz w:val="28"/>
                <w:szCs w:val="28"/>
              </w:rPr>
              <w:t>кібероперацій</w:t>
            </w:r>
            <w:proofErr w:type="spellEnd"/>
            <w:r w:rsidRPr="00C068B0">
              <w:rPr>
                <w:rFonts w:ascii="Times New Roman" w:hAnsi="Times New Roman"/>
                <w:sz w:val="28"/>
                <w:szCs w:val="28"/>
              </w:rPr>
              <w:t>, дезінформація міжнародної аудиторії.</w:t>
            </w:r>
          </w:p>
        </w:tc>
        <w:tc>
          <w:tcPr>
            <w:tcW w:w="2921" w:type="dxa"/>
            <w:tcBorders>
              <w:top w:val="single" w:sz="4" w:space="0" w:color="auto"/>
              <w:left w:val="single" w:sz="4" w:space="0" w:color="auto"/>
              <w:bottom w:val="single" w:sz="4" w:space="0" w:color="auto"/>
              <w:right w:val="single" w:sz="4" w:space="0" w:color="auto"/>
            </w:tcBorders>
            <w:hideMark/>
          </w:tcPr>
          <w:p w14:paraId="690A2653"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«Україна – маріонетка Заходу», «Росія – захисник», «спецоперація проти нацизму», «несправедливі санкції».</w:t>
            </w:r>
          </w:p>
        </w:tc>
      </w:tr>
    </w:tbl>
    <w:p w14:paraId="085D58F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002BE6E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На першому етапі, що охоплює період Євромайдану та Революції Гідності, російська інформаційна кампанія була спрямована на </w:t>
      </w:r>
      <w:proofErr w:type="spellStart"/>
      <w:r w:rsidRPr="00C068B0">
        <w:rPr>
          <w:rFonts w:ascii="Times New Roman" w:eastAsia="Calibri" w:hAnsi="Times New Roman" w:cs="Times New Roman"/>
          <w:sz w:val="28"/>
          <w:szCs w:val="28"/>
          <w:lang w:val="uk-UA"/>
        </w:rPr>
        <w:t>делегітимацію</w:t>
      </w:r>
      <w:proofErr w:type="spellEnd"/>
      <w:r w:rsidRPr="00C068B0">
        <w:rPr>
          <w:rFonts w:ascii="Times New Roman" w:eastAsia="Calibri" w:hAnsi="Times New Roman" w:cs="Times New Roman"/>
          <w:sz w:val="28"/>
          <w:szCs w:val="28"/>
          <w:lang w:val="uk-UA"/>
        </w:rPr>
        <w:t xml:space="preserve"> українського </w:t>
      </w:r>
      <w:proofErr w:type="spellStart"/>
      <w:r w:rsidRPr="00C068B0">
        <w:rPr>
          <w:rFonts w:ascii="Times New Roman" w:eastAsia="Calibri" w:hAnsi="Times New Roman" w:cs="Times New Roman"/>
          <w:sz w:val="28"/>
          <w:szCs w:val="28"/>
          <w:lang w:val="uk-UA"/>
        </w:rPr>
        <w:t>протестного</w:t>
      </w:r>
      <w:proofErr w:type="spellEnd"/>
      <w:r w:rsidRPr="00C068B0">
        <w:rPr>
          <w:rFonts w:ascii="Times New Roman" w:eastAsia="Calibri" w:hAnsi="Times New Roman" w:cs="Times New Roman"/>
          <w:sz w:val="28"/>
          <w:szCs w:val="28"/>
          <w:lang w:val="uk-UA"/>
        </w:rPr>
        <w:t xml:space="preserve"> руху та дискредитацію нової влади. Основним вектором стало формування негативного іміджу протестувальників як радикалів і націоналістів, що діють під зовнішнім управлінням західних держав. У медіа-</w:t>
      </w:r>
      <w:r w:rsidRPr="00C068B0">
        <w:rPr>
          <w:rFonts w:ascii="Times New Roman" w:eastAsia="Calibri" w:hAnsi="Times New Roman" w:cs="Times New Roman"/>
          <w:sz w:val="28"/>
          <w:szCs w:val="28"/>
          <w:lang w:val="uk-UA"/>
        </w:rPr>
        <w:lastRenderedPageBreak/>
        <w:t xml:space="preserve">дискурсі домінували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про «державний переворот», «втручання Заходу» та «загрозу для російськомовного населення», що створювало сприятливе підґрунтя для майбутніх військово-політичних кроків РФ, зокрема анексії Криму, виправдовуючи їх у контексті «захисту своїх».</w:t>
      </w:r>
    </w:p>
    <w:p w14:paraId="2F463BEE"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Другий етап ознаменувався різким зростанням інтенсивності інформаційного тиску. Паралельно з військовими діями на території Криму і Донбасу здійснювалися потужні інформаційні операції, метою яких було створення ілюзії «внутрішнього повстання» та приховування участі регулярних російських військ. Широко застосовувалися тактики «інформаційного шуму» – публікація взаємовиключних версій подій, фейкових новин і </w:t>
      </w:r>
      <w:proofErr w:type="spellStart"/>
      <w:r w:rsidRPr="00C068B0">
        <w:rPr>
          <w:rFonts w:ascii="Times New Roman" w:eastAsia="Calibri" w:hAnsi="Times New Roman" w:cs="Times New Roman"/>
          <w:sz w:val="28"/>
          <w:szCs w:val="28"/>
          <w:lang w:val="uk-UA"/>
        </w:rPr>
        <w:t>псевдоаналітики</w:t>
      </w:r>
      <w:proofErr w:type="spellEnd"/>
      <w:r w:rsidRPr="00C068B0">
        <w:rPr>
          <w:rFonts w:ascii="Times New Roman" w:eastAsia="Calibri" w:hAnsi="Times New Roman" w:cs="Times New Roman"/>
          <w:sz w:val="28"/>
          <w:szCs w:val="28"/>
          <w:lang w:val="uk-UA"/>
        </w:rPr>
        <w:t xml:space="preserve">. Формувався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«громадянської війни», що мав на меті позбавити Україну статусу жертви міжнародної агресії та унеможливити ефективну міжнародну реакцію.</w:t>
      </w:r>
    </w:p>
    <w:p w14:paraId="3475F7A6"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Протягом третього  періоду російська інформаційна стратегія набуває </w:t>
      </w:r>
      <w:proofErr w:type="spellStart"/>
      <w:r w:rsidRPr="00C068B0">
        <w:rPr>
          <w:rFonts w:ascii="Times New Roman" w:eastAsia="Calibri" w:hAnsi="Times New Roman" w:cs="Times New Roman"/>
          <w:sz w:val="28"/>
          <w:szCs w:val="28"/>
          <w:lang w:val="uk-UA"/>
        </w:rPr>
        <w:t>інституціоналізованого</w:t>
      </w:r>
      <w:proofErr w:type="spellEnd"/>
      <w:r w:rsidRPr="00C068B0">
        <w:rPr>
          <w:rFonts w:ascii="Times New Roman" w:eastAsia="Calibri" w:hAnsi="Times New Roman" w:cs="Times New Roman"/>
          <w:sz w:val="28"/>
          <w:szCs w:val="28"/>
          <w:lang w:val="uk-UA"/>
        </w:rPr>
        <w:t xml:space="preserve"> характеру. Створюються й активізуються інформаційні канали, орієнтовані на західну аудиторію (наприклад, RT, </w:t>
      </w:r>
      <w:proofErr w:type="spellStart"/>
      <w:r w:rsidRPr="00C068B0">
        <w:rPr>
          <w:rFonts w:ascii="Times New Roman" w:eastAsia="Calibri" w:hAnsi="Times New Roman" w:cs="Times New Roman"/>
          <w:sz w:val="28"/>
          <w:szCs w:val="28"/>
          <w:lang w:val="uk-UA"/>
        </w:rPr>
        <w:t>Sputnik</w:t>
      </w:r>
      <w:proofErr w:type="spellEnd"/>
      <w:r w:rsidRPr="00C068B0">
        <w:rPr>
          <w:rFonts w:ascii="Times New Roman" w:eastAsia="Calibri" w:hAnsi="Times New Roman" w:cs="Times New Roman"/>
          <w:sz w:val="28"/>
          <w:szCs w:val="28"/>
          <w:lang w:val="uk-UA"/>
        </w:rPr>
        <w:t xml:space="preserve">), які транслюють спотворене бачення конфлікту в Україні. Ключовими стали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про «втому Заходу від України», теза про «</w:t>
      </w:r>
      <w:proofErr w:type="spellStart"/>
      <w:r w:rsidRPr="00C068B0">
        <w:rPr>
          <w:rFonts w:ascii="Times New Roman" w:eastAsia="Calibri" w:hAnsi="Times New Roman" w:cs="Times New Roman"/>
          <w:sz w:val="28"/>
          <w:szCs w:val="28"/>
          <w:lang w:val="uk-UA"/>
        </w:rPr>
        <w:t>failed</w:t>
      </w:r>
      <w:proofErr w:type="spellEnd"/>
      <w:r w:rsidRPr="00C068B0">
        <w:rPr>
          <w:rFonts w:ascii="Times New Roman" w:eastAsia="Calibri" w:hAnsi="Times New Roman" w:cs="Times New Roman"/>
          <w:sz w:val="28"/>
          <w:szCs w:val="28"/>
          <w:lang w:val="uk-UA"/>
        </w:rPr>
        <w:t xml:space="preserve"> </w:t>
      </w:r>
      <w:proofErr w:type="spellStart"/>
      <w:r w:rsidRPr="00C068B0">
        <w:rPr>
          <w:rFonts w:ascii="Times New Roman" w:eastAsia="Calibri" w:hAnsi="Times New Roman" w:cs="Times New Roman"/>
          <w:sz w:val="28"/>
          <w:szCs w:val="28"/>
          <w:lang w:val="uk-UA"/>
        </w:rPr>
        <w:t>state</w:t>
      </w:r>
      <w:proofErr w:type="spellEnd"/>
      <w:r w:rsidRPr="00C068B0">
        <w:rPr>
          <w:rFonts w:ascii="Times New Roman" w:eastAsia="Calibri" w:hAnsi="Times New Roman" w:cs="Times New Roman"/>
          <w:sz w:val="28"/>
          <w:szCs w:val="28"/>
          <w:lang w:val="uk-UA"/>
        </w:rPr>
        <w:t>», а також меседжі, спрямовані на підрив легітимності української влади. Зросла частота використання західних мов та медіа-платформ для поширення вигідної Кремлю інтерпретації подій, що свідчить про перехід від внутрішньої пропаганди до глобального інформаційного втручання.</w:t>
      </w:r>
    </w:p>
    <w:p w14:paraId="2CAA6988"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На четвертому етапі відбувається більш глибоке проникнення у внутрішній інформаційний простір України. Російські кампанії концентруються на дискредитації реформ, </w:t>
      </w:r>
      <w:proofErr w:type="spellStart"/>
      <w:r w:rsidRPr="00C068B0">
        <w:rPr>
          <w:rFonts w:ascii="Times New Roman" w:eastAsia="Calibri" w:hAnsi="Times New Roman" w:cs="Times New Roman"/>
          <w:sz w:val="28"/>
          <w:szCs w:val="28"/>
          <w:lang w:val="uk-UA"/>
        </w:rPr>
        <w:t>делегітимації</w:t>
      </w:r>
      <w:proofErr w:type="spellEnd"/>
      <w:r w:rsidRPr="00C068B0">
        <w:rPr>
          <w:rFonts w:ascii="Times New Roman" w:eastAsia="Calibri" w:hAnsi="Times New Roman" w:cs="Times New Roman"/>
          <w:sz w:val="28"/>
          <w:szCs w:val="28"/>
          <w:lang w:val="uk-UA"/>
        </w:rPr>
        <w:t xml:space="preserve"> української армії, волонтерів та громадянського суспільства. В інформаційний обіг вводяться тези про «зраду Заходу», «неефективність влади» та «соціальну деградацію», які сприяють поширенню зневіри в державних інституціях. Посилюється акцент на емоційне виснаження населення, розпалюється поляризація, що має за мету демобілізацію суспільства та його сприйнятливість до зовнішнього впливу.</w:t>
      </w:r>
    </w:p>
    <w:p w14:paraId="209F522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lastRenderedPageBreak/>
        <w:t xml:space="preserve">З початком повномасштабної агресії РФ у 2022 р., інформаційна війна переходить на новий рівень. Операції набувають глобального масштабу, з широким використанням соціальних мереж, бот-мереж, </w:t>
      </w:r>
      <w:proofErr w:type="spellStart"/>
      <w:r w:rsidRPr="00C068B0">
        <w:rPr>
          <w:rFonts w:ascii="Times New Roman" w:eastAsia="Calibri" w:hAnsi="Times New Roman" w:cs="Times New Roman"/>
          <w:sz w:val="28"/>
          <w:szCs w:val="28"/>
          <w:lang w:val="uk-UA"/>
        </w:rPr>
        <w:t>deep</w:t>
      </w:r>
      <w:proofErr w:type="spellEnd"/>
      <w:r w:rsidRPr="00C068B0">
        <w:rPr>
          <w:rFonts w:ascii="Times New Roman" w:eastAsia="Calibri" w:hAnsi="Times New Roman" w:cs="Times New Roman"/>
          <w:sz w:val="28"/>
          <w:szCs w:val="28"/>
          <w:lang w:val="uk-UA"/>
        </w:rPr>
        <w:t xml:space="preserve"> </w:t>
      </w:r>
      <w:proofErr w:type="spellStart"/>
      <w:r w:rsidRPr="00C068B0">
        <w:rPr>
          <w:rFonts w:ascii="Times New Roman" w:eastAsia="Calibri" w:hAnsi="Times New Roman" w:cs="Times New Roman"/>
          <w:sz w:val="28"/>
          <w:szCs w:val="28"/>
          <w:lang w:val="uk-UA"/>
        </w:rPr>
        <w:t>fake</w:t>
      </w:r>
      <w:proofErr w:type="spellEnd"/>
      <w:r w:rsidRPr="00C068B0">
        <w:rPr>
          <w:rFonts w:ascii="Times New Roman" w:eastAsia="Calibri" w:hAnsi="Times New Roman" w:cs="Times New Roman"/>
          <w:sz w:val="28"/>
          <w:szCs w:val="28"/>
          <w:lang w:val="uk-UA"/>
        </w:rPr>
        <w:t xml:space="preserve"> технологій та маніпулятивного </w:t>
      </w:r>
      <w:proofErr w:type="spellStart"/>
      <w:r w:rsidRPr="00C068B0">
        <w:rPr>
          <w:rFonts w:ascii="Times New Roman" w:eastAsia="Calibri" w:hAnsi="Times New Roman" w:cs="Times New Roman"/>
          <w:sz w:val="28"/>
          <w:szCs w:val="28"/>
          <w:lang w:val="uk-UA"/>
        </w:rPr>
        <w:t>відеоконтенту</w:t>
      </w:r>
      <w:proofErr w:type="spellEnd"/>
      <w:r w:rsidRPr="00C068B0">
        <w:rPr>
          <w:rFonts w:ascii="Times New Roman" w:eastAsia="Calibri" w:hAnsi="Times New Roman" w:cs="Times New Roman"/>
          <w:sz w:val="28"/>
          <w:szCs w:val="28"/>
          <w:lang w:val="uk-UA"/>
        </w:rPr>
        <w:t xml:space="preserve">. Основними цілями є не лише легітимація збройного вторгнення в очах внутрішньої аудиторії, але й підрив міжнародної солідарності на підтримку України. Поширюються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про «Росію як захисника», «спецоперацію проти нацизму» та «несправедливість санкцій». Усе це супроводжується технологічно складними інформаційними атаками, спрямованими на держави-члени НАТО, ЄС і глобальну аудиторію. Інформаційна агресія стає фронтом глобального геополітичного протистояння.</w:t>
      </w:r>
    </w:p>
    <w:p w14:paraId="1B1FBAE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У 2022–2025 рр. російська інформаційна війна дедалі більше інтегрується з </w:t>
      </w:r>
      <w:proofErr w:type="spellStart"/>
      <w:r w:rsidRPr="00C068B0">
        <w:rPr>
          <w:rFonts w:ascii="Times New Roman" w:eastAsia="Calibri" w:hAnsi="Times New Roman" w:cs="Times New Roman"/>
          <w:sz w:val="28"/>
          <w:szCs w:val="28"/>
          <w:lang w:val="uk-UA"/>
        </w:rPr>
        <w:t>кіберопераціями</w:t>
      </w:r>
      <w:proofErr w:type="spellEnd"/>
      <w:r w:rsidRPr="00C068B0">
        <w:rPr>
          <w:rFonts w:ascii="Times New Roman" w:eastAsia="Calibri" w:hAnsi="Times New Roman" w:cs="Times New Roman"/>
          <w:sz w:val="28"/>
          <w:szCs w:val="28"/>
          <w:lang w:val="uk-UA"/>
        </w:rPr>
        <w:t xml:space="preserve"> та технологіями штучного впливу. Використання бот-мереж, координованих кампаній у соціальних мережах, маніпуляцій із </w:t>
      </w:r>
      <w:proofErr w:type="spellStart"/>
      <w:r w:rsidRPr="00C068B0">
        <w:rPr>
          <w:rFonts w:ascii="Times New Roman" w:eastAsia="Calibri" w:hAnsi="Times New Roman" w:cs="Times New Roman"/>
          <w:sz w:val="28"/>
          <w:szCs w:val="28"/>
          <w:lang w:val="uk-UA"/>
        </w:rPr>
        <w:t>відеоконтентом</w:t>
      </w:r>
      <w:proofErr w:type="spellEnd"/>
      <w:r w:rsidRPr="00C068B0">
        <w:rPr>
          <w:rFonts w:ascii="Times New Roman" w:eastAsia="Calibri" w:hAnsi="Times New Roman" w:cs="Times New Roman"/>
          <w:sz w:val="28"/>
          <w:szCs w:val="28"/>
          <w:lang w:val="uk-UA"/>
        </w:rPr>
        <w:t xml:space="preserve"> і візуальними матеріалами посилює ефективність інформаційного тиску. Водночас зростає роль дезінформації, спрямованої на міжнародну аудиторію, з метою підриву </w:t>
      </w:r>
      <w:proofErr w:type="spellStart"/>
      <w:r w:rsidRPr="00C068B0">
        <w:rPr>
          <w:rFonts w:ascii="Times New Roman" w:eastAsia="Calibri" w:hAnsi="Times New Roman" w:cs="Times New Roman"/>
          <w:sz w:val="28"/>
          <w:szCs w:val="28"/>
          <w:lang w:val="uk-UA"/>
        </w:rPr>
        <w:t>санкційної</w:t>
      </w:r>
      <w:proofErr w:type="spellEnd"/>
      <w:r w:rsidRPr="00C068B0">
        <w:rPr>
          <w:rFonts w:ascii="Times New Roman" w:eastAsia="Calibri" w:hAnsi="Times New Roman" w:cs="Times New Roman"/>
          <w:sz w:val="28"/>
          <w:szCs w:val="28"/>
          <w:lang w:val="uk-UA"/>
        </w:rPr>
        <w:t xml:space="preserve"> політики, послаблення єдності демократичних союзів і формування альтернативної картини війни (</w:t>
      </w:r>
      <w:proofErr w:type="spellStart"/>
      <w:r w:rsidRPr="00C068B0">
        <w:rPr>
          <w:rFonts w:ascii="Times New Roman" w:eastAsia="Calibri" w:hAnsi="Times New Roman" w:cs="Times New Roman"/>
          <w:sz w:val="28"/>
          <w:szCs w:val="28"/>
          <w:lang w:val="uk-UA"/>
        </w:rPr>
        <w:t>Пересипкіна</w:t>
      </w:r>
      <w:proofErr w:type="spellEnd"/>
      <w:r w:rsidRPr="00C068B0">
        <w:rPr>
          <w:rFonts w:ascii="Times New Roman" w:eastAsia="Calibri" w:hAnsi="Times New Roman" w:cs="Times New Roman"/>
          <w:sz w:val="28"/>
          <w:szCs w:val="28"/>
          <w:lang w:val="uk-UA"/>
        </w:rPr>
        <w:t>, 2025).</w:t>
      </w:r>
    </w:p>
    <w:p w14:paraId="2B50DDE5"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Характерною рисою еволюції російської інформаційної війни є її адаптивність.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та інструменти постійно змінюються відповідно до воєнної, політичної та соціальної динаміки. У разі втрати ефективності окремих меседжів вони замінюються новими, які апелюють до актуальних страхів, криз і суперечностей. Така гнучкість дозволяє підтримувати тривалий інформаційний тиск навіть за умов зниження довіри до російських джерел (Павлюк, 2022).</w:t>
      </w:r>
    </w:p>
    <w:p w14:paraId="585D6EB6"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Водночас еволюція інформаційної війни Росії проти України засвідчує і зростання стійкості українського суспільства. Починаючи з 2014 р., Україна поступово вибудувала власну систему інформаційного спротиву, що поєднує державні, громадські та медійні зусилля, що суттєво ускладнило реалізацію російських інформаційних стратегій і зменшило їхній внутрішній вплив, хоча не усунуло загрозу повністю.</w:t>
      </w:r>
    </w:p>
    <w:p w14:paraId="136D11C3"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lastRenderedPageBreak/>
        <w:t>Таким чином, еволюція інформаційної війни Росії проти України у 2014–2025 рр. відображає трансформацію інформаційного впливу з інструменту допоміжної підтримки військових дій у самостійний фронт протистояння. Ця війна стала довготривалим, багаторівневим і глобальним процесом, спрямованим на підрив української державності, ідентичності та міжнародної суб’єктності. Її аналіз є принципово важливим для розуміння сучасних гібридних конфліктів і формування ефективних стратегій інформаційної безпеки в майбутньому.</w:t>
      </w:r>
    </w:p>
    <w:p w14:paraId="5A4F30EB"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2B14815D" w14:textId="77777777" w:rsidR="00C068B0" w:rsidRPr="00C068B0" w:rsidRDefault="00C068B0" w:rsidP="00C068B0">
      <w:pPr>
        <w:spacing w:after="0" w:line="360" w:lineRule="auto"/>
        <w:ind w:left="567" w:firstLine="567"/>
        <w:jc w:val="both"/>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t xml:space="preserve">4.2. Провідні російські інформаційні </w:t>
      </w:r>
      <w:proofErr w:type="spellStart"/>
      <w:r w:rsidRPr="00C068B0">
        <w:rPr>
          <w:rFonts w:ascii="Times New Roman" w:eastAsia="Calibri" w:hAnsi="Times New Roman" w:cs="Times New Roman"/>
          <w:b/>
          <w:bCs/>
          <w:sz w:val="28"/>
          <w:szCs w:val="28"/>
          <w:lang w:val="uk-UA"/>
        </w:rPr>
        <w:t>наративи</w:t>
      </w:r>
      <w:proofErr w:type="spellEnd"/>
    </w:p>
    <w:p w14:paraId="4CB38608" w14:textId="77777777" w:rsidR="00C068B0" w:rsidRPr="00C068B0" w:rsidRDefault="00C068B0" w:rsidP="00C068B0">
      <w:pPr>
        <w:spacing w:after="0" w:line="360" w:lineRule="auto"/>
        <w:ind w:firstLine="567"/>
        <w:jc w:val="both"/>
        <w:rPr>
          <w:rFonts w:ascii="Times New Roman" w:eastAsia="Calibri" w:hAnsi="Times New Roman" w:cs="Times New Roman"/>
          <w:b/>
          <w:bCs/>
          <w:sz w:val="28"/>
          <w:szCs w:val="28"/>
          <w:lang w:val="uk-UA"/>
        </w:rPr>
      </w:pPr>
    </w:p>
    <w:p w14:paraId="1E29B20E"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Провідні російські інформаційні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у війні проти України становлять концептуальне ядро інформаційної агресії та виконують функцію смислового каркаса, через який вибудовується інтерпретація подій для різних цільових аудиторій.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у цьому контексті слід розуміти не як окреме повідомлення чи пропагандистський меседж, а як стійку систему уявлень, символів і пояснювальних схем, що надають подіям видимість логічної цілісності та нормативної виправданості. Саме через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російська інформаційна війна трансформує реальність у когнітивному просторі, формуючи альтернативну картину війни, політики та міжнародних відносин.</w:t>
      </w:r>
    </w:p>
    <w:p w14:paraId="40A0921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Одним із базових і найбільш тривалих російських інформаційних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є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про «штучність української державності» (Агентство відновлення, 2022). У його межах Україна репрезентується як історично неспроможне, випадкове або «помилкове» державне утворення, позбавлене власної суб’єктності та політичної традиції. Цей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має глибоке ідеологічне коріння та використовується для заперечення права України на суверенітет, самостійний зовнішньополітичний вибір і власну ідентичність. У політико-поведінковому вимірі він спрямований на </w:t>
      </w:r>
      <w:proofErr w:type="spellStart"/>
      <w:r w:rsidRPr="00C068B0">
        <w:rPr>
          <w:rFonts w:ascii="Times New Roman" w:eastAsia="Calibri" w:hAnsi="Times New Roman" w:cs="Times New Roman"/>
          <w:sz w:val="28"/>
          <w:szCs w:val="28"/>
          <w:lang w:val="uk-UA"/>
        </w:rPr>
        <w:t>делегітимацію</w:t>
      </w:r>
      <w:proofErr w:type="spellEnd"/>
      <w:r w:rsidRPr="00C068B0">
        <w:rPr>
          <w:rFonts w:ascii="Times New Roman" w:eastAsia="Calibri" w:hAnsi="Times New Roman" w:cs="Times New Roman"/>
          <w:sz w:val="28"/>
          <w:szCs w:val="28"/>
          <w:lang w:val="uk-UA"/>
        </w:rPr>
        <w:t xml:space="preserve"> української держави як такої та створення передумов для виправдання втручання у її внутрішні справи.</w:t>
      </w:r>
    </w:p>
    <w:p w14:paraId="6B103485"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Тісно пов’язаним із попереднім є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про «єдиний народ» і «спільний історичний простір» (</w:t>
      </w:r>
      <w:proofErr w:type="spellStart"/>
      <w:r w:rsidRPr="00C068B0">
        <w:rPr>
          <w:rFonts w:ascii="Times New Roman" w:eastAsia="Calibri" w:hAnsi="Times New Roman" w:cs="Times New Roman"/>
          <w:sz w:val="28"/>
          <w:szCs w:val="28"/>
          <w:lang w:val="uk-UA"/>
        </w:rPr>
        <w:t>Мішалова</w:t>
      </w:r>
      <w:proofErr w:type="spellEnd"/>
      <w:r w:rsidRPr="00C068B0">
        <w:rPr>
          <w:rFonts w:ascii="Times New Roman" w:eastAsia="Calibri" w:hAnsi="Times New Roman" w:cs="Times New Roman"/>
          <w:sz w:val="28"/>
          <w:szCs w:val="28"/>
          <w:lang w:val="uk-UA"/>
        </w:rPr>
        <w:t xml:space="preserve">, 2021). У межах цього </w:t>
      </w:r>
      <w:proofErr w:type="spellStart"/>
      <w:r w:rsidRPr="00C068B0">
        <w:rPr>
          <w:rFonts w:ascii="Times New Roman" w:eastAsia="Calibri" w:hAnsi="Times New Roman" w:cs="Times New Roman"/>
          <w:sz w:val="28"/>
          <w:szCs w:val="28"/>
          <w:lang w:val="uk-UA"/>
        </w:rPr>
        <w:t>наративу</w:t>
      </w:r>
      <w:proofErr w:type="spellEnd"/>
      <w:r w:rsidRPr="00C068B0">
        <w:rPr>
          <w:rFonts w:ascii="Times New Roman" w:eastAsia="Calibri" w:hAnsi="Times New Roman" w:cs="Times New Roman"/>
          <w:sz w:val="28"/>
          <w:szCs w:val="28"/>
          <w:lang w:val="uk-UA"/>
        </w:rPr>
        <w:t xml:space="preserve"> українці та </w:t>
      </w:r>
      <w:r w:rsidRPr="00C068B0">
        <w:rPr>
          <w:rFonts w:ascii="Times New Roman" w:eastAsia="Calibri" w:hAnsi="Times New Roman" w:cs="Times New Roman"/>
          <w:sz w:val="28"/>
          <w:szCs w:val="28"/>
          <w:lang w:val="uk-UA"/>
        </w:rPr>
        <w:lastRenderedPageBreak/>
        <w:t>росіяни подаються як частини одного «цивілізаційного цілого», а будь-які прояви української національної ідентичності інтерпретуються як штучні, нав’язані ззовні або ворожі за своєю природою. Такий підхід виконує подвійну функцію: з одного боку, він знецінює українську ідентичність, а з іншого — легітимує насильство як форму «відновлення історичної справедливості».</w:t>
      </w:r>
    </w:p>
    <w:p w14:paraId="67BBC1C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Центральне місце в російській інформаційній війні посідає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про «зовнішнє управління» Україною (SPRAVDI, 2025). Згідно з ним, українська держава зображується як маріонетка Заходу, позбавлена реального суверенітету та здатності ухвалювати самостійні політичні рішення. Цей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активно використовується для дискредитації української влади, знецінення демократичних процесів і підриву довіри громадян до євроінтеграційного курсу. У міжнародному вимірі він покликаний представити війну не як агресію проти України, а як частину ширшого геополітичного протистояння з Заходом.</w:t>
      </w:r>
    </w:p>
    <w:p w14:paraId="290706D4"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0D9DCAA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Особливо небезпечним за своїми наслідками є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про «нацизм» і «радикальний націоналізм» в Україні. Він активно експлуатує історичну пам’ять про Другу світову війну та має потужний емоційний потенціал. У межах цього </w:t>
      </w:r>
      <w:proofErr w:type="spellStart"/>
      <w:r w:rsidRPr="00C068B0">
        <w:rPr>
          <w:rFonts w:ascii="Times New Roman" w:eastAsia="Calibri" w:hAnsi="Times New Roman" w:cs="Times New Roman"/>
          <w:sz w:val="28"/>
          <w:szCs w:val="28"/>
          <w:lang w:val="uk-UA"/>
        </w:rPr>
        <w:t>наративу</w:t>
      </w:r>
      <w:proofErr w:type="spellEnd"/>
      <w:r w:rsidRPr="00C068B0">
        <w:rPr>
          <w:rFonts w:ascii="Times New Roman" w:eastAsia="Calibri" w:hAnsi="Times New Roman" w:cs="Times New Roman"/>
          <w:sz w:val="28"/>
          <w:szCs w:val="28"/>
          <w:lang w:val="uk-UA"/>
        </w:rPr>
        <w:t xml:space="preserve"> українське суспільство і держава зображуються як такі, що перебувають під контролем екстремістських сил, а війна подається як «визвольна» або «захисна» операція. Така риторика спрямована не лише на внутрішню російську аудиторію, але й на зовнішні суспільства, де історична чутливість до теми нацизму може знижувати критичність сприйняття російських тез.</w:t>
      </w:r>
    </w:p>
    <w:p w14:paraId="797562FA"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Важливим елементом російської інформаційної стратегії є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про «громадянську війну» в Україні (День, 2020). Його мета полягає в запереченні факту міждержавної агресії та перекладанні відповідальності за війну на внутрішні українські конфлікти. У такий спосіб Росія намагається уникнути міжнародно-правової відповідальності, зменшити рівень зовнішнього тиску та підірвати міжнародну солідарність з Україною. Цей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активно підтримується через </w:t>
      </w:r>
      <w:proofErr w:type="spellStart"/>
      <w:r w:rsidRPr="00C068B0">
        <w:rPr>
          <w:rFonts w:ascii="Times New Roman" w:eastAsia="Calibri" w:hAnsi="Times New Roman" w:cs="Times New Roman"/>
          <w:sz w:val="28"/>
          <w:szCs w:val="28"/>
          <w:lang w:val="uk-UA"/>
        </w:rPr>
        <w:t>псевдоекспертні</w:t>
      </w:r>
      <w:proofErr w:type="spellEnd"/>
      <w:r w:rsidRPr="00C068B0">
        <w:rPr>
          <w:rFonts w:ascii="Times New Roman" w:eastAsia="Calibri" w:hAnsi="Times New Roman" w:cs="Times New Roman"/>
          <w:sz w:val="28"/>
          <w:szCs w:val="28"/>
          <w:lang w:val="uk-UA"/>
        </w:rPr>
        <w:t xml:space="preserve"> коментарі, маніпулятивні соціологічні дані та вибіркове висвітлення подій.</w:t>
      </w:r>
    </w:p>
    <w:p w14:paraId="276314F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lastRenderedPageBreak/>
        <w:t xml:space="preserve">Окрему групу становлять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спрямовані на деморалізацію українського суспільства. До них належать твердження про «неминучу поразку», «втому Заходу», «зраду союзників» та «марність опору». Вони мають чітко виражену психологічну спрямованість і використовуються для підриву віри в здатність України до довготривалого спротиву. У політико-поведінковому вимірі такі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покликані знизити рівень громадянської мобілізації та послабити підтримку державної політики.</w:t>
      </w:r>
    </w:p>
    <w:p w14:paraId="1F293E0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На міжнародну аудиторію орієнтовані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про «подвійні стандарти Заходу», «кризу ліберальної демократії» та «використання України як інструменту геополітики». Вони апелюють до </w:t>
      </w:r>
      <w:proofErr w:type="spellStart"/>
      <w:r w:rsidRPr="00C068B0">
        <w:rPr>
          <w:rFonts w:ascii="Times New Roman" w:eastAsia="Calibri" w:hAnsi="Times New Roman" w:cs="Times New Roman"/>
          <w:sz w:val="28"/>
          <w:szCs w:val="28"/>
          <w:lang w:val="uk-UA"/>
        </w:rPr>
        <w:t>антизахідних</w:t>
      </w:r>
      <w:proofErr w:type="spellEnd"/>
      <w:r w:rsidRPr="00C068B0">
        <w:rPr>
          <w:rFonts w:ascii="Times New Roman" w:eastAsia="Calibri" w:hAnsi="Times New Roman" w:cs="Times New Roman"/>
          <w:sz w:val="28"/>
          <w:szCs w:val="28"/>
          <w:lang w:val="uk-UA"/>
        </w:rPr>
        <w:t xml:space="preserve"> настроїв, скепсису щодо міжнародних інституцій і глобальної нерівності. Метою таких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є не стільки переконання в правоті Росії, скільки підрив моральної чіткості позиції України та її партнерів, створення ефекту симетричної відповідальності за конфлікт.</w:t>
      </w:r>
    </w:p>
    <w:p w14:paraId="0C3C44CB"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Характерною рисою російських інформаційних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є їхня варіативність і адаптивність. Одні й ті самі смислові конструкції трансформуються залежно від аудиторії, мови комунікації та політичного контексту. Вони можуть подаватися як радикальні ідеологічні твердження або як нібито прагматичні, «раціональні» аргументи, що ускладнює їхнє розпізнавання та нейтралізацію.</w:t>
      </w:r>
    </w:p>
    <w:tbl>
      <w:tblPr>
        <w:tblStyle w:val="12"/>
        <w:tblW w:w="0" w:type="auto"/>
        <w:tblInd w:w="0" w:type="dxa"/>
        <w:tblLook w:val="04A0" w:firstRow="1" w:lastRow="0" w:firstColumn="1" w:lastColumn="0" w:noHBand="0" w:noVBand="1"/>
      </w:tblPr>
      <w:tblGrid>
        <w:gridCol w:w="3209"/>
        <w:gridCol w:w="3210"/>
        <w:gridCol w:w="3210"/>
      </w:tblGrid>
      <w:tr w:rsidR="00C068B0" w:rsidRPr="00C068B0" w14:paraId="1DBE5A05"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7F27DB76" w14:textId="77777777" w:rsidR="00C068B0" w:rsidRPr="00C068B0" w:rsidRDefault="00C068B0" w:rsidP="00C068B0">
            <w:pPr>
              <w:spacing w:line="360" w:lineRule="auto"/>
              <w:jc w:val="both"/>
              <w:rPr>
                <w:rFonts w:ascii="Times New Roman" w:hAnsi="Times New Roman"/>
                <w:sz w:val="28"/>
                <w:szCs w:val="28"/>
              </w:rPr>
            </w:pPr>
            <w:proofErr w:type="spellStart"/>
            <w:r w:rsidRPr="00C068B0">
              <w:rPr>
                <w:rFonts w:ascii="Times New Roman" w:hAnsi="Times New Roman"/>
                <w:b/>
                <w:bCs/>
                <w:sz w:val="28"/>
                <w:szCs w:val="28"/>
              </w:rPr>
              <w:t>Наратив</w:t>
            </w:r>
            <w:proofErr w:type="spellEnd"/>
          </w:p>
        </w:tc>
        <w:tc>
          <w:tcPr>
            <w:tcW w:w="3210" w:type="dxa"/>
            <w:tcBorders>
              <w:top w:val="single" w:sz="4" w:space="0" w:color="auto"/>
              <w:left w:val="single" w:sz="4" w:space="0" w:color="auto"/>
              <w:bottom w:val="single" w:sz="4" w:space="0" w:color="auto"/>
              <w:right w:val="single" w:sz="4" w:space="0" w:color="auto"/>
            </w:tcBorders>
            <w:vAlign w:val="center"/>
            <w:hideMark/>
          </w:tcPr>
          <w:p w14:paraId="371B3527" w14:textId="77777777" w:rsidR="00C068B0" w:rsidRPr="00C068B0" w:rsidRDefault="00C068B0" w:rsidP="00C068B0">
            <w:pPr>
              <w:spacing w:line="360" w:lineRule="auto"/>
              <w:jc w:val="center"/>
              <w:rPr>
                <w:rFonts w:ascii="Times New Roman" w:hAnsi="Times New Roman"/>
                <w:b/>
                <w:bCs/>
              </w:rPr>
            </w:pPr>
            <w:r w:rsidRPr="00C068B0">
              <w:rPr>
                <w:rFonts w:ascii="Times New Roman" w:hAnsi="Times New Roman"/>
                <w:b/>
                <w:bCs/>
                <w:sz w:val="28"/>
                <w:szCs w:val="28"/>
              </w:rPr>
              <w:t>Зміст</w:t>
            </w:r>
          </w:p>
        </w:tc>
        <w:tc>
          <w:tcPr>
            <w:tcW w:w="3210" w:type="dxa"/>
            <w:tcBorders>
              <w:top w:val="single" w:sz="4" w:space="0" w:color="auto"/>
              <w:left w:val="single" w:sz="4" w:space="0" w:color="auto"/>
              <w:bottom w:val="single" w:sz="4" w:space="0" w:color="auto"/>
              <w:right w:val="single" w:sz="4" w:space="0" w:color="auto"/>
            </w:tcBorders>
            <w:vAlign w:val="center"/>
            <w:hideMark/>
          </w:tcPr>
          <w:p w14:paraId="29D2F99A" w14:textId="77777777" w:rsidR="00C068B0" w:rsidRPr="00C068B0" w:rsidRDefault="00C068B0" w:rsidP="00C068B0">
            <w:pPr>
              <w:spacing w:line="360" w:lineRule="auto"/>
              <w:jc w:val="center"/>
              <w:rPr>
                <w:rFonts w:ascii="Times New Roman" w:hAnsi="Times New Roman"/>
                <w:b/>
                <w:bCs/>
              </w:rPr>
            </w:pPr>
            <w:r w:rsidRPr="00C068B0">
              <w:rPr>
                <w:rFonts w:ascii="Times New Roman" w:hAnsi="Times New Roman"/>
                <w:b/>
                <w:bCs/>
                <w:sz w:val="28"/>
                <w:szCs w:val="28"/>
              </w:rPr>
              <w:t>Основна мета</w:t>
            </w:r>
          </w:p>
        </w:tc>
      </w:tr>
      <w:tr w:rsidR="00C068B0" w:rsidRPr="00C068B0" w14:paraId="109F65B3"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2A9039D3"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«Штучність української державності»</w:t>
            </w:r>
          </w:p>
        </w:tc>
        <w:tc>
          <w:tcPr>
            <w:tcW w:w="3210" w:type="dxa"/>
            <w:tcBorders>
              <w:top w:val="single" w:sz="4" w:space="0" w:color="auto"/>
              <w:left w:val="single" w:sz="4" w:space="0" w:color="auto"/>
              <w:bottom w:val="single" w:sz="4" w:space="0" w:color="auto"/>
              <w:right w:val="single" w:sz="4" w:space="0" w:color="auto"/>
            </w:tcBorders>
            <w:vAlign w:val="center"/>
            <w:hideMark/>
          </w:tcPr>
          <w:p w14:paraId="7A071C7B"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Україна подається як історично неспроможна, випадкова держава без політичної суб’єктності.</w:t>
            </w:r>
          </w:p>
        </w:tc>
        <w:tc>
          <w:tcPr>
            <w:tcW w:w="3210" w:type="dxa"/>
            <w:tcBorders>
              <w:top w:val="single" w:sz="4" w:space="0" w:color="auto"/>
              <w:left w:val="single" w:sz="4" w:space="0" w:color="auto"/>
              <w:bottom w:val="single" w:sz="4" w:space="0" w:color="auto"/>
              <w:right w:val="single" w:sz="4" w:space="0" w:color="auto"/>
            </w:tcBorders>
            <w:vAlign w:val="center"/>
            <w:hideMark/>
          </w:tcPr>
          <w:p w14:paraId="7DDC89CC" w14:textId="77777777" w:rsidR="00C068B0" w:rsidRPr="00C068B0" w:rsidRDefault="00C068B0" w:rsidP="00C068B0">
            <w:pPr>
              <w:spacing w:line="360" w:lineRule="auto"/>
              <w:jc w:val="both"/>
              <w:rPr>
                <w:rFonts w:ascii="Times New Roman" w:hAnsi="Times New Roman"/>
                <w:sz w:val="28"/>
                <w:szCs w:val="28"/>
              </w:rPr>
            </w:pPr>
            <w:proofErr w:type="spellStart"/>
            <w:r w:rsidRPr="00C068B0">
              <w:rPr>
                <w:rFonts w:ascii="Times New Roman" w:hAnsi="Times New Roman"/>
                <w:sz w:val="28"/>
                <w:szCs w:val="28"/>
              </w:rPr>
              <w:t>Делегітимація</w:t>
            </w:r>
            <w:proofErr w:type="spellEnd"/>
            <w:r w:rsidRPr="00C068B0">
              <w:rPr>
                <w:rFonts w:ascii="Times New Roman" w:hAnsi="Times New Roman"/>
                <w:sz w:val="28"/>
                <w:szCs w:val="28"/>
              </w:rPr>
              <w:t xml:space="preserve"> української держави, заперечення її суверенітету.</w:t>
            </w:r>
          </w:p>
        </w:tc>
      </w:tr>
      <w:tr w:rsidR="00C068B0" w:rsidRPr="00C068B0" w14:paraId="5C799E22"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4E0D50FA"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«Єдиний народ / спільний історичний простір»</w:t>
            </w:r>
          </w:p>
        </w:tc>
        <w:tc>
          <w:tcPr>
            <w:tcW w:w="3210" w:type="dxa"/>
            <w:tcBorders>
              <w:top w:val="single" w:sz="4" w:space="0" w:color="auto"/>
              <w:left w:val="single" w:sz="4" w:space="0" w:color="auto"/>
              <w:bottom w:val="single" w:sz="4" w:space="0" w:color="auto"/>
              <w:right w:val="single" w:sz="4" w:space="0" w:color="auto"/>
            </w:tcBorders>
            <w:vAlign w:val="center"/>
            <w:hideMark/>
          </w:tcPr>
          <w:p w14:paraId="6FE87590"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Українці та росіяни — частини «єдиної цивілізації», українська ідентичність — штучна.</w:t>
            </w:r>
          </w:p>
        </w:tc>
        <w:tc>
          <w:tcPr>
            <w:tcW w:w="3210" w:type="dxa"/>
            <w:tcBorders>
              <w:top w:val="single" w:sz="4" w:space="0" w:color="auto"/>
              <w:left w:val="single" w:sz="4" w:space="0" w:color="auto"/>
              <w:bottom w:val="single" w:sz="4" w:space="0" w:color="auto"/>
              <w:right w:val="single" w:sz="4" w:space="0" w:color="auto"/>
            </w:tcBorders>
            <w:vAlign w:val="center"/>
            <w:hideMark/>
          </w:tcPr>
          <w:p w14:paraId="43F300FC"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Знецінення української ідентичності, виправдання агресії як «відновлення єдності».</w:t>
            </w:r>
          </w:p>
        </w:tc>
      </w:tr>
      <w:tr w:rsidR="00C068B0" w:rsidRPr="00C068B0" w14:paraId="76190B36"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40B46F58"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lastRenderedPageBreak/>
              <w:t>«Зовнішнє управління» Україною</w:t>
            </w:r>
          </w:p>
        </w:tc>
        <w:tc>
          <w:tcPr>
            <w:tcW w:w="3210" w:type="dxa"/>
            <w:tcBorders>
              <w:top w:val="single" w:sz="4" w:space="0" w:color="auto"/>
              <w:left w:val="single" w:sz="4" w:space="0" w:color="auto"/>
              <w:bottom w:val="single" w:sz="4" w:space="0" w:color="auto"/>
              <w:right w:val="single" w:sz="4" w:space="0" w:color="auto"/>
            </w:tcBorders>
            <w:vAlign w:val="center"/>
            <w:hideMark/>
          </w:tcPr>
          <w:p w14:paraId="65205982"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Україна — маріонетка Заходу, позбавлена суверенітету.</w:t>
            </w:r>
          </w:p>
        </w:tc>
        <w:tc>
          <w:tcPr>
            <w:tcW w:w="3210" w:type="dxa"/>
            <w:tcBorders>
              <w:top w:val="single" w:sz="4" w:space="0" w:color="auto"/>
              <w:left w:val="single" w:sz="4" w:space="0" w:color="auto"/>
              <w:bottom w:val="single" w:sz="4" w:space="0" w:color="auto"/>
              <w:right w:val="single" w:sz="4" w:space="0" w:color="auto"/>
            </w:tcBorders>
            <w:vAlign w:val="center"/>
            <w:hideMark/>
          </w:tcPr>
          <w:p w14:paraId="2516C890"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Підрив довіри до влади та євроінтеграційного курсу, знецінення демократичних процесів.</w:t>
            </w:r>
          </w:p>
        </w:tc>
      </w:tr>
      <w:tr w:rsidR="00C068B0" w:rsidRPr="00C068B0" w14:paraId="5B5E41D0"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39CFFAB9"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«Нацизм і радикальний націоналізм в Україні»</w:t>
            </w:r>
          </w:p>
        </w:tc>
        <w:tc>
          <w:tcPr>
            <w:tcW w:w="3210" w:type="dxa"/>
            <w:tcBorders>
              <w:top w:val="single" w:sz="4" w:space="0" w:color="auto"/>
              <w:left w:val="single" w:sz="4" w:space="0" w:color="auto"/>
              <w:bottom w:val="single" w:sz="4" w:space="0" w:color="auto"/>
              <w:right w:val="single" w:sz="4" w:space="0" w:color="auto"/>
            </w:tcBorders>
            <w:vAlign w:val="center"/>
            <w:hideMark/>
          </w:tcPr>
          <w:p w14:paraId="7AD25874"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Україна — під контролем екстремістів; війна — «антифашистська операція».</w:t>
            </w:r>
          </w:p>
        </w:tc>
        <w:tc>
          <w:tcPr>
            <w:tcW w:w="3210" w:type="dxa"/>
            <w:tcBorders>
              <w:top w:val="single" w:sz="4" w:space="0" w:color="auto"/>
              <w:left w:val="single" w:sz="4" w:space="0" w:color="auto"/>
              <w:bottom w:val="single" w:sz="4" w:space="0" w:color="auto"/>
              <w:right w:val="single" w:sz="4" w:space="0" w:color="auto"/>
            </w:tcBorders>
            <w:vAlign w:val="center"/>
            <w:hideMark/>
          </w:tcPr>
          <w:p w14:paraId="729864C1"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Мобілізація внутрішньої аудиторії, створення «морального» виправдання агресії.</w:t>
            </w:r>
          </w:p>
        </w:tc>
      </w:tr>
      <w:tr w:rsidR="00C068B0" w:rsidRPr="00C068B0" w14:paraId="76A48B68"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4A0FB296"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«Громадянська війна»</w:t>
            </w:r>
          </w:p>
        </w:tc>
        <w:tc>
          <w:tcPr>
            <w:tcW w:w="3210" w:type="dxa"/>
            <w:tcBorders>
              <w:top w:val="single" w:sz="4" w:space="0" w:color="auto"/>
              <w:left w:val="single" w:sz="4" w:space="0" w:color="auto"/>
              <w:bottom w:val="single" w:sz="4" w:space="0" w:color="auto"/>
              <w:right w:val="single" w:sz="4" w:space="0" w:color="auto"/>
            </w:tcBorders>
            <w:vAlign w:val="center"/>
            <w:hideMark/>
          </w:tcPr>
          <w:p w14:paraId="5742FF28"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Конфлікт подається як внутрішній, а не міждержавний.</w:t>
            </w:r>
          </w:p>
        </w:tc>
        <w:tc>
          <w:tcPr>
            <w:tcW w:w="3210" w:type="dxa"/>
            <w:tcBorders>
              <w:top w:val="single" w:sz="4" w:space="0" w:color="auto"/>
              <w:left w:val="single" w:sz="4" w:space="0" w:color="auto"/>
              <w:bottom w:val="single" w:sz="4" w:space="0" w:color="auto"/>
              <w:right w:val="single" w:sz="4" w:space="0" w:color="auto"/>
            </w:tcBorders>
            <w:vAlign w:val="center"/>
            <w:hideMark/>
          </w:tcPr>
          <w:p w14:paraId="40437321"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Заперечення російської агресії, уникнення міжнародної відповідальності.</w:t>
            </w:r>
          </w:p>
        </w:tc>
      </w:tr>
      <w:tr w:rsidR="00C068B0" w:rsidRPr="00C068B0" w14:paraId="36569A23"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21850D7E"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«Неминуча поразка України / втома Заходу»</w:t>
            </w:r>
          </w:p>
        </w:tc>
        <w:tc>
          <w:tcPr>
            <w:tcW w:w="3210" w:type="dxa"/>
            <w:tcBorders>
              <w:top w:val="single" w:sz="4" w:space="0" w:color="auto"/>
              <w:left w:val="single" w:sz="4" w:space="0" w:color="auto"/>
              <w:bottom w:val="single" w:sz="4" w:space="0" w:color="auto"/>
              <w:right w:val="single" w:sz="4" w:space="0" w:color="auto"/>
            </w:tcBorders>
            <w:vAlign w:val="center"/>
            <w:hideMark/>
          </w:tcPr>
          <w:p w14:paraId="0863663B"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Поширення песимізму, зневіри, апатії серед українців.</w:t>
            </w:r>
          </w:p>
        </w:tc>
        <w:tc>
          <w:tcPr>
            <w:tcW w:w="3210" w:type="dxa"/>
            <w:tcBorders>
              <w:top w:val="single" w:sz="4" w:space="0" w:color="auto"/>
              <w:left w:val="single" w:sz="4" w:space="0" w:color="auto"/>
              <w:bottom w:val="single" w:sz="4" w:space="0" w:color="auto"/>
              <w:right w:val="single" w:sz="4" w:space="0" w:color="auto"/>
            </w:tcBorders>
            <w:vAlign w:val="center"/>
            <w:hideMark/>
          </w:tcPr>
          <w:p w14:paraId="68559589"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Деморалізація населення, зниження мобілізації та підтримки держави.</w:t>
            </w:r>
          </w:p>
        </w:tc>
      </w:tr>
      <w:tr w:rsidR="00C068B0" w:rsidRPr="00C068B0" w14:paraId="2E49DDEC" w14:textId="77777777">
        <w:tc>
          <w:tcPr>
            <w:tcW w:w="3209" w:type="dxa"/>
            <w:tcBorders>
              <w:top w:val="single" w:sz="4" w:space="0" w:color="auto"/>
              <w:left w:val="single" w:sz="4" w:space="0" w:color="auto"/>
              <w:bottom w:val="single" w:sz="4" w:space="0" w:color="auto"/>
              <w:right w:val="single" w:sz="4" w:space="0" w:color="auto"/>
            </w:tcBorders>
            <w:vAlign w:val="center"/>
            <w:hideMark/>
          </w:tcPr>
          <w:p w14:paraId="336403BD"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b/>
                <w:bCs/>
                <w:sz w:val="28"/>
                <w:szCs w:val="28"/>
              </w:rPr>
              <w:t>«Подвійні стандарти Заходу / криза демократії»</w:t>
            </w:r>
          </w:p>
        </w:tc>
        <w:tc>
          <w:tcPr>
            <w:tcW w:w="3210" w:type="dxa"/>
            <w:tcBorders>
              <w:top w:val="single" w:sz="4" w:space="0" w:color="auto"/>
              <w:left w:val="single" w:sz="4" w:space="0" w:color="auto"/>
              <w:bottom w:val="single" w:sz="4" w:space="0" w:color="auto"/>
              <w:right w:val="single" w:sz="4" w:space="0" w:color="auto"/>
            </w:tcBorders>
            <w:vAlign w:val="center"/>
            <w:hideMark/>
          </w:tcPr>
          <w:p w14:paraId="1EF02707"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Захід — лицемірний, використовує Україну у власних інтересах.</w:t>
            </w:r>
          </w:p>
        </w:tc>
        <w:tc>
          <w:tcPr>
            <w:tcW w:w="3210" w:type="dxa"/>
            <w:tcBorders>
              <w:top w:val="single" w:sz="4" w:space="0" w:color="auto"/>
              <w:left w:val="single" w:sz="4" w:space="0" w:color="auto"/>
              <w:bottom w:val="single" w:sz="4" w:space="0" w:color="auto"/>
              <w:right w:val="single" w:sz="4" w:space="0" w:color="auto"/>
            </w:tcBorders>
            <w:vAlign w:val="center"/>
            <w:hideMark/>
          </w:tcPr>
          <w:p w14:paraId="7E160850" w14:textId="77777777" w:rsidR="00C068B0" w:rsidRPr="00C068B0" w:rsidRDefault="00C068B0" w:rsidP="00C068B0">
            <w:pPr>
              <w:spacing w:line="360" w:lineRule="auto"/>
              <w:jc w:val="both"/>
              <w:rPr>
                <w:rFonts w:ascii="Times New Roman" w:hAnsi="Times New Roman"/>
                <w:sz w:val="28"/>
                <w:szCs w:val="28"/>
              </w:rPr>
            </w:pPr>
            <w:r w:rsidRPr="00C068B0">
              <w:rPr>
                <w:rFonts w:ascii="Times New Roman" w:hAnsi="Times New Roman"/>
                <w:sz w:val="28"/>
                <w:szCs w:val="28"/>
              </w:rPr>
              <w:t>Підрив морального авторитету західних союзників України, послаблення підтримки.</w:t>
            </w:r>
          </w:p>
        </w:tc>
      </w:tr>
    </w:tbl>
    <w:p w14:paraId="62D3801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66E719D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Представлена таблиця демонструє системність і багаторівневість російських інформаційних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у війні проти України, що вказує на високий рівень стратегічного планування інформаційної агресії. Кожен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виконує специфічну функцію в межах загальної мети:  підриву української державності, національної ідентичності, суспільної згуртованості та міжнародної підтримки. Спільною рисою більшості з них є зміщення фокусу з Росії як агресора на внутрішні або зовнішні обставини, що нібито виправдовують агресивні дії.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спрямовані як на внутрішню аудиторію Росії (легітимація війни), так і </w:t>
      </w:r>
      <w:r w:rsidRPr="00C068B0">
        <w:rPr>
          <w:rFonts w:ascii="Times New Roman" w:eastAsia="Calibri" w:hAnsi="Times New Roman" w:cs="Times New Roman"/>
          <w:sz w:val="28"/>
          <w:szCs w:val="28"/>
          <w:lang w:val="uk-UA"/>
        </w:rPr>
        <w:lastRenderedPageBreak/>
        <w:t xml:space="preserve">на зовнішню (створення образу «складного конфлікту», у якому відповідальність розподіляється симетрично). Їх адаптивність, здатність змінюватися відповідно до політичного та соціального контексту, ускладнює виявлення та послаблює традиційні методи протидії. У цьому контексті важливою стає розробка цілісної державної та суспільної стратегії протидії дезінформації, що ґрунтується на </w:t>
      </w:r>
      <w:proofErr w:type="spellStart"/>
      <w:r w:rsidRPr="00C068B0">
        <w:rPr>
          <w:rFonts w:ascii="Times New Roman" w:eastAsia="Calibri" w:hAnsi="Times New Roman" w:cs="Times New Roman"/>
          <w:sz w:val="28"/>
          <w:szCs w:val="28"/>
          <w:lang w:val="uk-UA"/>
        </w:rPr>
        <w:t>медіаграмотності</w:t>
      </w:r>
      <w:proofErr w:type="spellEnd"/>
      <w:r w:rsidRPr="00C068B0">
        <w:rPr>
          <w:rFonts w:ascii="Times New Roman" w:eastAsia="Calibri" w:hAnsi="Times New Roman" w:cs="Times New Roman"/>
          <w:sz w:val="28"/>
          <w:szCs w:val="28"/>
          <w:lang w:val="uk-UA"/>
        </w:rPr>
        <w:t>, критичному мисленні та активному міжнародному співробітництві.</w:t>
      </w:r>
    </w:p>
    <w:p w14:paraId="4AD78BF3"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Таким чином,  російські інформаційні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у війні проти України виконують </w:t>
      </w:r>
      <w:proofErr w:type="spellStart"/>
      <w:r w:rsidRPr="00C068B0">
        <w:rPr>
          <w:rFonts w:ascii="Times New Roman" w:eastAsia="Calibri" w:hAnsi="Times New Roman" w:cs="Times New Roman"/>
          <w:sz w:val="28"/>
          <w:szCs w:val="28"/>
          <w:lang w:val="uk-UA"/>
        </w:rPr>
        <w:t>системоутворюючу</w:t>
      </w:r>
      <w:proofErr w:type="spellEnd"/>
      <w:r w:rsidRPr="00C068B0">
        <w:rPr>
          <w:rFonts w:ascii="Times New Roman" w:eastAsia="Calibri" w:hAnsi="Times New Roman" w:cs="Times New Roman"/>
          <w:sz w:val="28"/>
          <w:szCs w:val="28"/>
          <w:lang w:val="uk-UA"/>
        </w:rPr>
        <w:t xml:space="preserve"> функцію в структурі інформаційної агресії. Вони спрямовані на </w:t>
      </w:r>
      <w:proofErr w:type="spellStart"/>
      <w:r w:rsidRPr="00C068B0">
        <w:rPr>
          <w:rFonts w:ascii="Times New Roman" w:eastAsia="Calibri" w:hAnsi="Times New Roman" w:cs="Times New Roman"/>
          <w:sz w:val="28"/>
          <w:szCs w:val="28"/>
          <w:lang w:val="uk-UA"/>
        </w:rPr>
        <w:t>делегітимацію</w:t>
      </w:r>
      <w:proofErr w:type="spellEnd"/>
      <w:r w:rsidRPr="00C068B0">
        <w:rPr>
          <w:rFonts w:ascii="Times New Roman" w:eastAsia="Calibri" w:hAnsi="Times New Roman" w:cs="Times New Roman"/>
          <w:sz w:val="28"/>
          <w:szCs w:val="28"/>
          <w:lang w:val="uk-UA"/>
        </w:rPr>
        <w:t xml:space="preserve"> української державності, підрив національної ідентичності, деморалізацію суспільства та ослаблення міжнародної підтримки. Усвідомлення логіки, змісту та функцій цих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є необхідною передумовою для ефективної протидії інформаційній війні та формування стійкої моделі інформаційної безпеки України.</w:t>
      </w:r>
    </w:p>
    <w:p w14:paraId="4A20B541" w14:textId="77777777" w:rsidR="00C068B0" w:rsidRPr="00C068B0" w:rsidRDefault="00C068B0" w:rsidP="00C068B0">
      <w:pPr>
        <w:spacing w:after="0" w:line="360" w:lineRule="auto"/>
        <w:ind w:firstLine="567"/>
        <w:jc w:val="both"/>
        <w:rPr>
          <w:rFonts w:ascii="Times New Roman" w:eastAsia="Calibri" w:hAnsi="Times New Roman" w:cs="Times New Roman"/>
          <w:b/>
          <w:bCs/>
          <w:sz w:val="28"/>
          <w:szCs w:val="28"/>
          <w:lang w:val="uk-UA"/>
        </w:rPr>
      </w:pPr>
    </w:p>
    <w:p w14:paraId="63D65F7E" w14:textId="77777777" w:rsidR="00C068B0" w:rsidRPr="00C068B0" w:rsidRDefault="00C068B0" w:rsidP="00C068B0">
      <w:pPr>
        <w:spacing w:after="0" w:line="360" w:lineRule="auto"/>
        <w:ind w:firstLine="567"/>
        <w:jc w:val="both"/>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t>4.3. Українська модель інформаційного спротиву</w:t>
      </w:r>
    </w:p>
    <w:p w14:paraId="321A5FA8"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38D485AD"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Українська модель інформаційного спротиву сформувалася як відповідь на системну, тривалу та багаторівневу інформаційну агресію з боку Російської Федерації та є унікальним прикладом адаптивної, </w:t>
      </w:r>
      <w:proofErr w:type="spellStart"/>
      <w:r w:rsidRPr="00C068B0">
        <w:rPr>
          <w:rFonts w:ascii="Times New Roman" w:eastAsia="Calibri" w:hAnsi="Times New Roman" w:cs="Times New Roman"/>
          <w:sz w:val="28"/>
          <w:szCs w:val="28"/>
          <w:lang w:val="uk-UA"/>
        </w:rPr>
        <w:t>багатосуб’єктної</w:t>
      </w:r>
      <w:proofErr w:type="spellEnd"/>
      <w:r w:rsidRPr="00C068B0">
        <w:rPr>
          <w:rFonts w:ascii="Times New Roman" w:eastAsia="Calibri" w:hAnsi="Times New Roman" w:cs="Times New Roman"/>
          <w:sz w:val="28"/>
          <w:szCs w:val="28"/>
          <w:lang w:val="uk-UA"/>
        </w:rPr>
        <w:t xml:space="preserve"> та суспільно орієнтованої протидії інформаційній війні. На відміну від багатьох держав, які будували політику інформаційної безпеки переважно в умовах гіпотетичних загроз, Україна була змушена формувати власну модель спротиву безпосередньо в умовах реального конфлікту, що визначило її прагматичний, динамічний і гібридний характер.</w:t>
      </w:r>
    </w:p>
    <w:p w14:paraId="4C1908ED"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Початковий етап формування української моделі інформаційного спротиву після 2014 р. характеризувався фрагментарністю та реактивністю. Держава і суспільство опинилися перед масштабною інформаційною атакою за відсутності цілісної доктрини, спеціалізованих інституцій і достатнього досвіду протидії гібридним загрозам. Водночас саме в цей період зародилися  елементи </w:t>
      </w:r>
      <w:r w:rsidRPr="00C068B0">
        <w:rPr>
          <w:rFonts w:ascii="Times New Roman" w:eastAsia="Calibri" w:hAnsi="Times New Roman" w:cs="Times New Roman"/>
          <w:sz w:val="28"/>
          <w:szCs w:val="28"/>
          <w:lang w:val="uk-UA"/>
        </w:rPr>
        <w:lastRenderedPageBreak/>
        <w:t>майбутньої моделі –  активна роль громадянського суспільства, волонтерських ініціатив, незалежних медіа та експертних спільнот, які взяли на себе значну частину функцій інформаційного захисту.</w:t>
      </w:r>
    </w:p>
    <w:p w14:paraId="77784615"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Важливою рисою української моделі інформаційного спротиву є її суспільно-державний характер. Інформаційна стійкість в Україні не була нав’язана виключно «згори» через адміністративні механізми, а формувалася як результат горизонтальної взаємодії між державними структурами, медіа, громадськими організаціями, академічним середовищем і активними громадянами. Така конфігурація дозволила компенсувати інституційну слабкість перших років війни та створити гнучку мережу реагування на інформаційні загрози.</w:t>
      </w:r>
    </w:p>
    <w:p w14:paraId="5C25999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Поступово українська держава </w:t>
      </w:r>
      <w:proofErr w:type="spellStart"/>
      <w:r w:rsidRPr="00C068B0">
        <w:rPr>
          <w:rFonts w:ascii="Times New Roman" w:eastAsia="Calibri" w:hAnsi="Times New Roman" w:cs="Times New Roman"/>
          <w:sz w:val="28"/>
          <w:szCs w:val="28"/>
          <w:lang w:val="uk-UA"/>
        </w:rPr>
        <w:t>інституціоналізувала</w:t>
      </w:r>
      <w:proofErr w:type="spellEnd"/>
      <w:r w:rsidRPr="00C068B0">
        <w:rPr>
          <w:rFonts w:ascii="Times New Roman" w:eastAsia="Calibri" w:hAnsi="Times New Roman" w:cs="Times New Roman"/>
          <w:sz w:val="28"/>
          <w:szCs w:val="28"/>
          <w:lang w:val="uk-UA"/>
        </w:rPr>
        <w:t xml:space="preserve"> інформаційний спротив, інтегрувавши його у систему національної безпеки. Було сформовано стратегічні документи, запроваджено механізми стратегічних комунікацій, посилено координацію між органами влади у сфері інформаційної та </w:t>
      </w:r>
      <w:proofErr w:type="spellStart"/>
      <w:r w:rsidRPr="00C068B0">
        <w:rPr>
          <w:rFonts w:ascii="Times New Roman" w:eastAsia="Calibri" w:hAnsi="Times New Roman" w:cs="Times New Roman"/>
          <w:sz w:val="28"/>
          <w:szCs w:val="28"/>
          <w:lang w:val="uk-UA"/>
        </w:rPr>
        <w:t>кібербезпеки</w:t>
      </w:r>
      <w:proofErr w:type="spellEnd"/>
      <w:r w:rsidRPr="00C068B0">
        <w:rPr>
          <w:rFonts w:ascii="Times New Roman" w:eastAsia="Calibri" w:hAnsi="Times New Roman" w:cs="Times New Roman"/>
          <w:sz w:val="28"/>
          <w:szCs w:val="28"/>
          <w:lang w:val="uk-UA"/>
        </w:rPr>
        <w:t>. Державні комунікації почали відігравати не лише інформативну, але й мобілізаційну та пояснювальну функцію, спрямовану на збереження довіри суспільства та легітимності політичних рішень.</w:t>
      </w:r>
    </w:p>
    <w:p w14:paraId="29827A18"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Основним елементом української моделі інформаційного спротиву є акцент на правді та відкритості як противазі пропаганді. На відміну від дзеркального відтворення маніпулятивних практик, українська стратегія значною мірою ґрунтується на оперативному інформуванні, публічності, використанні перевірених даних і персональній відповідальності офіційних спікерів. Такий підхід сприяв формуванню довіри до офіційних джерел інформації та зменшив ефективність ворожих </w:t>
      </w:r>
      <w:proofErr w:type="spellStart"/>
      <w:r w:rsidRPr="00C068B0">
        <w:rPr>
          <w:rFonts w:ascii="Times New Roman" w:eastAsia="Calibri" w:hAnsi="Times New Roman" w:cs="Times New Roman"/>
          <w:sz w:val="28"/>
          <w:szCs w:val="28"/>
          <w:lang w:val="uk-UA"/>
        </w:rPr>
        <w:t>дезінформаційних</w:t>
      </w:r>
      <w:proofErr w:type="spellEnd"/>
      <w:r w:rsidRPr="00C068B0">
        <w:rPr>
          <w:rFonts w:ascii="Times New Roman" w:eastAsia="Calibri" w:hAnsi="Times New Roman" w:cs="Times New Roman"/>
          <w:sz w:val="28"/>
          <w:szCs w:val="28"/>
          <w:lang w:val="uk-UA"/>
        </w:rPr>
        <w:t xml:space="preserve"> кампаній усередині країни.</w:t>
      </w:r>
    </w:p>
    <w:p w14:paraId="0D92B9B2"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Особливу роль в українській моделі інформаційного спротиву відіграють незалежні медіа та </w:t>
      </w:r>
      <w:proofErr w:type="spellStart"/>
      <w:r w:rsidRPr="00C068B0">
        <w:rPr>
          <w:rFonts w:ascii="Times New Roman" w:eastAsia="Calibri" w:hAnsi="Times New Roman" w:cs="Times New Roman"/>
          <w:sz w:val="28"/>
          <w:szCs w:val="28"/>
          <w:lang w:val="uk-UA"/>
        </w:rPr>
        <w:t>фактчекінгові</w:t>
      </w:r>
      <w:proofErr w:type="spellEnd"/>
      <w:r w:rsidRPr="00C068B0">
        <w:rPr>
          <w:rFonts w:ascii="Times New Roman" w:eastAsia="Calibri" w:hAnsi="Times New Roman" w:cs="Times New Roman"/>
          <w:sz w:val="28"/>
          <w:szCs w:val="28"/>
          <w:lang w:val="uk-UA"/>
        </w:rPr>
        <w:t xml:space="preserve"> ініціативи. Вони стали важливим інструментом виявлення та спростування фейків, аналізу ворожих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і підвищення рівня </w:t>
      </w:r>
      <w:proofErr w:type="spellStart"/>
      <w:r w:rsidRPr="00C068B0">
        <w:rPr>
          <w:rFonts w:ascii="Times New Roman" w:eastAsia="Calibri" w:hAnsi="Times New Roman" w:cs="Times New Roman"/>
          <w:sz w:val="28"/>
          <w:szCs w:val="28"/>
          <w:lang w:val="uk-UA"/>
        </w:rPr>
        <w:t>медіаграмотності</w:t>
      </w:r>
      <w:proofErr w:type="spellEnd"/>
      <w:r w:rsidRPr="00C068B0">
        <w:rPr>
          <w:rFonts w:ascii="Times New Roman" w:eastAsia="Calibri" w:hAnsi="Times New Roman" w:cs="Times New Roman"/>
          <w:sz w:val="28"/>
          <w:szCs w:val="28"/>
          <w:lang w:val="uk-UA"/>
        </w:rPr>
        <w:t xml:space="preserve"> громадян. Завдяки їхній діяльності інформаційний простір </w:t>
      </w:r>
      <w:r w:rsidRPr="00C068B0">
        <w:rPr>
          <w:rFonts w:ascii="Times New Roman" w:eastAsia="Calibri" w:hAnsi="Times New Roman" w:cs="Times New Roman"/>
          <w:sz w:val="28"/>
          <w:szCs w:val="28"/>
          <w:lang w:val="uk-UA"/>
        </w:rPr>
        <w:lastRenderedPageBreak/>
        <w:t>України поступово очистився від значної частини відверто маніпулятивного контенту, а суспільство набуло досвіду критичного сприйняття інформації.</w:t>
      </w:r>
    </w:p>
    <w:p w14:paraId="50EAA65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Не менш важливим компонентом українського інформаційного спротиву є розвиток культури критичного мислення та інформаційної гігієни, особливо після 2022 р. Масштабність повномасштабної війни актуалізувала усвідомлення того, що кожен громадянин є учасником інформаційного фронту. Відповідальне споживання інформації, відмова від поширення неперевірених повідомлень, довіра до офіційних каналів у кризових ситуаціях стали важливими елементами колективної інформаційної стійкості.</w:t>
      </w:r>
    </w:p>
    <w:p w14:paraId="54FD7A01"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Українська модель інформаційного спротиву має також чітко виражений міжнародний вимір. Україна активно працює з міжнародною аудиторією, формуючи власний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війни як боротьби за суверенітет, демократію та міжнародний правопорядок. Використання публічної дипломатії, звернення до міжнародних медіа, комунікація з політичними елітами та громадською думкою інших держав дозволили Україні протистояти російським </w:t>
      </w:r>
      <w:proofErr w:type="spellStart"/>
      <w:r w:rsidRPr="00C068B0">
        <w:rPr>
          <w:rFonts w:ascii="Times New Roman" w:eastAsia="Calibri" w:hAnsi="Times New Roman" w:cs="Times New Roman"/>
          <w:sz w:val="28"/>
          <w:szCs w:val="28"/>
          <w:lang w:val="uk-UA"/>
        </w:rPr>
        <w:t>дезінформаційним</w:t>
      </w:r>
      <w:proofErr w:type="spellEnd"/>
      <w:r w:rsidRPr="00C068B0">
        <w:rPr>
          <w:rFonts w:ascii="Times New Roman" w:eastAsia="Calibri" w:hAnsi="Times New Roman" w:cs="Times New Roman"/>
          <w:sz w:val="28"/>
          <w:szCs w:val="28"/>
          <w:lang w:val="uk-UA"/>
        </w:rPr>
        <w:t xml:space="preserve"> кампаніям на глобальному рівні та зберегти високий рівень міжнародної підтримки.</w:t>
      </w:r>
    </w:p>
    <w:p w14:paraId="1B3E5CFF" w14:textId="77777777" w:rsidR="00C068B0" w:rsidRPr="00C068B0" w:rsidRDefault="00C068B0" w:rsidP="00C068B0">
      <w:pPr>
        <w:spacing w:after="0" w:line="360" w:lineRule="auto"/>
        <w:rPr>
          <w:rFonts w:ascii="Times New Roman" w:eastAsia="Calibri" w:hAnsi="Times New Roman" w:cs="Times New Roman"/>
          <w:kern w:val="0"/>
          <w:sz w:val="28"/>
          <w:szCs w:val="28"/>
          <w:lang w:val="uk-UA"/>
          <w14:ligatures w14:val="none"/>
        </w:rPr>
        <w:sectPr w:rsidR="00C068B0" w:rsidRPr="00C068B0" w:rsidSect="00C068B0">
          <w:pgSz w:w="11906" w:h="16838"/>
          <w:pgMar w:top="850" w:right="850" w:bottom="850" w:left="1417" w:header="708" w:footer="708" w:gutter="0"/>
          <w:cols w:space="720"/>
        </w:sectPr>
      </w:pPr>
    </w:p>
    <w:p w14:paraId="428253F1"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tbl>
      <w:tblPr>
        <w:tblStyle w:val="12"/>
        <w:tblW w:w="0" w:type="auto"/>
        <w:tblInd w:w="0" w:type="dxa"/>
        <w:tblLook w:val="04A0" w:firstRow="1" w:lastRow="0" w:firstColumn="1" w:lastColumn="0" w:noHBand="0" w:noVBand="1"/>
      </w:tblPr>
      <w:tblGrid>
        <w:gridCol w:w="3209"/>
        <w:gridCol w:w="3210"/>
        <w:gridCol w:w="3210"/>
      </w:tblGrid>
      <w:tr w:rsidR="006607F7" w:rsidRPr="00112B82" w14:paraId="1EC8F87E" w14:textId="77777777">
        <w:tc>
          <w:tcPr>
            <w:tcW w:w="3209" w:type="dxa"/>
            <w:tcBorders>
              <w:top w:val="single" w:sz="4" w:space="0" w:color="auto"/>
              <w:left w:val="single" w:sz="4" w:space="0" w:color="auto"/>
              <w:bottom w:val="single" w:sz="4" w:space="0" w:color="auto"/>
              <w:right w:val="single" w:sz="4" w:space="0" w:color="auto"/>
            </w:tcBorders>
            <w:shd w:val="clear" w:color="auto" w:fill="76E3FF"/>
          </w:tcPr>
          <w:p w14:paraId="1CDB0BF6"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1A6693D1" w14:textId="77777777" w:rsidR="00C068B0" w:rsidRPr="00C068B0" w:rsidRDefault="00C068B0" w:rsidP="00C068B0">
            <w:pPr>
              <w:spacing w:line="360" w:lineRule="auto"/>
              <w:jc w:val="center"/>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Громадянське суспільство</w:t>
            </w:r>
          </w:p>
          <w:p w14:paraId="6C417C49" w14:textId="77777777" w:rsidR="00C068B0" w:rsidRPr="00C068B0" w:rsidRDefault="00C068B0" w:rsidP="00C068B0">
            <w:pPr>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28"/>
                <w:szCs w:val="28"/>
              </w:rPr>
              <w:t xml:space="preserve">(Волонтерські ініціативи, незалежні медіа, </w:t>
            </w:r>
            <w:proofErr w:type="spellStart"/>
            <w:r w:rsidRPr="00C068B0">
              <w:rPr>
                <w:rFonts w:ascii="Times New Roman" w:hAnsi="Times New Roman"/>
                <w:color w:val="000000" w:themeColor="text1"/>
                <w:sz w:val="28"/>
                <w:szCs w:val="28"/>
              </w:rPr>
              <w:t>фактчекери</w:t>
            </w:r>
            <w:proofErr w:type="spellEnd"/>
            <w:r w:rsidRPr="00C068B0">
              <w:rPr>
                <w:rFonts w:ascii="Times New Roman" w:hAnsi="Times New Roman"/>
                <w:color w:val="000000" w:themeColor="text1"/>
                <w:sz w:val="28"/>
                <w:szCs w:val="28"/>
              </w:rPr>
              <w:t xml:space="preserve"> та експертні спільноти</w:t>
            </w:r>
          </w:p>
          <w:p w14:paraId="2749E1AD" w14:textId="77777777" w:rsidR="00C068B0" w:rsidRPr="00C068B0" w:rsidRDefault="00C068B0" w:rsidP="00C068B0">
            <w:pPr>
              <w:spacing w:line="360" w:lineRule="auto"/>
              <w:jc w:val="both"/>
              <w:rPr>
                <w:rFonts w:ascii="Times New Roman" w:hAnsi="Times New Roman"/>
                <w:color w:val="000000" w:themeColor="text1"/>
                <w:sz w:val="28"/>
                <w:szCs w:val="28"/>
              </w:rPr>
            </w:pPr>
          </w:p>
        </w:tc>
        <w:tc>
          <w:tcPr>
            <w:tcW w:w="3210" w:type="dxa"/>
            <w:vMerge w:val="restart"/>
            <w:tcBorders>
              <w:top w:val="single" w:sz="4" w:space="0" w:color="auto"/>
              <w:left w:val="single" w:sz="4" w:space="0" w:color="auto"/>
              <w:bottom w:val="single" w:sz="4" w:space="0" w:color="auto"/>
              <w:right w:val="single" w:sz="4" w:space="0" w:color="auto"/>
            </w:tcBorders>
          </w:tcPr>
          <w:p w14:paraId="586365B7" w14:textId="77777777" w:rsidR="00C068B0" w:rsidRPr="00C068B0" w:rsidRDefault="00C068B0" w:rsidP="00C068B0">
            <w:pPr>
              <w:spacing w:line="360" w:lineRule="auto"/>
              <w:jc w:val="center"/>
              <w:rPr>
                <w:rFonts w:ascii="Times New Roman" w:hAnsi="Times New Roman"/>
                <w:b/>
                <w:bCs/>
                <w:i/>
                <w:iCs/>
                <w:color w:val="000000" w:themeColor="text1"/>
                <w:sz w:val="28"/>
                <w:szCs w:val="28"/>
              </w:rPr>
            </w:pPr>
          </w:p>
          <w:p w14:paraId="7841FC56" w14:textId="77777777" w:rsidR="00C068B0" w:rsidRPr="00C068B0" w:rsidRDefault="00C068B0" w:rsidP="00C068B0">
            <w:pPr>
              <w:spacing w:line="360" w:lineRule="auto"/>
              <w:jc w:val="center"/>
              <w:rPr>
                <w:rFonts w:ascii="Times New Roman" w:hAnsi="Times New Roman"/>
                <w:b/>
                <w:bCs/>
                <w:i/>
                <w:iCs/>
                <w:color w:val="000000" w:themeColor="text1"/>
                <w:sz w:val="28"/>
                <w:szCs w:val="28"/>
              </w:rPr>
            </w:pPr>
          </w:p>
          <w:p w14:paraId="167A6DCD" w14:textId="77777777" w:rsidR="00C068B0" w:rsidRPr="00C068B0" w:rsidRDefault="00C068B0" w:rsidP="00C068B0">
            <w:pPr>
              <w:spacing w:line="360" w:lineRule="auto"/>
              <w:jc w:val="center"/>
              <w:rPr>
                <w:rFonts w:ascii="Times New Roman" w:hAnsi="Times New Roman"/>
                <w:b/>
                <w:bCs/>
                <w:i/>
                <w:iCs/>
                <w:color w:val="000000" w:themeColor="text1"/>
                <w:sz w:val="28"/>
                <w:szCs w:val="28"/>
              </w:rPr>
            </w:pPr>
          </w:p>
          <w:p w14:paraId="71D2FD01" w14:textId="77777777" w:rsidR="00C068B0" w:rsidRPr="00C068B0" w:rsidRDefault="00C068B0" w:rsidP="00C068B0">
            <w:pPr>
              <w:spacing w:line="360" w:lineRule="auto"/>
              <w:jc w:val="center"/>
              <w:rPr>
                <w:rFonts w:ascii="Times New Roman" w:hAnsi="Times New Roman"/>
                <w:b/>
                <w:bCs/>
                <w:i/>
                <w:iCs/>
                <w:color w:val="000000" w:themeColor="text1"/>
                <w:sz w:val="28"/>
                <w:szCs w:val="28"/>
              </w:rPr>
            </w:pPr>
          </w:p>
          <w:p w14:paraId="4640FDA8" w14:textId="77777777" w:rsidR="00C068B0" w:rsidRPr="00C068B0" w:rsidRDefault="00C068B0" w:rsidP="00C068B0">
            <w:pPr>
              <w:spacing w:line="360" w:lineRule="auto"/>
              <w:jc w:val="center"/>
              <w:rPr>
                <w:rFonts w:ascii="Times New Roman" w:hAnsi="Times New Roman"/>
                <w:b/>
                <w:bCs/>
                <w:i/>
                <w:iCs/>
                <w:color w:val="000000" w:themeColor="text1"/>
                <w:sz w:val="28"/>
                <w:szCs w:val="28"/>
              </w:rPr>
            </w:pPr>
          </w:p>
          <w:p w14:paraId="464FFE42" w14:textId="77777777" w:rsidR="00C068B0" w:rsidRPr="00C068B0" w:rsidRDefault="00C068B0" w:rsidP="00C068B0">
            <w:pPr>
              <w:spacing w:line="360" w:lineRule="auto"/>
              <w:jc w:val="center"/>
              <w:rPr>
                <w:rFonts w:ascii="Times New Roman" w:hAnsi="Times New Roman"/>
                <w:b/>
                <w:bCs/>
                <w:i/>
                <w:iCs/>
                <w:color w:val="000000" w:themeColor="text1"/>
                <w:sz w:val="32"/>
                <w:szCs w:val="32"/>
              </w:rPr>
            </w:pPr>
            <w:r w:rsidRPr="00C068B0">
              <w:rPr>
                <w:rFonts w:ascii="Times New Roman" w:hAnsi="Times New Roman"/>
                <w:b/>
                <w:bCs/>
                <w:i/>
                <w:iCs/>
                <w:color w:val="000000" w:themeColor="text1"/>
                <w:sz w:val="32"/>
                <w:szCs w:val="32"/>
              </w:rPr>
              <w:t>Українська модель інформаційного спротиву</w:t>
            </w:r>
          </w:p>
          <w:p w14:paraId="05D9F6DB" w14:textId="77777777" w:rsidR="00C068B0" w:rsidRPr="00C068B0" w:rsidRDefault="00C068B0" w:rsidP="00C068B0">
            <w:pPr>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32"/>
                <w:szCs w:val="32"/>
              </w:rPr>
              <w:t>(суспільно-орієнтована структура протидії інформаційній агресії в умовах реального конфлікту)</w:t>
            </w:r>
          </w:p>
        </w:tc>
        <w:tc>
          <w:tcPr>
            <w:tcW w:w="3210" w:type="dxa"/>
            <w:tcBorders>
              <w:top w:val="single" w:sz="4" w:space="0" w:color="auto"/>
              <w:left w:val="single" w:sz="4" w:space="0" w:color="auto"/>
              <w:bottom w:val="single" w:sz="4" w:space="0" w:color="auto"/>
              <w:right w:val="single" w:sz="4" w:space="0" w:color="auto"/>
            </w:tcBorders>
            <w:shd w:val="clear" w:color="auto" w:fill="76E3FF"/>
          </w:tcPr>
          <w:p w14:paraId="15DFF0F9" w14:textId="77777777" w:rsidR="00C068B0" w:rsidRPr="00C068B0" w:rsidRDefault="00C068B0" w:rsidP="00C068B0">
            <w:pPr>
              <w:shd w:val="clear" w:color="auto" w:fill="76E3FF"/>
              <w:spacing w:line="360" w:lineRule="auto"/>
              <w:jc w:val="center"/>
              <w:rPr>
                <w:rFonts w:ascii="Times New Roman" w:hAnsi="Times New Roman"/>
                <w:b/>
                <w:bCs/>
                <w:color w:val="000000" w:themeColor="text1"/>
                <w:sz w:val="28"/>
                <w:szCs w:val="28"/>
              </w:rPr>
            </w:pPr>
          </w:p>
          <w:p w14:paraId="4B2C49E3" w14:textId="77777777" w:rsidR="00C068B0" w:rsidRPr="00C068B0" w:rsidRDefault="00C068B0" w:rsidP="00C068B0">
            <w:pPr>
              <w:shd w:val="clear" w:color="auto" w:fill="76E3FF"/>
              <w:spacing w:line="360" w:lineRule="auto"/>
              <w:jc w:val="center"/>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Держава</w:t>
            </w:r>
          </w:p>
          <w:p w14:paraId="7D1B639A" w14:textId="77777777" w:rsidR="00C068B0" w:rsidRPr="00C068B0" w:rsidRDefault="00C068B0" w:rsidP="00C068B0">
            <w:pPr>
              <w:shd w:val="clear" w:color="auto" w:fill="76E3FF"/>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28"/>
                <w:szCs w:val="28"/>
              </w:rPr>
              <w:t>(Національна стратегія, спеціалізовані інституції, стратегічні комунікації)</w:t>
            </w:r>
          </w:p>
        </w:tc>
      </w:tr>
      <w:tr w:rsidR="006607F7" w:rsidRPr="00112B82" w14:paraId="41D9D83F" w14:textId="77777777">
        <w:tc>
          <w:tcPr>
            <w:tcW w:w="3209" w:type="dxa"/>
            <w:tcBorders>
              <w:top w:val="single" w:sz="4" w:space="0" w:color="auto"/>
              <w:left w:val="single" w:sz="4" w:space="0" w:color="auto"/>
              <w:bottom w:val="single" w:sz="4" w:space="0" w:color="auto"/>
              <w:right w:val="single" w:sz="4" w:space="0" w:color="auto"/>
            </w:tcBorders>
          </w:tcPr>
          <w:p w14:paraId="1EF1C2D5" w14:textId="77777777" w:rsidR="00C068B0" w:rsidRPr="00C068B0" w:rsidRDefault="00C068B0" w:rsidP="00C068B0">
            <w:pPr>
              <w:spacing w:line="360" w:lineRule="auto"/>
              <w:jc w:val="both"/>
              <w:rPr>
                <w:rFonts w:ascii="Times New Roman" w:hAnsi="Times New Roman"/>
                <w:color w:val="000000" w:themeColor="text1"/>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CC1CAD" w14:textId="77777777" w:rsidR="00C068B0" w:rsidRPr="00C068B0" w:rsidRDefault="00C068B0" w:rsidP="00C068B0">
            <w:pPr>
              <w:rPr>
                <w:rFonts w:ascii="Times New Roman" w:hAnsi="Times New Roman"/>
                <w:color w:val="000000" w:themeColor="text1"/>
                <w:sz w:val="28"/>
                <w:szCs w:val="28"/>
              </w:rPr>
            </w:pPr>
          </w:p>
        </w:tc>
        <w:tc>
          <w:tcPr>
            <w:tcW w:w="3210" w:type="dxa"/>
            <w:tcBorders>
              <w:top w:val="single" w:sz="4" w:space="0" w:color="auto"/>
              <w:left w:val="single" w:sz="4" w:space="0" w:color="auto"/>
              <w:bottom w:val="single" w:sz="4" w:space="0" w:color="auto"/>
              <w:right w:val="single" w:sz="4" w:space="0" w:color="auto"/>
            </w:tcBorders>
          </w:tcPr>
          <w:p w14:paraId="2074F4A3" w14:textId="77777777" w:rsidR="00C068B0" w:rsidRPr="00C068B0" w:rsidRDefault="00C068B0" w:rsidP="00C068B0">
            <w:pPr>
              <w:spacing w:line="360" w:lineRule="auto"/>
              <w:jc w:val="both"/>
              <w:rPr>
                <w:rFonts w:ascii="Times New Roman" w:hAnsi="Times New Roman"/>
                <w:color w:val="000000" w:themeColor="text1"/>
                <w:sz w:val="28"/>
                <w:szCs w:val="28"/>
              </w:rPr>
            </w:pPr>
          </w:p>
        </w:tc>
      </w:tr>
      <w:tr w:rsidR="006607F7" w:rsidRPr="00112B82" w14:paraId="5B153217" w14:textId="77777777">
        <w:tc>
          <w:tcPr>
            <w:tcW w:w="3209" w:type="dxa"/>
            <w:tcBorders>
              <w:top w:val="single" w:sz="4" w:space="0" w:color="auto"/>
              <w:left w:val="single" w:sz="4" w:space="0" w:color="auto"/>
              <w:bottom w:val="single" w:sz="4" w:space="0" w:color="auto"/>
              <w:right w:val="single" w:sz="4" w:space="0" w:color="auto"/>
            </w:tcBorders>
            <w:shd w:val="clear" w:color="auto" w:fill="76E3FF"/>
          </w:tcPr>
          <w:p w14:paraId="5D49CA38" w14:textId="77777777" w:rsidR="00C068B0" w:rsidRPr="00C068B0" w:rsidRDefault="00C068B0" w:rsidP="00C068B0">
            <w:pPr>
              <w:shd w:val="clear" w:color="auto" w:fill="76E3FF"/>
              <w:spacing w:line="360" w:lineRule="auto"/>
              <w:jc w:val="both"/>
              <w:rPr>
                <w:rFonts w:ascii="Times New Roman" w:hAnsi="Times New Roman"/>
                <w:b/>
                <w:bCs/>
                <w:color w:val="000000" w:themeColor="text1"/>
                <w:sz w:val="28"/>
                <w:szCs w:val="28"/>
              </w:rPr>
            </w:pPr>
          </w:p>
          <w:p w14:paraId="72DF9E4F" w14:textId="77777777" w:rsidR="00C068B0" w:rsidRPr="00C068B0" w:rsidRDefault="00C068B0" w:rsidP="00C068B0">
            <w:pPr>
              <w:shd w:val="clear" w:color="auto" w:fill="76E3FF"/>
              <w:spacing w:line="360" w:lineRule="auto"/>
              <w:jc w:val="both"/>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Міжнародна співпраця</w:t>
            </w:r>
          </w:p>
          <w:p w14:paraId="07C91FFC" w14:textId="77777777" w:rsidR="00C068B0" w:rsidRPr="00C068B0" w:rsidRDefault="00C068B0" w:rsidP="00C068B0">
            <w:pPr>
              <w:shd w:val="clear" w:color="auto" w:fill="76E3FF"/>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28"/>
                <w:szCs w:val="28"/>
              </w:rPr>
              <w:t>(Публічна дипломатія, комунікація з міжнародними партнерами)</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DCAD96" w14:textId="77777777" w:rsidR="00C068B0" w:rsidRPr="00C068B0" w:rsidRDefault="00C068B0" w:rsidP="00C068B0">
            <w:pPr>
              <w:rPr>
                <w:rFonts w:ascii="Times New Roman" w:hAnsi="Times New Roman"/>
                <w:color w:val="000000" w:themeColor="text1"/>
                <w:sz w:val="28"/>
                <w:szCs w:val="28"/>
              </w:rPr>
            </w:pPr>
          </w:p>
        </w:tc>
        <w:tc>
          <w:tcPr>
            <w:tcW w:w="3210" w:type="dxa"/>
            <w:tcBorders>
              <w:top w:val="single" w:sz="4" w:space="0" w:color="auto"/>
              <w:left w:val="single" w:sz="4" w:space="0" w:color="auto"/>
              <w:bottom w:val="single" w:sz="4" w:space="0" w:color="auto"/>
              <w:right w:val="single" w:sz="4" w:space="0" w:color="auto"/>
            </w:tcBorders>
          </w:tcPr>
          <w:p w14:paraId="31FC1F52" w14:textId="77777777" w:rsidR="00C068B0" w:rsidRPr="00C068B0" w:rsidRDefault="00C068B0" w:rsidP="00C068B0">
            <w:pPr>
              <w:shd w:val="clear" w:color="auto" w:fill="76E3FF"/>
              <w:spacing w:line="360" w:lineRule="auto"/>
              <w:jc w:val="center"/>
              <w:rPr>
                <w:rFonts w:ascii="Times New Roman" w:hAnsi="Times New Roman"/>
                <w:b/>
                <w:bCs/>
                <w:color w:val="000000" w:themeColor="text1"/>
                <w:sz w:val="28"/>
                <w:szCs w:val="28"/>
              </w:rPr>
            </w:pPr>
          </w:p>
          <w:p w14:paraId="304A5FBC" w14:textId="77777777" w:rsidR="00C068B0" w:rsidRPr="00C068B0" w:rsidRDefault="00C068B0" w:rsidP="00C068B0">
            <w:pPr>
              <w:shd w:val="clear" w:color="auto" w:fill="76E3FF"/>
              <w:spacing w:line="360" w:lineRule="auto"/>
              <w:jc w:val="center"/>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Критичне мислення</w:t>
            </w:r>
          </w:p>
          <w:p w14:paraId="30478C0F" w14:textId="77777777" w:rsidR="00C068B0" w:rsidRPr="00C068B0" w:rsidRDefault="00C068B0" w:rsidP="00C068B0">
            <w:pPr>
              <w:shd w:val="clear" w:color="auto" w:fill="76E3FF"/>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28"/>
                <w:szCs w:val="28"/>
              </w:rPr>
              <w:t xml:space="preserve">(Розвиток </w:t>
            </w:r>
            <w:proofErr w:type="spellStart"/>
            <w:r w:rsidRPr="00C068B0">
              <w:rPr>
                <w:rFonts w:ascii="Times New Roman" w:hAnsi="Times New Roman"/>
                <w:color w:val="000000" w:themeColor="text1"/>
                <w:sz w:val="28"/>
                <w:szCs w:val="28"/>
              </w:rPr>
              <w:t>медіаграмотності</w:t>
            </w:r>
            <w:proofErr w:type="spellEnd"/>
            <w:r w:rsidRPr="00C068B0">
              <w:rPr>
                <w:rFonts w:ascii="Times New Roman" w:hAnsi="Times New Roman"/>
                <w:color w:val="000000" w:themeColor="text1"/>
                <w:sz w:val="28"/>
                <w:szCs w:val="28"/>
              </w:rPr>
              <w:t xml:space="preserve">, культури інформаційної гігієни) </w:t>
            </w:r>
          </w:p>
          <w:p w14:paraId="43D4F058" w14:textId="77777777" w:rsidR="00C068B0" w:rsidRPr="00C068B0" w:rsidRDefault="00C068B0" w:rsidP="00C068B0">
            <w:pPr>
              <w:shd w:val="clear" w:color="auto" w:fill="76E3FF"/>
              <w:spacing w:line="360" w:lineRule="auto"/>
              <w:jc w:val="center"/>
              <w:rPr>
                <w:rFonts w:ascii="Times New Roman" w:hAnsi="Times New Roman"/>
                <w:color w:val="000000" w:themeColor="text1"/>
                <w:sz w:val="28"/>
                <w:szCs w:val="28"/>
              </w:rPr>
            </w:pPr>
          </w:p>
        </w:tc>
      </w:tr>
      <w:tr w:rsidR="006607F7" w:rsidRPr="00112B82" w14:paraId="659422AF" w14:textId="77777777">
        <w:tc>
          <w:tcPr>
            <w:tcW w:w="3209" w:type="dxa"/>
            <w:tcBorders>
              <w:top w:val="single" w:sz="4" w:space="0" w:color="auto"/>
              <w:left w:val="single" w:sz="4" w:space="0" w:color="auto"/>
              <w:bottom w:val="single" w:sz="4" w:space="0" w:color="auto"/>
              <w:right w:val="single" w:sz="4" w:space="0" w:color="auto"/>
            </w:tcBorders>
          </w:tcPr>
          <w:p w14:paraId="572F7931" w14:textId="77777777" w:rsidR="00C068B0" w:rsidRPr="00C068B0" w:rsidRDefault="00C068B0" w:rsidP="00C068B0">
            <w:pPr>
              <w:spacing w:line="360" w:lineRule="auto"/>
              <w:jc w:val="both"/>
              <w:rPr>
                <w:rFonts w:ascii="Times New Roman" w:hAnsi="Times New Roman"/>
                <w:color w:val="000000" w:themeColor="text1"/>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4928A9" w14:textId="77777777" w:rsidR="00C068B0" w:rsidRPr="00C068B0" w:rsidRDefault="00C068B0" w:rsidP="00C068B0">
            <w:pPr>
              <w:rPr>
                <w:rFonts w:ascii="Times New Roman" w:hAnsi="Times New Roman"/>
                <w:color w:val="000000" w:themeColor="text1"/>
                <w:sz w:val="28"/>
                <w:szCs w:val="28"/>
              </w:rPr>
            </w:pPr>
          </w:p>
        </w:tc>
        <w:tc>
          <w:tcPr>
            <w:tcW w:w="3210" w:type="dxa"/>
            <w:tcBorders>
              <w:top w:val="single" w:sz="4" w:space="0" w:color="auto"/>
              <w:left w:val="single" w:sz="4" w:space="0" w:color="auto"/>
              <w:bottom w:val="single" w:sz="4" w:space="0" w:color="auto"/>
              <w:right w:val="single" w:sz="4" w:space="0" w:color="auto"/>
            </w:tcBorders>
          </w:tcPr>
          <w:p w14:paraId="38A9CFC2" w14:textId="77777777" w:rsidR="00C068B0" w:rsidRPr="00C068B0" w:rsidRDefault="00C068B0" w:rsidP="00C068B0">
            <w:pPr>
              <w:spacing w:line="360" w:lineRule="auto"/>
              <w:jc w:val="both"/>
              <w:rPr>
                <w:rFonts w:ascii="Times New Roman" w:hAnsi="Times New Roman"/>
                <w:color w:val="000000" w:themeColor="text1"/>
                <w:sz w:val="28"/>
                <w:szCs w:val="28"/>
              </w:rPr>
            </w:pPr>
          </w:p>
        </w:tc>
      </w:tr>
      <w:tr w:rsidR="006607F7" w:rsidRPr="00112B82" w14:paraId="1FFCDC8E" w14:textId="77777777">
        <w:trPr>
          <w:trHeight w:val="805"/>
        </w:trPr>
        <w:tc>
          <w:tcPr>
            <w:tcW w:w="3209" w:type="dxa"/>
            <w:tcBorders>
              <w:top w:val="single" w:sz="4" w:space="0" w:color="auto"/>
              <w:left w:val="single" w:sz="4" w:space="0" w:color="auto"/>
              <w:bottom w:val="single" w:sz="4" w:space="0" w:color="auto"/>
              <w:right w:val="single" w:sz="4" w:space="0" w:color="auto"/>
            </w:tcBorders>
            <w:shd w:val="clear" w:color="auto" w:fill="76E3FF"/>
          </w:tcPr>
          <w:p w14:paraId="7F039246"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470F8D8D"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3AB63975" w14:textId="77777777" w:rsidR="00C068B0" w:rsidRPr="00C068B0" w:rsidRDefault="00C068B0" w:rsidP="00C068B0">
            <w:pPr>
              <w:spacing w:line="360" w:lineRule="auto"/>
              <w:jc w:val="center"/>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Взаємодія держави та суспільства</w:t>
            </w:r>
          </w:p>
          <w:p w14:paraId="7BC7122B"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1F110591" w14:textId="77777777" w:rsidR="00C068B0" w:rsidRPr="00C068B0" w:rsidRDefault="00C068B0" w:rsidP="00C068B0">
            <w:pPr>
              <w:spacing w:line="360" w:lineRule="auto"/>
              <w:jc w:val="center"/>
              <w:rPr>
                <w:rFonts w:ascii="Times New Roman" w:hAnsi="Times New Roman"/>
                <w:color w:val="000000" w:themeColor="text1"/>
                <w:sz w:val="28"/>
                <w:szCs w:val="28"/>
              </w:rPr>
            </w:pPr>
            <w:r w:rsidRPr="00C068B0">
              <w:rPr>
                <w:rFonts w:ascii="Times New Roman" w:hAnsi="Times New Roman"/>
                <w:color w:val="000000" w:themeColor="text1"/>
                <w:sz w:val="28"/>
                <w:szCs w:val="28"/>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0F4E96" w14:textId="77777777" w:rsidR="00C068B0" w:rsidRPr="00C068B0" w:rsidRDefault="00C068B0" w:rsidP="00C068B0">
            <w:pPr>
              <w:rPr>
                <w:rFonts w:ascii="Times New Roman" w:hAnsi="Times New Roman"/>
                <w:color w:val="000000" w:themeColor="text1"/>
                <w:sz w:val="28"/>
                <w:szCs w:val="28"/>
              </w:rPr>
            </w:pPr>
          </w:p>
        </w:tc>
        <w:tc>
          <w:tcPr>
            <w:tcW w:w="3210" w:type="dxa"/>
            <w:tcBorders>
              <w:top w:val="single" w:sz="4" w:space="0" w:color="auto"/>
              <w:left w:val="single" w:sz="4" w:space="0" w:color="auto"/>
              <w:bottom w:val="single" w:sz="4" w:space="0" w:color="auto"/>
              <w:right w:val="single" w:sz="4" w:space="0" w:color="auto"/>
            </w:tcBorders>
            <w:shd w:val="clear" w:color="auto" w:fill="76E3FF"/>
          </w:tcPr>
          <w:p w14:paraId="4546B233"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442F22F9" w14:textId="77777777" w:rsidR="00C068B0" w:rsidRPr="00C068B0" w:rsidRDefault="00C068B0" w:rsidP="00C068B0">
            <w:pPr>
              <w:spacing w:line="360" w:lineRule="auto"/>
              <w:jc w:val="center"/>
              <w:rPr>
                <w:rFonts w:ascii="Times New Roman" w:hAnsi="Times New Roman"/>
                <w:b/>
                <w:bCs/>
                <w:color w:val="000000" w:themeColor="text1"/>
                <w:sz w:val="28"/>
                <w:szCs w:val="28"/>
              </w:rPr>
            </w:pPr>
          </w:p>
          <w:p w14:paraId="5F5D7921" w14:textId="77777777" w:rsidR="00C068B0" w:rsidRPr="00C068B0" w:rsidRDefault="00C068B0" w:rsidP="00C068B0">
            <w:pPr>
              <w:spacing w:line="360" w:lineRule="auto"/>
              <w:jc w:val="center"/>
              <w:rPr>
                <w:rFonts w:ascii="Times New Roman" w:hAnsi="Times New Roman"/>
                <w:b/>
                <w:bCs/>
                <w:color w:val="000000" w:themeColor="text1"/>
                <w:sz w:val="28"/>
                <w:szCs w:val="28"/>
              </w:rPr>
            </w:pPr>
            <w:r w:rsidRPr="00C068B0">
              <w:rPr>
                <w:rFonts w:ascii="Times New Roman" w:hAnsi="Times New Roman"/>
                <w:b/>
                <w:bCs/>
                <w:color w:val="000000" w:themeColor="text1"/>
                <w:sz w:val="28"/>
                <w:szCs w:val="28"/>
              </w:rPr>
              <w:t>Адаптивність до нових викликів</w:t>
            </w:r>
          </w:p>
        </w:tc>
      </w:tr>
    </w:tbl>
    <w:p w14:paraId="42A5E6D6" w14:textId="77777777" w:rsidR="00C068B0" w:rsidRPr="00C068B0" w:rsidRDefault="00C068B0" w:rsidP="00C068B0">
      <w:pPr>
        <w:spacing w:after="0" w:line="360" w:lineRule="auto"/>
        <w:rPr>
          <w:rFonts w:ascii="Times New Roman" w:eastAsia="Calibri" w:hAnsi="Times New Roman" w:cs="Times New Roman"/>
          <w:kern w:val="0"/>
          <w:sz w:val="28"/>
          <w:szCs w:val="28"/>
          <w:lang w:val="uk-UA"/>
          <w14:ligatures w14:val="none"/>
        </w:rPr>
        <w:sectPr w:rsidR="00C068B0" w:rsidRPr="00C068B0" w:rsidSect="00C068B0">
          <w:pgSz w:w="11906" w:h="16838"/>
          <w:pgMar w:top="850" w:right="850" w:bottom="850" w:left="1417" w:header="708" w:footer="708" w:gutter="0"/>
          <w:cols w:space="720"/>
        </w:sectPr>
      </w:pPr>
    </w:p>
    <w:p w14:paraId="719582DF"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lastRenderedPageBreak/>
        <w:t xml:space="preserve">Характерною особливістю української моделі є її адаптивність і </w:t>
      </w:r>
      <w:proofErr w:type="spellStart"/>
      <w:r w:rsidRPr="00C068B0">
        <w:rPr>
          <w:rFonts w:ascii="Times New Roman" w:eastAsia="Calibri" w:hAnsi="Times New Roman" w:cs="Times New Roman"/>
          <w:sz w:val="28"/>
          <w:szCs w:val="28"/>
          <w:lang w:val="uk-UA"/>
        </w:rPr>
        <w:t>навчуваність</w:t>
      </w:r>
      <w:proofErr w:type="spellEnd"/>
      <w:r w:rsidRPr="00C068B0">
        <w:rPr>
          <w:rFonts w:ascii="Times New Roman" w:eastAsia="Calibri" w:hAnsi="Times New Roman" w:cs="Times New Roman"/>
          <w:sz w:val="28"/>
          <w:szCs w:val="28"/>
          <w:lang w:val="uk-UA"/>
        </w:rPr>
        <w:t>. Упродовж 2014–2025 рр. відбувалося постійне коригування підходів, інструментів і меседжів відповідно до змін у воєнній, політичній та інформаційній ситуації. Український інформаційний спротив не є статичною системою, а функціонує як процес безперервного аналізу, навчання та вдосконалення, що підвищує його ефективність у довгостроковій перспективі.</w:t>
      </w:r>
    </w:p>
    <w:p w14:paraId="0FCA8AC5"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Водночас українська модель інформаційного спротиву не позбавлена викликів. Інформаційне перевантаження, психологічне виснаження суспільства, ризики надмірної емоційності та складність балансування між безпекою і свободою слова залишаються актуальними проблемами. Однак наявність розвиненого громадянського суспільства та досвіду спільної протидії загрозам створює передумови для їхнього поступового подолання.</w:t>
      </w:r>
    </w:p>
    <w:p w14:paraId="683A4E74"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Таким чином, українська модель інформаційного спротиву є комплексною, багаторівневою та соціально вкоріненою системою, що поєднує державні стратегії, громадянську активність і міжнародну комунікацію. Вона демонструє, що ефективна протидія інформаційній війні можлива не лише через контроль і заборони, але й через довіру, відкритість, критичне мислення та колективну відповідальність. Досвід України має важливе теоретичне й практичне значення для розуміння сучасних інформаційних конфліктів і може слугувати моделлю формування інформаційної стійкості для інших держав у умовах гібридних загроз.</w:t>
      </w:r>
    </w:p>
    <w:p w14:paraId="1FE09C66"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06DCA9E2" w14:textId="77777777" w:rsidR="00C068B0" w:rsidRPr="00C068B0" w:rsidRDefault="00C068B0" w:rsidP="00C068B0">
      <w:pPr>
        <w:spacing w:after="0" w:line="360" w:lineRule="auto"/>
        <w:ind w:firstLine="567"/>
        <w:jc w:val="both"/>
        <w:rPr>
          <w:rFonts w:ascii="Times New Roman" w:eastAsia="Calibri" w:hAnsi="Times New Roman" w:cs="Times New Roman"/>
          <w:i/>
          <w:iCs/>
          <w:sz w:val="28"/>
          <w:szCs w:val="28"/>
          <w:lang w:val="uk-UA"/>
        </w:rPr>
      </w:pPr>
      <w:r w:rsidRPr="00C068B0">
        <w:rPr>
          <w:rFonts w:ascii="Times New Roman" w:eastAsia="Calibri" w:hAnsi="Times New Roman" w:cs="Times New Roman"/>
          <w:i/>
          <w:iCs/>
          <w:sz w:val="28"/>
          <w:szCs w:val="28"/>
          <w:lang w:val="uk-UA"/>
        </w:rPr>
        <w:t xml:space="preserve">Висновки до четвертого розділу </w:t>
      </w:r>
    </w:p>
    <w:p w14:paraId="5A6DF8C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Проведений аналіз дозволяє зробити низку висновків.  По-перше, встановлено, що інформаційна війна Російської Федерації проти України у 2014–2025 рр. еволюціонувала від допоміжного інструменту політичного тиску до повноцінного фронту глобального протистояння. Її розвиток характеризується послідовною ускладненістю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w:t>
      </w:r>
      <w:proofErr w:type="spellStart"/>
      <w:r w:rsidRPr="00C068B0">
        <w:rPr>
          <w:rFonts w:ascii="Times New Roman" w:eastAsia="Calibri" w:hAnsi="Times New Roman" w:cs="Times New Roman"/>
          <w:sz w:val="28"/>
          <w:szCs w:val="28"/>
          <w:lang w:val="uk-UA"/>
        </w:rPr>
        <w:t>інституціоналізацією</w:t>
      </w:r>
      <w:proofErr w:type="spellEnd"/>
      <w:r w:rsidRPr="00C068B0">
        <w:rPr>
          <w:rFonts w:ascii="Times New Roman" w:eastAsia="Calibri" w:hAnsi="Times New Roman" w:cs="Times New Roman"/>
          <w:sz w:val="28"/>
          <w:szCs w:val="28"/>
          <w:lang w:val="uk-UA"/>
        </w:rPr>
        <w:t xml:space="preserve"> каналів поширення, технологізацією методів впливу та інтеграцією з </w:t>
      </w:r>
      <w:proofErr w:type="spellStart"/>
      <w:r w:rsidRPr="00C068B0">
        <w:rPr>
          <w:rFonts w:ascii="Times New Roman" w:eastAsia="Calibri" w:hAnsi="Times New Roman" w:cs="Times New Roman"/>
          <w:sz w:val="28"/>
          <w:szCs w:val="28"/>
          <w:lang w:val="uk-UA"/>
        </w:rPr>
        <w:t>кіберопераціями</w:t>
      </w:r>
      <w:proofErr w:type="spellEnd"/>
      <w:r w:rsidRPr="00C068B0">
        <w:rPr>
          <w:rFonts w:ascii="Times New Roman" w:eastAsia="Calibri" w:hAnsi="Times New Roman" w:cs="Times New Roman"/>
          <w:sz w:val="28"/>
          <w:szCs w:val="28"/>
          <w:lang w:val="uk-UA"/>
        </w:rPr>
        <w:t xml:space="preserve">. Інформаційний вимір агресії супроводжував усі ключові </w:t>
      </w:r>
      <w:r w:rsidRPr="00C068B0">
        <w:rPr>
          <w:rFonts w:ascii="Times New Roman" w:eastAsia="Calibri" w:hAnsi="Times New Roman" w:cs="Times New Roman"/>
          <w:sz w:val="28"/>
          <w:szCs w:val="28"/>
          <w:lang w:val="uk-UA"/>
        </w:rPr>
        <w:lastRenderedPageBreak/>
        <w:t xml:space="preserve">етапи війни від </w:t>
      </w:r>
      <w:proofErr w:type="spellStart"/>
      <w:r w:rsidRPr="00C068B0">
        <w:rPr>
          <w:rFonts w:ascii="Times New Roman" w:eastAsia="Calibri" w:hAnsi="Times New Roman" w:cs="Times New Roman"/>
          <w:sz w:val="28"/>
          <w:szCs w:val="28"/>
          <w:lang w:val="uk-UA"/>
        </w:rPr>
        <w:t>делегітимації</w:t>
      </w:r>
      <w:proofErr w:type="spellEnd"/>
      <w:r w:rsidRPr="00C068B0">
        <w:rPr>
          <w:rFonts w:ascii="Times New Roman" w:eastAsia="Calibri" w:hAnsi="Times New Roman" w:cs="Times New Roman"/>
          <w:sz w:val="28"/>
          <w:szCs w:val="28"/>
          <w:lang w:val="uk-UA"/>
        </w:rPr>
        <w:t xml:space="preserve"> Революції Гідності до виправдання повномасштабного вторгнення, що підтверджує стратегічний характер інформаційних операцій РФ.</w:t>
      </w:r>
    </w:p>
    <w:p w14:paraId="47ECB9B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По-друге, доведено, що провідні російські інформаційні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виконують </w:t>
      </w:r>
      <w:proofErr w:type="spellStart"/>
      <w:r w:rsidRPr="00C068B0">
        <w:rPr>
          <w:rFonts w:ascii="Times New Roman" w:eastAsia="Calibri" w:hAnsi="Times New Roman" w:cs="Times New Roman"/>
          <w:sz w:val="28"/>
          <w:szCs w:val="28"/>
          <w:lang w:val="uk-UA"/>
        </w:rPr>
        <w:t>системоутворюючу</w:t>
      </w:r>
      <w:proofErr w:type="spellEnd"/>
      <w:r w:rsidRPr="00C068B0">
        <w:rPr>
          <w:rFonts w:ascii="Times New Roman" w:eastAsia="Calibri" w:hAnsi="Times New Roman" w:cs="Times New Roman"/>
          <w:sz w:val="28"/>
          <w:szCs w:val="28"/>
          <w:lang w:val="uk-UA"/>
        </w:rPr>
        <w:t xml:space="preserve"> функцію в архітектоніці інформаційної агресії.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про «штучність української державності», «єдиний народ», «зовнішнє управління», «нацизм», «громадянську війну» та «втому Заходу» не є випадковими чи ситуативними. Вони формують цілісну когнітивну рамку, спрямовану на </w:t>
      </w:r>
      <w:proofErr w:type="spellStart"/>
      <w:r w:rsidRPr="00C068B0">
        <w:rPr>
          <w:rFonts w:ascii="Times New Roman" w:eastAsia="Calibri" w:hAnsi="Times New Roman" w:cs="Times New Roman"/>
          <w:sz w:val="28"/>
          <w:szCs w:val="28"/>
          <w:lang w:val="uk-UA"/>
        </w:rPr>
        <w:t>делегітимацію</w:t>
      </w:r>
      <w:proofErr w:type="spellEnd"/>
      <w:r w:rsidRPr="00C068B0">
        <w:rPr>
          <w:rFonts w:ascii="Times New Roman" w:eastAsia="Calibri" w:hAnsi="Times New Roman" w:cs="Times New Roman"/>
          <w:sz w:val="28"/>
          <w:szCs w:val="28"/>
          <w:lang w:val="uk-UA"/>
        </w:rPr>
        <w:t xml:space="preserve"> українського суверенітету, підрив національної ідентичності, деморалізацію суспільства та ослаблення міжнародної підтримки України. Їхня адаптивність до різних аудиторій і політичних контекстів суттєво ускладнює процес протидії та потребує системного аналітичного підходу.</w:t>
      </w:r>
    </w:p>
    <w:p w14:paraId="5F9C69E8"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По-третє, аналіз української моделі інформаційного спротиву засвідчив її унікальний суспільно-державний характер. На відміну від централізованих моделей інформаційної безпеки, український спротив сформувався як мережа взаємодії державних інституцій, громадянського суспільства, незалежних медіа, експертних і волонтерських ініціатив. Така модель виявила високу адаптивність, здатність до самонавчання та ефективність в умовах реального конфлікту, компенсуючи початкову інституційну слабкість держави.</w:t>
      </w:r>
    </w:p>
    <w:p w14:paraId="0E97C26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По-четверте, обґрунтовано, що ключовими чинниками ефективності українського інформаційного спротиву стали орієнтація на правду й відкритість, розвиток стратегічних комунікацій, посилення ролі </w:t>
      </w:r>
      <w:proofErr w:type="spellStart"/>
      <w:r w:rsidRPr="00C068B0">
        <w:rPr>
          <w:rFonts w:ascii="Times New Roman" w:eastAsia="Calibri" w:hAnsi="Times New Roman" w:cs="Times New Roman"/>
          <w:sz w:val="28"/>
          <w:szCs w:val="28"/>
          <w:lang w:val="uk-UA"/>
        </w:rPr>
        <w:t>фактчекінгу</w:t>
      </w:r>
      <w:proofErr w:type="spellEnd"/>
      <w:r w:rsidRPr="00C068B0">
        <w:rPr>
          <w:rFonts w:ascii="Times New Roman" w:eastAsia="Calibri" w:hAnsi="Times New Roman" w:cs="Times New Roman"/>
          <w:sz w:val="28"/>
          <w:szCs w:val="28"/>
          <w:lang w:val="uk-UA"/>
        </w:rPr>
        <w:t xml:space="preserve">, а також формування культури критичного мислення та інформаційної гігієни. Перехід від реактивних дій до більш системної політики інформаційної безпеки дозволив зменшити внутрішній вплив ворожих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і водночас зберегти демократичний характер інформаційного простору.</w:t>
      </w:r>
    </w:p>
    <w:p w14:paraId="6F088F3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По-п’яте, виявлено, що інформаційне протистояння у російсько-українській війні має чітко виражений міжнародний вимір. Україна змогла сформувати альтернативний глобальний </w:t>
      </w:r>
      <w:proofErr w:type="spellStart"/>
      <w:r w:rsidRPr="00C068B0">
        <w:rPr>
          <w:rFonts w:ascii="Times New Roman" w:eastAsia="Calibri" w:hAnsi="Times New Roman" w:cs="Times New Roman"/>
          <w:sz w:val="28"/>
          <w:szCs w:val="28"/>
          <w:lang w:val="uk-UA"/>
        </w:rPr>
        <w:t>наратив</w:t>
      </w:r>
      <w:proofErr w:type="spellEnd"/>
      <w:r w:rsidRPr="00C068B0">
        <w:rPr>
          <w:rFonts w:ascii="Times New Roman" w:eastAsia="Calibri" w:hAnsi="Times New Roman" w:cs="Times New Roman"/>
          <w:sz w:val="28"/>
          <w:szCs w:val="28"/>
          <w:lang w:val="uk-UA"/>
        </w:rPr>
        <w:t xml:space="preserve"> війни як боротьби за </w:t>
      </w:r>
      <w:r w:rsidRPr="00C068B0">
        <w:rPr>
          <w:rFonts w:ascii="Times New Roman" w:eastAsia="Calibri" w:hAnsi="Times New Roman" w:cs="Times New Roman"/>
          <w:sz w:val="28"/>
          <w:szCs w:val="28"/>
          <w:lang w:val="uk-UA"/>
        </w:rPr>
        <w:lastRenderedPageBreak/>
        <w:t>суверенітет, демократію та міжнародний правопорядок, що стало важливим чинником збереження міжнародної солідарності та політичної підтримки. Водночас російська інформаційна агресія дедалі більше спрямовується на підрив єдності демократичних союзів, що підкреслює глобальний характер сучасних інформаційних конфліктів.</w:t>
      </w:r>
    </w:p>
    <w:p w14:paraId="30B6F685" w14:textId="77777777" w:rsidR="00B9696B" w:rsidRPr="00112B82" w:rsidRDefault="00B9696B">
      <w:pPr>
        <w:rPr>
          <w:rFonts w:ascii="Times New Roman" w:hAnsi="Times New Roman" w:cs="Times New Roman"/>
          <w:sz w:val="28"/>
          <w:szCs w:val="28"/>
          <w:lang w:val="uk-UA"/>
        </w:rPr>
      </w:pPr>
    </w:p>
    <w:p w14:paraId="2DAC23D7" w14:textId="77777777" w:rsidR="00B9696B" w:rsidRPr="00112B82" w:rsidRDefault="00B9696B">
      <w:pPr>
        <w:rPr>
          <w:rFonts w:ascii="Times New Roman" w:hAnsi="Times New Roman" w:cs="Times New Roman"/>
          <w:sz w:val="28"/>
          <w:szCs w:val="28"/>
          <w:lang w:val="uk-UA"/>
        </w:rPr>
      </w:pPr>
    </w:p>
    <w:p w14:paraId="35C4EF3F" w14:textId="77777777" w:rsidR="00B9696B" w:rsidRPr="00112B82" w:rsidRDefault="00B9696B">
      <w:pPr>
        <w:rPr>
          <w:rFonts w:ascii="Times New Roman" w:hAnsi="Times New Roman" w:cs="Times New Roman"/>
          <w:sz w:val="28"/>
          <w:szCs w:val="28"/>
          <w:lang w:val="uk-UA"/>
        </w:rPr>
      </w:pPr>
    </w:p>
    <w:p w14:paraId="2FAEEA77" w14:textId="77777777" w:rsidR="00B9696B" w:rsidRPr="00112B82" w:rsidRDefault="00B9696B">
      <w:pPr>
        <w:rPr>
          <w:rFonts w:ascii="Times New Roman" w:hAnsi="Times New Roman" w:cs="Times New Roman"/>
          <w:sz w:val="28"/>
          <w:szCs w:val="28"/>
          <w:lang w:val="uk-UA"/>
        </w:rPr>
      </w:pPr>
    </w:p>
    <w:p w14:paraId="2B9A58F9" w14:textId="77777777" w:rsidR="00B9696B" w:rsidRPr="00112B82" w:rsidRDefault="00B9696B">
      <w:pPr>
        <w:rPr>
          <w:rFonts w:ascii="Times New Roman" w:hAnsi="Times New Roman" w:cs="Times New Roman"/>
          <w:sz w:val="28"/>
          <w:szCs w:val="28"/>
          <w:lang w:val="uk-UA"/>
        </w:rPr>
      </w:pPr>
    </w:p>
    <w:p w14:paraId="4272F4C9" w14:textId="77777777" w:rsidR="00B9696B" w:rsidRPr="00112B82" w:rsidRDefault="00B9696B">
      <w:pPr>
        <w:rPr>
          <w:rFonts w:ascii="Times New Roman" w:hAnsi="Times New Roman" w:cs="Times New Roman"/>
          <w:sz w:val="28"/>
          <w:szCs w:val="28"/>
          <w:lang w:val="uk-UA"/>
        </w:rPr>
      </w:pPr>
    </w:p>
    <w:p w14:paraId="71CE6C48" w14:textId="77777777" w:rsidR="00B9696B" w:rsidRPr="00112B82" w:rsidRDefault="00B9696B">
      <w:pPr>
        <w:rPr>
          <w:rFonts w:ascii="Times New Roman" w:hAnsi="Times New Roman" w:cs="Times New Roman"/>
          <w:sz w:val="28"/>
          <w:szCs w:val="28"/>
          <w:lang w:val="uk-UA"/>
        </w:rPr>
      </w:pPr>
    </w:p>
    <w:p w14:paraId="4B3FBA92" w14:textId="77777777" w:rsidR="00B9696B" w:rsidRPr="00112B82" w:rsidRDefault="00B9696B">
      <w:pPr>
        <w:rPr>
          <w:rFonts w:ascii="Times New Roman" w:hAnsi="Times New Roman" w:cs="Times New Roman"/>
          <w:sz w:val="28"/>
          <w:szCs w:val="28"/>
          <w:lang w:val="uk-UA"/>
        </w:rPr>
      </w:pPr>
    </w:p>
    <w:p w14:paraId="06F0F7D6" w14:textId="77777777" w:rsidR="00B9696B" w:rsidRPr="00112B82" w:rsidRDefault="00B9696B">
      <w:pPr>
        <w:rPr>
          <w:rFonts w:ascii="Times New Roman" w:hAnsi="Times New Roman" w:cs="Times New Roman"/>
          <w:sz w:val="28"/>
          <w:szCs w:val="28"/>
          <w:lang w:val="uk-UA"/>
        </w:rPr>
      </w:pPr>
    </w:p>
    <w:p w14:paraId="40776949" w14:textId="77777777" w:rsidR="00B9696B" w:rsidRPr="00112B82" w:rsidRDefault="00B9696B">
      <w:pPr>
        <w:rPr>
          <w:rFonts w:ascii="Times New Roman" w:hAnsi="Times New Roman" w:cs="Times New Roman"/>
          <w:sz w:val="28"/>
          <w:szCs w:val="28"/>
          <w:lang w:val="uk-UA"/>
        </w:rPr>
      </w:pPr>
    </w:p>
    <w:p w14:paraId="17F8CE7C" w14:textId="77777777" w:rsidR="00B9696B" w:rsidRPr="00112B82" w:rsidRDefault="00B9696B">
      <w:pPr>
        <w:rPr>
          <w:rFonts w:ascii="Times New Roman" w:hAnsi="Times New Roman" w:cs="Times New Roman"/>
          <w:sz w:val="28"/>
          <w:szCs w:val="28"/>
          <w:lang w:val="uk-UA"/>
        </w:rPr>
      </w:pPr>
    </w:p>
    <w:p w14:paraId="5066D7CA" w14:textId="77777777" w:rsidR="00B9696B" w:rsidRPr="00112B82" w:rsidRDefault="00B9696B">
      <w:pPr>
        <w:rPr>
          <w:rFonts w:ascii="Times New Roman" w:hAnsi="Times New Roman" w:cs="Times New Roman"/>
          <w:sz w:val="28"/>
          <w:szCs w:val="28"/>
          <w:lang w:val="uk-UA"/>
        </w:rPr>
      </w:pPr>
    </w:p>
    <w:p w14:paraId="564C5475" w14:textId="77777777" w:rsidR="00B9696B" w:rsidRPr="00112B82" w:rsidRDefault="00B9696B">
      <w:pPr>
        <w:rPr>
          <w:rFonts w:ascii="Times New Roman" w:hAnsi="Times New Roman" w:cs="Times New Roman"/>
          <w:sz w:val="28"/>
          <w:szCs w:val="28"/>
          <w:lang w:val="uk-UA"/>
        </w:rPr>
      </w:pPr>
    </w:p>
    <w:p w14:paraId="3FD82D2F" w14:textId="77777777" w:rsidR="00B9696B" w:rsidRPr="00112B82" w:rsidRDefault="00B9696B">
      <w:pPr>
        <w:rPr>
          <w:rFonts w:ascii="Times New Roman" w:hAnsi="Times New Roman" w:cs="Times New Roman"/>
          <w:sz w:val="28"/>
          <w:szCs w:val="28"/>
          <w:lang w:val="uk-UA"/>
        </w:rPr>
      </w:pPr>
    </w:p>
    <w:p w14:paraId="31E86F2C" w14:textId="77777777" w:rsidR="00B9696B" w:rsidRPr="00112B82" w:rsidRDefault="00B9696B">
      <w:pPr>
        <w:rPr>
          <w:rFonts w:ascii="Times New Roman" w:hAnsi="Times New Roman" w:cs="Times New Roman"/>
          <w:sz w:val="28"/>
          <w:szCs w:val="28"/>
          <w:lang w:val="uk-UA"/>
        </w:rPr>
      </w:pPr>
    </w:p>
    <w:p w14:paraId="6DD0CBB1" w14:textId="77777777" w:rsidR="00B9696B" w:rsidRPr="00112B82" w:rsidRDefault="00B9696B">
      <w:pPr>
        <w:rPr>
          <w:rFonts w:ascii="Times New Roman" w:hAnsi="Times New Roman" w:cs="Times New Roman"/>
          <w:sz w:val="28"/>
          <w:szCs w:val="28"/>
          <w:lang w:val="uk-UA"/>
        </w:rPr>
      </w:pPr>
    </w:p>
    <w:p w14:paraId="2AD2102A" w14:textId="77777777" w:rsidR="00B9696B" w:rsidRPr="00112B82" w:rsidRDefault="00B9696B">
      <w:pPr>
        <w:rPr>
          <w:rFonts w:ascii="Times New Roman" w:hAnsi="Times New Roman" w:cs="Times New Roman"/>
          <w:sz w:val="28"/>
          <w:szCs w:val="28"/>
          <w:lang w:val="uk-UA"/>
        </w:rPr>
      </w:pPr>
    </w:p>
    <w:p w14:paraId="6C7E1A8C" w14:textId="77777777" w:rsidR="00B9696B" w:rsidRPr="00112B82" w:rsidRDefault="00B9696B">
      <w:pPr>
        <w:rPr>
          <w:rFonts w:ascii="Times New Roman" w:hAnsi="Times New Roman" w:cs="Times New Roman"/>
          <w:sz w:val="28"/>
          <w:szCs w:val="28"/>
          <w:lang w:val="uk-UA"/>
        </w:rPr>
      </w:pPr>
    </w:p>
    <w:p w14:paraId="2BCD3F60" w14:textId="77777777" w:rsidR="00B9696B" w:rsidRPr="00112B82" w:rsidRDefault="00B9696B">
      <w:pPr>
        <w:rPr>
          <w:rFonts w:ascii="Times New Roman" w:hAnsi="Times New Roman" w:cs="Times New Roman"/>
          <w:sz w:val="28"/>
          <w:szCs w:val="28"/>
          <w:lang w:val="uk-UA"/>
        </w:rPr>
      </w:pPr>
    </w:p>
    <w:p w14:paraId="6BF1DD66" w14:textId="77777777" w:rsidR="00B9696B" w:rsidRPr="00112B82" w:rsidRDefault="00B9696B">
      <w:pPr>
        <w:rPr>
          <w:rFonts w:ascii="Times New Roman" w:hAnsi="Times New Roman" w:cs="Times New Roman"/>
          <w:sz w:val="28"/>
          <w:szCs w:val="28"/>
          <w:lang w:val="uk-UA"/>
        </w:rPr>
      </w:pPr>
    </w:p>
    <w:p w14:paraId="5A8AC800" w14:textId="77777777" w:rsidR="00B9696B" w:rsidRPr="00112B82" w:rsidRDefault="00B9696B">
      <w:pPr>
        <w:rPr>
          <w:rFonts w:ascii="Times New Roman" w:hAnsi="Times New Roman" w:cs="Times New Roman"/>
          <w:sz w:val="28"/>
          <w:szCs w:val="28"/>
          <w:lang w:val="uk-UA"/>
        </w:rPr>
      </w:pPr>
    </w:p>
    <w:p w14:paraId="7B18F507" w14:textId="77777777" w:rsidR="006607F7" w:rsidRPr="00112B82" w:rsidRDefault="006607F7">
      <w:pPr>
        <w:rPr>
          <w:rFonts w:ascii="Times New Roman" w:hAnsi="Times New Roman" w:cs="Times New Roman"/>
          <w:sz w:val="28"/>
          <w:szCs w:val="28"/>
          <w:lang w:val="uk-UA"/>
        </w:rPr>
      </w:pPr>
    </w:p>
    <w:p w14:paraId="2BD50B2D" w14:textId="77777777" w:rsidR="00C068B0" w:rsidRPr="00C068B0" w:rsidRDefault="00C068B0" w:rsidP="00C068B0">
      <w:pPr>
        <w:spacing w:after="0" w:line="360" w:lineRule="auto"/>
        <w:ind w:firstLine="567"/>
        <w:jc w:val="center"/>
        <w:rPr>
          <w:rFonts w:ascii="Times New Roman" w:eastAsia="Calibri" w:hAnsi="Times New Roman" w:cs="Times New Roman"/>
          <w:b/>
          <w:bCs/>
          <w:sz w:val="28"/>
          <w:szCs w:val="28"/>
          <w:lang w:val="uk-UA"/>
        </w:rPr>
      </w:pPr>
      <w:r w:rsidRPr="00C068B0">
        <w:rPr>
          <w:rFonts w:ascii="Times New Roman" w:eastAsia="Calibri" w:hAnsi="Times New Roman" w:cs="Times New Roman"/>
          <w:b/>
          <w:bCs/>
          <w:sz w:val="28"/>
          <w:szCs w:val="28"/>
          <w:lang w:val="uk-UA"/>
        </w:rPr>
        <w:lastRenderedPageBreak/>
        <w:t>ВИСНОВКИ</w:t>
      </w:r>
    </w:p>
    <w:p w14:paraId="271A8967" w14:textId="77777777" w:rsidR="00C068B0" w:rsidRPr="00C068B0" w:rsidRDefault="00C068B0" w:rsidP="00C068B0">
      <w:pPr>
        <w:spacing w:after="0" w:line="360" w:lineRule="auto"/>
        <w:ind w:firstLine="567"/>
        <w:jc w:val="center"/>
        <w:rPr>
          <w:rFonts w:ascii="Times New Roman" w:eastAsia="Calibri" w:hAnsi="Times New Roman" w:cs="Times New Roman"/>
          <w:b/>
          <w:bCs/>
          <w:sz w:val="28"/>
          <w:szCs w:val="28"/>
          <w:lang w:val="uk-UA"/>
        </w:rPr>
      </w:pPr>
    </w:p>
    <w:p w14:paraId="4015F5E8"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 Комплексний політико-науковий аналіз феномену інформаційних війн сучасності як специфічної форми політичного та гібридного протиборства дозволяє сформулювати низку узагальнюючих висновків теоретичного та прикладного характеру.</w:t>
      </w:r>
    </w:p>
    <w:p w14:paraId="258795AE"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Насамперед встановлено, що інформаційна війна в сучасному науковому дискурсі постає як багатовимірний, динамічний і міждисциплінарний феномен, який не зводиться ані до пропаганди, ані до психологічних операцій чи кібернетичних атак у вузькому розумінні. Вона є цілісним процесом цілеспрямованого впливу на інформаційний простір, когнітивну сферу та політичну поведінку суспільства з метою досягнення стратегічних політичних, геополітичних і безпекових цілей. Інформаційна війна дедалі частіше розгортається як перманентний стан міжнародних і внутрішньополітичних відносин, змінюючи лише інтенсивність, інструментарій та масштаби, що свідчить про трансформацію самої природи сучасних конфліктів.</w:t>
      </w:r>
    </w:p>
    <w:p w14:paraId="5D860A3A"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Доведено, що в умовах гібридних конфліктів інформаційна війна виконує </w:t>
      </w:r>
      <w:proofErr w:type="spellStart"/>
      <w:r w:rsidRPr="00C068B0">
        <w:rPr>
          <w:rFonts w:ascii="Times New Roman" w:eastAsia="Calibri" w:hAnsi="Times New Roman" w:cs="Times New Roman"/>
          <w:sz w:val="28"/>
          <w:szCs w:val="28"/>
          <w:lang w:val="uk-UA"/>
        </w:rPr>
        <w:t>системоутворюючу</w:t>
      </w:r>
      <w:proofErr w:type="spellEnd"/>
      <w:r w:rsidRPr="00C068B0">
        <w:rPr>
          <w:rFonts w:ascii="Times New Roman" w:eastAsia="Calibri" w:hAnsi="Times New Roman" w:cs="Times New Roman"/>
          <w:sz w:val="28"/>
          <w:szCs w:val="28"/>
          <w:lang w:val="uk-UA"/>
        </w:rPr>
        <w:t xml:space="preserve"> функцію, інтегруючи військові та невійськові засоби впливу в єдину стратегію протиборства. Саме через інформаційний вимір забезпечується формування сприятливого політико-психологічного середовища для реалізації інших компонентів гібридної агресії, зокрема економічного тиску, дипломатичних маніпуляцій і збройного насилля. Інформаційний вплив у таких конфліктах має превентивний, супровідний і </w:t>
      </w:r>
      <w:proofErr w:type="spellStart"/>
      <w:r w:rsidRPr="00C068B0">
        <w:rPr>
          <w:rFonts w:ascii="Times New Roman" w:eastAsia="Calibri" w:hAnsi="Times New Roman" w:cs="Times New Roman"/>
          <w:sz w:val="28"/>
          <w:szCs w:val="28"/>
          <w:lang w:val="uk-UA"/>
        </w:rPr>
        <w:t>постконфліктний</w:t>
      </w:r>
      <w:proofErr w:type="spellEnd"/>
      <w:r w:rsidRPr="00C068B0">
        <w:rPr>
          <w:rFonts w:ascii="Times New Roman" w:eastAsia="Calibri" w:hAnsi="Times New Roman" w:cs="Times New Roman"/>
          <w:sz w:val="28"/>
          <w:szCs w:val="28"/>
          <w:lang w:val="uk-UA"/>
        </w:rPr>
        <w:t xml:space="preserve"> характер, що дозволяє розглядати його як довготривалий інструмент дестабілізації політичних систем і суспільств.</w:t>
      </w:r>
    </w:p>
    <w:p w14:paraId="7A4340FD"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У ході дослідження архітектоніки інформаційної війни обґрунтовано доцільність її аналізу через поєднання трьох взаємопов’язаних рівнів: інструментального, процесуально-когнітивного та політико-поведінкового. Встановлено, що інструментальний рівень охоплює широкий спектр засобів впливу — від традиційних і цифрових медіа до </w:t>
      </w:r>
      <w:proofErr w:type="spellStart"/>
      <w:r w:rsidRPr="00C068B0">
        <w:rPr>
          <w:rFonts w:ascii="Times New Roman" w:eastAsia="Calibri" w:hAnsi="Times New Roman" w:cs="Times New Roman"/>
          <w:sz w:val="28"/>
          <w:szCs w:val="28"/>
          <w:lang w:val="uk-UA"/>
        </w:rPr>
        <w:t>дезінформаційних</w:t>
      </w:r>
      <w:proofErr w:type="spellEnd"/>
      <w:r w:rsidRPr="00C068B0">
        <w:rPr>
          <w:rFonts w:ascii="Times New Roman" w:eastAsia="Calibri" w:hAnsi="Times New Roman" w:cs="Times New Roman"/>
          <w:sz w:val="28"/>
          <w:szCs w:val="28"/>
          <w:lang w:val="uk-UA"/>
        </w:rPr>
        <w:t xml:space="preserve"> кампаній, </w:t>
      </w:r>
      <w:r w:rsidRPr="00C068B0">
        <w:rPr>
          <w:rFonts w:ascii="Times New Roman" w:eastAsia="Calibri" w:hAnsi="Times New Roman" w:cs="Times New Roman"/>
          <w:sz w:val="28"/>
          <w:szCs w:val="28"/>
          <w:lang w:val="uk-UA"/>
        </w:rPr>
        <w:lastRenderedPageBreak/>
        <w:t xml:space="preserve">пропаганди, психологічних операцій, </w:t>
      </w:r>
      <w:proofErr w:type="spellStart"/>
      <w:r w:rsidRPr="00C068B0">
        <w:rPr>
          <w:rFonts w:ascii="Times New Roman" w:eastAsia="Calibri" w:hAnsi="Times New Roman" w:cs="Times New Roman"/>
          <w:sz w:val="28"/>
          <w:szCs w:val="28"/>
          <w:lang w:val="uk-UA"/>
        </w:rPr>
        <w:t>кіберзасобів</w:t>
      </w:r>
      <w:proofErr w:type="spellEnd"/>
      <w:r w:rsidRPr="00C068B0">
        <w:rPr>
          <w:rFonts w:ascii="Times New Roman" w:eastAsia="Calibri" w:hAnsi="Times New Roman" w:cs="Times New Roman"/>
          <w:sz w:val="28"/>
          <w:szCs w:val="28"/>
          <w:lang w:val="uk-UA"/>
        </w:rPr>
        <w:t xml:space="preserve"> і мереж ботів, які постійно еволюціонують під впливом </w:t>
      </w:r>
      <w:proofErr w:type="spellStart"/>
      <w:r w:rsidRPr="00C068B0">
        <w:rPr>
          <w:rFonts w:ascii="Times New Roman" w:eastAsia="Calibri" w:hAnsi="Times New Roman" w:cs="Times New Roman"/>
          <w:sz w:val="28"/>
          <w:szCs w:val="28"/>
          <w:lang w:val="uk-UA"/>
        </w:rPr>
        <w:t>цифровізації</w:t>
      </w:r>
      <w:proofErr w:type="spellEnd"/>
      <w:r w:rsidRPr="00C068B0">
        <w:rPr>
          <w:rFonts w:ascii="Times New Roman" w:eastAsia="Calibri" w:hAnsi="Times New Roman" w:cs="Times New Roman"/>
          <w:sz w:val="28"/>
          <w:szCs w:val="28"/>
          <w:lang w:val="uk-UA"/>
        </w:rPr>
        <w:t xml:space="preserve"> та алгоритмізації комунікацій. Процесуально-когнітивний рівень пов’язаний із механізмами формування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маніпулювання інтерпретаціями подій, конструювання альтернативних картин реальності та впливу на систему цінностей і переконань. Політико-поведінковий рівень відображає наслідки інформаційних війн у вигляді </w:t>
      </w:r>
      <w:proofErr w:type="spellStart"/>
      <w:r w:rsidRPr="00C068B0">
        <w:rPr>
          <w:rFonts w:ascii="Times New Roman" w:eastAsia="Calibri" w:hAnsi="Times New Roman" w:cs="Times New Roman"/>
          <w:sz w:val="28"/>
          <w:szCs w:val="28"/>
          <w:lang w:val="uk-UA"/>
        </w:rPr>
        <w:t>делегітимації</w:t>
      </w:r>
      <w:proofErr w:type="spellEnd"/>
      <w:r w:rsidRPr="00C068B0">
        <w:rPr>
          <w:rFonts w:ascii="Times New Roman" w:eastAsia="Calibri" w:hAnsi="Times New Roman" w:cs="Times New Roman"/>
          <w:sz w:val="28"/>
          <w:szCs w:val="28"/>
          <w:lang w:val="uk-UA"/>
        </w:rPr>
        <w:t xml:space="preserve"> влади, поляризації суспільства, трансформації політичної участі та зниження довіри до державних інститутів.</w:t>
      </w:r>
    </w:p>
    <w:p w14:paraId="012115A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Обґрунтовано, що інформаційні війни мають виразно асиметричний характер і створюють умови, за яких недержавні актори, медіа-структури та мережеві спільноти можуть виступати рівнозначними або навіть домінуючими суб’єктами інформаційного протиборства, що суттєво ускладнює традиційні підходи до безпеки та вимагає перегляду ролі держави як єдиного гаранта захисту інформаційного простору.</w:t>
      </w:r>
    </w:p>
    <w:p w14:paraId="6D48AFA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Аналіз державних і суспільних механізмів протидії інформаційним війнам засвідчив, що інформаційна безпека в сучасних умовах не може обмежуватися суто технічним або нормативно-правовим виміром. Вона постає як комплексний міждисциплінарний конструкт, що поєднує правові, політичні, соціальні, комунікативні та культурні компоненти. Визначено, що найбільш ефективною є інтегрована модель інформаційної безпеки, яка поєднує державну політику, стратегічні комунікації, інституційну спроможність, розвиток критичного мислення та інформаційної гігієни громадян. Особливого значення набуває баланс між забезпеченням національної безпеки та збереженням демократичних принципів свободи слова й відкритості інформаційного простору.</w:t>
      </w:r>
    </w:p>
    <w:p w14:paraId="1887DA3D"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У межах роботи доведено, що критичне мислення та інформаційна гігієна громадян є не допоміжними, а ключовими чинниками формування інформаційної стійкості суспільства. Саме здатність громадян до рефлексивного аналізу інформації, розпізнавання маніпуляцій і відповідального споживання </w:t>
      </w:r>
      <w:proofErr w:type="spellStart"/>
      <w:r w:rsidRPr="00C068B0">
        <w:rPr>
          <w:rFonts w:ascii="Times New Roman" w:eastAsia="Calibri" w:hAnsi="Times New Roman" w:cs="Times New Roman"/>
          <w:sz w:val="28"/>
          <w:szCs w:val="28"/>
          <w:lang w:val="uk-UA"/>
        </w:rPr>
        <w:t>медіаконтенту</w:t>
      </w:r>
      <w:proofErr w:type="spellEnd"/>
      <w:r w:rsidRPr="00C068B0">
        <w:rPr>
          <w:rFonts w:ascii="Times New Roman" w:eastAsia="Calibri" w:hAnsi="Times New Roman" w:cs="Times New Roman"/>
          <w:sz w:val="28"/>
          <w:szCs w:val="28"/>
          <w:lang w:val="uk-UA"/>
        </w:rPr>
        <w:t xml:space="preserve"> знижує ефективність </w:t>
      </w:r>
      <w:proofErr w:type="spellStart"/>
      <w:r w:rsidRPr="00C068B0">
        <w:rPr>
          <w:rFonts w:ascii="Times New Roman" w:eastAsia="Calibri" w:hAnsi="Times New Roman" w:cs="Times New Roman"/>
          <w:sz w:val="28"/>
          <w:szCs w:val="28"/>
          <w:lang w:val="uk-UA"/>
        </w:rPr>
        <w:lastRenderedPageBreak/>
        <w:t>дезінформаційних</w:t>
      </w:r>
      <w:proofErr w:type="spellEnd"/>
      <w:r w:rsidRPr="00C068B0">
        <w:rPr>
          <w:rFonts w:ascii="Times New Roman" w:eastAsia="Calibri" w:hAnsi="Times New Roman" w:cs="Times New Roman"/>
          <w:sz w:val="28"/>
          <w:szCs w:val="28"/>
          <w:lang w:val="uk-UA"/>
        </w:rPr>
        <w:t xml:space="preserve"> кампаній і посилює демократичну стабільність держави в умовах гібридних загроз.</w:t>
      </w:r>
    </w:p>
    <w:p w14:paraId="2ECC0E22"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Особливу увагу в дослідженні приділено аналізу російсько-української війни як репрезентативного кейсу сучасного інформаційного протистояння. Встановлено, що інформаційна війна Російської Федерації проти України у 2014–2025 рр. пройшла кілька етапів еволюції від </w:t>
      </w:r>
      <w:proofErr w:type="spellStart"/>
      <w:r w:rsidRPr="00C068B0">
        <w:rPr>
          <w:rFonts w:ascii="Times New Roman" w:eastAsia="Calibri" w:hAnsi="Times New Roman" w:cs="Times New Roman"/>
          <w:sz w:val="28"/>
          <w:szCs w:val="28"/>
          <w:lang w:val="uk-UA"/>
        </w:rPr>
        <w:t>делегітимації</w:t>
      </w:r>
      <w:proofErr w:type="spellEnd"/>
      <w:r w:rsidRPr="00C068B0">
        <w:rPr>
          <w:rFonts w:ascii="Times New Roman" w:eastAsia="Calibri" w:hAnsi="Times New Roman" w:cs="Times New Roman"/>
          <w:sz w:val="28"/>
          <w:szCs w:val="28"/>
          <w:lang w:val="uk-UA"/>
        </w:rPr>
        <w:t xml:space="preserve"> Євромайдану та виправдання анексії Криму до глобалізованих інформаційно-кібернетичних операцій у період повномасштабного вторгнення. Інформаційний вимір агресії супроводжував усі фази конфлікту, поступово перетворившись на самостійний фронт геополітичного протистояння.</w:t>
      </w:r>
    </w:p>
    <w:p w14:paraId="6546FC20"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Доведено, що провідні російські інформаційні </w:t>
      </w:r>
      <w:proofErr w:type="spellStart"/>
      <w:r w:rsidRPr="00C068B0">
        <w:rPr>
          <w:rFonts w:ascii="Times New Roman" w:eastAsia="Calibri" w:hAnsi="Times New Roman" w:cs="Times New Roman"/>
          <w:sz w:val="28"/>
          <w:szCs w:val="28"/>
          <w:lang w:val="uk-UA"/>
        </w:rPr>
        <w:t>наративи</w:t>
      </w:r>
      <w:proofErr w:type="spellEnd"/>
      <w:r w:rsidRPr="00C068B0">
        <w:rPr>
          <w:rFonts w:ascii="Times New Roman" w:eastAsia="Calibri" w:hAnsi="Times New Roman" w:cs="Times New Roman"/>
          <w:sz w:val="28"/>
          <w:szCs w:val="28"/>
          <w:lang w:val="uk-UA"/>
        </w:rPr>
        <w:t xml:space="preserve">  виконують системну функцію в архітектоніці інформаційної агресії. Вони спрямовані не лише на зовнішню аудиторію, але й на підрив внутрішньої соціальної єдності, деморалізацію населення та </w:t>
      </w:r>
      <w:proofErr w:type="spellStart"/>
      <w:r w:rsidRPr="00C068B0">
        <w:rPr>
          <w:rFonts w:ascii="Times New Roman" w:eastAsia="Calibri" w:hAnsi="Times New Roman" w:cs="Times New Roman"/>
          <w:sz w:val="28"/>
          <w:szCs w:val="28"/>
          <w:lang w:val="uk-UA"/>
        </w:rPr>
        <w:t>делегітимацію</w:t>
      </w:r>
      <w:proofErr w:type="spellEnd"/>
      <w:r w:rsidRPr="00C068B0">
        <w:rPr>
          <w:rFonts w:ascii="Times New Roman" w:eastAsia="Calibri" w:hAnsi="Times New Roman" w:cs="Times New Roman"/>
          <w:sz w:val="28"/>
          <w:szCs w:val="28"/>
          <w:lang w:val="uk-UA"/>
        </w:rPr>
        <w:t xml:space="preserve"> української держави як суб’єкта міжнародних відносин. Адаптивність цих </w:t>
      </w:r>
      <w:proofErr w:type="spellStart"/>
      <w:r w:rsidRPr="00C068B0">
        <w:rPr>
          <w:rFonts w:ascii="Times New Roman" w:eastAsia="Calibri" w:hAnsi="Times New Roman" w:cs="Times New Roman"/>
          <w:sz w:val="28"/>
          <w:szCs w:val="28"/>
          <w:lang w:val="uk-UA"/>
        </w:rPr>
        <w:t>наративів</w:t>
      </w:r>
      <w:proofErr w:type="spellEnd"/>
      <w:r w:rsidRPr="00C068B0">
        <w:rPr>
          <w:rFonts w:ascii="Times New Roman" w:eastAsia="Calibri" w:hAnsi="Times New Roman" w:cs="Times New Roman"/>
          <w:sz w:val="28"/>
          <w:szCs w:val="28"/>
          <w:lang w:val="uk-UA"/>
        </w:rPr>
        <w:t xml:space="preserve"> до змін воєнної та політичної ситуації підтверджує їхній стратегічний, а не ситуативний характер.</w:t>
      </w:r>
    </w:p>
    <w:p w14:paraId="6F43464B"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 xml:space="preserve">Водночас у ході дослідження встановлено, що російсько-українська війна сприяла формуванню унікальної української моделі інформаційного спротиву, яка поєднує державні інституції, громадянське суспільство, незалежні медіа, експертні спільноти та волонтерські ініціативи. Ця модель характеризується </w:t>
      </w:r>
      <w:proofErr w:type="spellStart"/>
      <w:r w:rsidRPr="00C068B0">
        <w:rPr>
          <w:rFonts w:ascii="Times New Roman" w:eastAsia="Calibri" w:hAnsi="Times New Roman" w:cs="Times New Roman"/>
          <w:sz w:val="28"/>
          <w:szCs w:val="28"/>
          <w:lang w:val="uk-UA"/>
        </w:rPr>
        <w:t>мережевістю</w:t>
      </w:r>
      <w:proofErr w:type="spellEnd"/>
      <w:r w:rsidRPr="00C068B0">
        <w:rPr>
          <w:rFonts w:ascii="Times New Roman" w:eastAsia="Calibri" w:hAnsi="Times New Roman" w:cs="Times New Roman"/>
          <w:sz w:val="28"/>
          <w:szCs w:val="28"/>
          <w:lang w:val="uk-UA"/>
        </w:rPr>
        <w:t>, гнучкістю та високою адаптивністю, що дозволило суттєво знизити внутрішній вплив ворожих інформаційних кампаній і водночас зберегти демократичний характер інформаційного простору.</w:t>
      </w:r>
    </w:p>
    <w:p w14:paraId="02EC8FF4"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r w:rsidRPr="00C068B0">
        <w:rPr>
          <w:rFonts w:ascii="Times New Roman" w:eastAsia="Calibri" w:hAnsi="Times New Roman" w:cs="Times New Roman"/>
          <w:sz w:val="28"/>
          <w:szCs w:val="28"/>
          <w:lang w:val="uk-UA"/>
        </w:rPr>
        <w:t>Перспективи подальших наукових досліджень пов’язані з поглибленим аналізом трансформації інформаційних війн у контексті штучного інтелекту, алгоритмічного управління інформаційними потоками та зміни ролі держави в цифровому середовищі, що відкриває нові напрями для розвитку політичної науки й безпекових студій.</w:t>
      </w:r>
    </w:p>
    <w:p w14:paraId="485B3BE9" w14:textId="77777777" w:rsidR="00C068B0" w:rsidRPr="00C068B0" w:rsidRDefault="00C068B0" w:rsidP="00C068B0">
      <w:pPr>
        <w:spacing w:after="0" w:line="360" w:lineRule="auto"/>
        <w:ind w:firstLine="567"/>
        <w:jc w:val="both"/>
        <w:rPr>
          <w:rFonts w:ascii="Times New Roman" w:eastAsia="Calibri" w:hAnsi="Times New Roman" w:cs="Times New Roman"/>
          <w:sz w:val="28"/>
          <w:szCs w:val="28"/>
          <w:lang w:val="uk-UA"/>
        </w:rPr>
      </w:pPr>
    </w:p>
    <w:p w14:paraId="107C1FFD" w14:textId="4DFA125F" w:rsidR="001A34BB" w:rsidRPr="00112B82" w:rsidRDefault="00462659" w:rsidP="00C068B0">
      <w:pPr>
        <w:spacing w:line="259" w:lineRule="auto"/>
        <w:jc w:val="center"/>
        <w:rPr>
          <w:rFonts w:ascii="Times New Roman" w:hAnsi="Times New Roman" w:cs="Times New Roman"/>
          <w:b/>
          <w:sz w:val="28"/>
          <w:szCs w:val="28"/>
          <w:lang w:val="uk-UA"/>
        </w:rPr>
      </w:pPr>
      <w:r w:rsidRPr="00112B82">
        <w:rPr>
          <w:rFonts w:ascii="Times New Roman" w:hAnsi="Times New Roman" w:cs="Times New Roman"/>
          <w:b/>
          <w:sz w:val="28"/>
          <w:szCs w:val="28"/>
          <w:lang w:val="uk-UA"/>
        </w:rPr>
        <w:lastRenderedPageBreak/>
        <w:t>СПИСОК ВИКОРИСТАНИХ ДЖЕРЕЛ</w:t>
      </w:r>
    </w:p>
    <w:p w14:paraId="2DB089D8" w14:textId="77777777" w:rsidR="00233185" w:rsidRPr="00233185" w:rsidRDefault="00233185" w:rsidP="00233185">
      <w:pPr>
        <w:spacing w:after="0" w:line="360" w:lineRule="auto"/>
        <w:ind w:firstLine="567"/>
        <w:jc w:val="both"/>
        <w:rPr>
          <w:rFonts w:ascii="Times New Roman" w:eastAsia="Calibri" w:hAnsi="Times New Roman" w:cs="Times New Roman"/>
          <w:sz w:val="28"/>
          <w:szCs w:val="28"/>
          <w:lang w:val="uk-UA"/>
        </w:rPr>
      </w:pPr>
    </w:p>
    <w:p w14:paraId="68A4F0DE"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Агентство відновлення. (2022, 28 липня). </w:t>
      </w:r>
      <w:r w:rsidRPr="00233185">
        <w:rPr>
          <w:rFonts w:ascii="Times New Roman" w:eastAsia="Calibri" w:hAnsi="Times New Roman" w:cs="Times New Roman"/>
          <w:i/>
          <w:iCs/>
          <w:sz w:val="28"/>
          <w:szCs w:val="28"/>
          <w:lang w:val="uk-UA"/>
        </w:rPr>
        <w:t>Сьогодні Україна вперше відзначає День Української Державності</w:t>
      </w:r>
      <w:r w:rsidRPr="00233185">
        <w:rPr>
          <w:rFonts w:ascii="Times New Roman" w:eastAsia="Calibri" w:hAnsi="Times New Roman" w:cs="Times New Roman"/>
          <w:sz w:val="28"/>
          <w:szCs w:val="28"/>
          <w:lang w:val="uk-UA"/>
        </w:rPr>
        <w:t xml:space="preserve">. </w:t>
      </w:r>
      <w:hyperlink r:id="rId8" w:history="1">
        <w:r w:rsidRPr="00233185">
          <w:rPr>
            <w:rFonts w:ascii="Times New Roman" w:eastAsia="Calibri" w:hAnsi="Times New Roman" w:cs="Times New Roman"/>
            <w:color w:val="0563C1" w:themeColor="hyperlink"/>
            <w:sz w:val="28"/>
            <w:szCs w:val="28"/>
            <w:u w:val="single"/>
            <w:lang w:val="uk-UA"/>
          </w:rPr>
          <w:t>https://restoration.gov.ua/blog/sogodni-ukrayina-vpershe-vidznachaye-den-ukrayinskoyi-derzhavnosti/</w:t>
        </w:r>
      </w:hyperlink>
    </w:p>
    <w:p w14:paraId="1AB966D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Архипов, О. Є., &amp; Архипова, Є. О. (2014). Особливості розуміння понять «інформаційна безпека» та «безпека інформації». У </w:t>
      </w:r>
      <w:proofErr w:type="spellStart"/>
      <w:r w:rsidRPr="00233185">
        <w:rPr>
          <w:rFonts w:ascii="Times New Roman" w:eastAsia="Calibri" w:hAnsi="Times New Roman" w:cs="Times New Roman"/>
          <w:i/>
          <w:iCs/>
          <w:sz w:val="28"/>
          <w:szCs w:val="28"/>
          <w:lang w:val="uk-UA"/>
        </w:rPr>
        <w:t>Информационные</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технологии</w:t>
      </w:r>
      <w:proofErr w:type="spellEnd"/>
      <w:r w:rsidRPr="00233185">
        <w:rPr>
          <w:rFonts w:ascii="Times New Roman" w:eastAsia="Calibri" w:hAnsi="Times New Roman" w:cs="Times New Roman"/>
          <w:i/>
          <w:iCs/>
          <w:sz w:val="28"/>
          <w:szCs w:val="28"/>
          <w:lang w:val="uk-UA"/>
        </w:rPr>
        <w:t xml:space="preserve"> и </w:t>
      </w:r>
      <w:proofErr w:type="spellStart"/>
      <w:r w:rsidRPr="00233185">
        <w:rPr>
          <w:rFonts w:ascii="Times New Roman" w:eastAsia="Calibri" w:hAnsi="Times New Roman" w:cs="Times New Roman"/>
          <w:i/>
          <w:iCs/>
          <w:sz w:val="28"/>
          <w:szCs w:val="28"/>
          <w:lang w:val="uk-UA"/>
        </w:rPr>
        <w:t>безопасность</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основы</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обеспечения</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информационной</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безопасности</w:t>
      </w:r>
      <w:proofErr w:type="spellEnd"/>
      <w:r w:rsidRPr="00233185">
        <w:rPr>
          <w:rFonts w:ascii="Times New Roman" w:eastAsia="Calibri" w:hAnsi="Times New Roman" w:cs="Times New Roman"/>
          <w:i/>
          <w:iCs/>
          <w:sz w:val="28"/>
          <w:szCs w:val="28"/>
          <w:lang w:val="uk-UA"/>
        </w:rPr>
        <w:t xml:space="preserve"> (ИТБ-2014): </w:t>
      </w:r>
      <w:proofErr w:type="spellStart"/>
      <w:r w:rsidRPr="00233185">
        <w:rPr>
          <w:rFonts w:ascii="Times New Roman" w:eastAsia="Calibri" w:hAnsi="Times New Roman" w:cs="Times New Roman"/>
          <w:i/>
          <w:iCs/>
          <w:sz w:val="28"/>
          <w:szCs w:val="28"/>
          <w:lang w:val="uk-UA"/>
        </w:rPr>
        <w:t>Материалы</w:t>
      </w:r>
      <w:proofErr w:type="spellEnd"/>
      <w:r w:rsidRPr="00233185">
        <w:rPr>
          <w:rFonts w:ascii="Times New Roman" w:eastAsia="Calibri" w:hAnsi="Times New Roman" w:cs="Times New Roman"/>
          <w:i/>
          <w:iCs/>
          <w:sz w:val="28"/>
          <w:szCs w:val="28"/>
          <w:lang w:val="uk-UA"/>
        </w:rPr>
        <w:t xml:space="preserve"> ХІV </w:t>
      </w:r>
      <w:proofErr w:type="spellStart"/>
      <w:r w:rsidRPr="00233185">
        <w:rPr>
          <w:rFonts w:ascii="Times New Roman" w:eastAsia="Calibri" w:hAnsi="Times New Roman" w:cs="Times New Roman"/>
          <w:i/>
          <w:iCs/>
          <w:sz w:val="28"/>
          <w:szCs w:val="28"/>
          <w:lang w:val="uk-UA"/>
        </w:rPr>
        <w:t>международной</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научно-практической</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конференции</w:t>
      </w:r>
      <w:proofErr w:type="spellEnd"/>
      <w:r w:rsidRPr="00233185">
        <w:rPr>
          <w:rFonts w:ascii="Times New Roman" w:eastAsia="Calibri" w:hAnsi="Times New Roman" w:cs="Times New Roman"/>
          <w:sz w:val="28"/>
          <w:szCs w:val="28"/>
          <w:lang w:val="uk-UA"/>
        </w:rPr>
        <w:t xml:space="preserve"> (с. 18–30). К.: ІПРІ НАН України.</w:t>
      </w:r>
    </w:p>
    <w:p w14:paraId="55AB190D"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Архипов, О. Є., &amp; Архипова, Є. О. (2020). </w:t>
      </w:r>
      <w:r w:rsidRPr="00233185">
        <w:rPr>
          <w:rFonts w:ascii="Times New Roman" w:eastAsia="Calibri" w:hAnsi="Times New Roman" w:cs="Times New Roman"/>
          <w:i/>
          <w:iCs/>
          <w:sz w:val="28"/>
          <w:szCs w:val="28"/>
          <w:lang w:val="uk-UA"/>
        </w:rPr>
        <w:t>Інформаційна безпека в умовах гібридної війни: поняття, загрози, засоби захисту</w:t>
      </w:r>
      <w:r w:rsidRPr="00233185">
        <w:rPr>
          <w:rFonts w:ascii="Times New Roman" w:eastAsia="Calibri" w:hAnsi="Times New Roman" w:cs="Times New Roman"/>
          <w:sz w:val="28"/>
          <w:szCs w:val="28"/>
          <w:lang w:val="uk-UA"/>
        </w:rPr>
        <w:t>. Київ: НАДУ при Президентові України.</w:t>
      </w:r>
    </w:p>
    <w:p w14:paraId="1FECE47C"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Гапічак</w:t>
      </w:r>
      <w:proofErr w:type="spellEnd"/>
      <w:r w:rsidRPr="00233185">
        <w:rPr>
          <w:rFonts w:ascii="Times New Roman" w:eastAsia="Calibri" w:hAnsi="Times New Roman" w:cs="Times New Roman"/>
          <w:sz w:val="28"/>
          <w:szCs w:val="28"/>
          <w:lang w:val="uk-UA"/>
        </w:rPr>
        <w:t xml:space="preserve">, В. (2023). Інформаційна війна як складова гібридної війни в умовах російської агресії. </w:t>
      </w:r>
      <w:r w:rsidRPr="00233185">
        <w:rPr>
          <w:rFonts w:ascii="Times New Roman" w:eastAsia="Calibri" w:hAnsi="Times New Roman" w:cs="Times New Roman"/>
          <w:i/>
          <w:iCs/>
          <w:sz w:val="28"/>
          <w:szCs w:val="28"/>
          <w:lang w:val="uk-UA"/>
        </w:rPr>
        <w:t>Вісник Прикарпатського університету. Серія: Політологія</w:t>
      </w:r>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(15)</w:t>
      </w:r>
      <w:r w:rsidRPr="00233185">
        <w:rPr>
          <w:rFonts w:ascii="Times New Roman" w:eastAsia="Calibri" w:hAnsi="Times New Roman" w:cs="Times New Roman"/>
          <w:sz w:val="28"/>
          <w:szCs w:val="28"/>
          <w:lang w:val="uk-UA"/>
        </w:rPr>
        <w:t xml:space="preserve">, 1–9. </w:t>
      </w:r>
      <w:hyperlink r:id="rId9" w:history="1">
        <w:r w:rsidRPr="00233185">
          <w:rPr>
            <w:rFonts w:ascii="Times New Roman" w:eastAsia="Calibri" w:hAnsi="Times New Roman" w:cs="Times New Roman"/>
            <w:color w:val="0563C1" w:themeColor="hyperlink"/>
            <w:sz w:val="28"/>
            <w:szCs w:val="28"/>
            <w:u w:val="single"/>
            <w:lang w:val="uk-UA"/>
          </w:rPr>
          <w:t>https://doi.org/10.32782/2312-1815/2024-1-4/</w:t>
        </w:r>
      </w:hyperlink>
    </w:p>
    <w:p w14:paraId="5E063DF0"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bookmarkStart w:id="0" w:name="_Hlk218969774"/>
      <w:r w:rsidRPr="00233185">
        <w:rPr>
          <w:rFonts w:ascii="Times New Roman" w:eastAsia="Calibri" w:hAnsi="Times New Roman" w:cs="Times New Roman"/>
          <w:sz w:val="28"/>
          <w:szCs w:val="28"/>
          <w:lang w:val="uk-UA"/>
        </w:rPr>
        <w:t xml:space="preserve">День. (2020.). </w:t>
      </w:r>
      <w:bookmarkEnd w:id="0"/>
      <w:r w:rsidRPr="00233185">
        <w:rPr>
          <w:rFonts w:ascii="Times New Roman" w:eastAsia="Calibri" w:hAnsi="Times New Roman" w:cs="Times New Roman"/>
          <w:i/>
          <w:iCs/>
          <w:sz w:val="28"/>
          <w:szCs w:val="28"/>
          <w:lang w:val="uk-UA"/>
        </w:rPr>
        <w:t>«Громадянська війна» в інформаційному просторі: Проблема проросійської пропаганди в українських ЗМІ залишається нерозв’язаною</w:t>
      </w:r>
      <w:r w:rsidRPr="00233185">
        <w:rPr>
          <w:rFonts w:ascii="Times New Roman" w:eastAsia="Calibri" w:hAnsi="Times New Roman" w:cs="Times New Roman"/>
          <w:sz w:val="28"/>
          <w:szCs w:val="28"/>
          <w:lang w:val="uk-UA"/>
        </w:rPr>
        <w:t xml:space="preserve">. </w:t>
      </w:r>
      <w:hyperlink r:id="rId10" w:tgtFrame="_new" w:history="1">
        <w:r w:rsidRPr="00233185">
          <w:rPr>
            <w:rFonts w:ascii="Times New Roman" w:eastAsia="Calibri" w:hAnsi="Times New Roman" w:cs="Times New Roman"/>
            <w:color w:val="0563C1" w:themeColor="hyperlink"/>
            <w:sz w:val="28"/>
            <w:szCs w:val="28"/>
            <w:u w:val="single"/>
            <w:lang w:val="uk-UA"/>
          </w:rPr>
          <w:t>https://day.kyiv.ua/article/media/hromadyanska-viyna-v-informatsiynomu-prostori</w:t>
        </w:r>
      </w:hyperlink>
    </w:p>
    <w:p w14:paraId="308318AC"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Дяків, В. (2017). Роль інформаційного компоненту у гібридній війні. Матеріали </w:t>
      </w:r>
      <w:r w:rsidRPr="00233185">
        <w:rPr>
          <w:rFonts w:ascii="Times New Roman" w:eastAsia="Calibri" w:hAnsi="Times New Roman" w:cs="Times New Roman"/>
          <w:i/>
          <w:iCs/>
          <w:sz w:val="28"/>
          <w:szCs w:val="28"/>
          <w:lang w:val="uk-UA"/>
        </w:rPr>
        <w:t>ІІ Міжнародній науковій конференції «Воєнні конфлікти та техногенні катастрофи: історичні та психологічні наслідки»</w:t>
      </w:r>
      <w:r w:rsidRPr="00233185">
        <w:rPr>
          <w:rFonts w:ascii="Times New Roman" w:eastAsia="Calibri" w:hAnsi="Times New Roman" w:cs="Times New Roman"/>
          <w:sz w:val="28"/>
          <w:szCs w:val="28"/>
          <w:lang w:val="uk-UA"/>
        </w:rPr>
        <w:t>.  https://elartu.tntu.edu.ua/bitstream/lib/37877/2/MCTD_2022_Diakiv_V-The_role_of_the_information_48-50.pdf.</w:t>
      </w:r>
    </w:p>
    <w:p w14:paraId="30565B52"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Жарков</w:t>
      </w:r>
      <w:proofErr w:type="spellEnd"/>
      <w:r w:rsidRPr="00233185">
        <w:rPr>
          <w:rFonts w:ascii="Times New Roman" w:eastAsia="Calibri" w:hAnsi="Times New Roman" w:cs="Times New Roman"/>
          <w:sz w:val="28"/>
          <w:szCs w:val="28"/>
          <w:lang w:val="uk-UA"/>
        </w:rPr>
        <w:t xml:space="preserve">, Я. М., Дзюба, М. Т., </w:t>
      </w:r>
      <w:proofErr w:type="spellStart"/>
      <w:r w:rsidRPr="00233185">
        <w:rPr>
          <w:rFonts w:ascii="Times New Roman" w:eastAsia="Calibri" w:hAnsi="Times New Roman" w:cs="Times New Roman"/>
          <w:sz w:val="28"/>
          <w:szCs w:val="28"/>
          <w:lang w:val="uk-UA"/>
        </w:rPr>
        <w:t>Замаруєва</w:t>
      </w:r>
      <w:proofErr w:type="spellEnd"/>
      <w:r w:rsidRPr="00233185">
        <w:rPr>
          <w:rFonts w:ascii="Times New Roman" w:eastAsia="Calibri" w:hAnsi="Times New Roman" w:cs="Times New Roman"/>
          <w:sz w:val="28"/>
          <w:szCs w:val="28"/>
          <w:lang w:val="uk-UA"/>
        </w:rPr>
        <w:t xml:space="preserve">, І. В., та ін. (2008). </w:t>
      </w:r>
      <w:r w:rsidRPr="00233185">
        <w:rPr>
          <w:rFonts w:ascii="Times New Roman" w:eastAsia="Calibri" w:hAnsi="Times New Roman" w:cs="Times New Roman"/>
          <w:i/>
          <w:iCs/>
          <w:sz w:val="28"/>
          <w:szCs w:val="28"/>
          <w:lang w:val="uk-UA"/>
        </w:rPr>
        <w:t>Інформаційна безпека особистості, суспільства, держави: Підручник</w:t>
      </w:r>
      <w:r w:rsidRPr="00233185">
        <w:rPr>
          <w:rFonts w:ascii="Times New Roman" w:eastAsia="Calibri" w:hAnsi="Times New Roman" w:cs="Times New Roman"/>
          <w:sz w:val="28"/>
          <w:szCs w:val="28"/>
          <w:lang w:val="uk-UA"/>
        </w:rPr>
        <w:t xml:space="preserve">. Київ: </w:t>
      </w:r>
      <w:proofErr w:type="spellStart"/>
      <w:r w:rsidRPr="00233185">
        <w:rPr>
          <w:rFonts w:ascii="Times New Roman" w:eastAsia="Calibri" w:hAnsi="Times New Roman" w:cs="Times New Roman"/>
          <w:sz w:val="28"/>
          <w:szCs w:val="28"/>
          <w:lang w:val="uk-UA"/>
        </w:rPr>
        <w:t>Видавничо</w:t>
      </w:r>
      <w:proofErr w:type="spellEnd"/>
      <w:r w:rsidRPr="00233185">
        <w:rPr>
          <w:rFonts w:ascii="Times New Roman" w:eastAsia="Calibri" w:hAnsi="Times New Roman" w:cs="Times New Roman"/>
          <w:sz w:val="28"/>
          <w:szCs w:val="28"/>
          <w:lang w:val="uk-UA"/>
        </w:rPr>
        <w:t xml:space="preserve">-поліграфічний центр “Київський університет”. </w:t>
      </w:r>
      <w:hyperlink r:id="rId11" w:history="1">
        <w:r w:rsidRPr="00233185">
          <w:rPr>
            <w:rFonts w:ascii="Times New Roman" w:eastAsia="Calibri" w:hAnsi="Times New Roman" w:cs="Times New Roman"/>
            <w:color w:val="0563C1" w:themeColor="hyperlink"/>
            <w:sz w:val="28"/>
            <w:szCs w:val="28"/>
            <w:u w:val="single"/>
            <w:lang w:val="uk-UA"/>
          </w:rPr>
          <w:t>https://viknu.mil.gov.ua/files/books/%D1%96%D0%BD%D1%84%D0%BE%D1</w:t>
        </w:r>
        <w:r w:rsidRPr="00233185">
          <w:rPr>
            <w:rFonts w:ascii="Times New Roman" w:eastAsia="Calibri" w:hAnsi="Times New Roman" w:cs="Times New Roman"/>
            <w:color w:val="0563C1" w:themeColor="hyperlink"/>
            <w:sz w:val="28"/>
            <w:szCs w:val="28"/>
            <w:u w:val="single"/>
            <w:lang w:val="uk-UA"/>
          </w:rPr>
          <w:lastRenderedPageBreak/>
          <w:t>%80%D0%BC%D0%B0%D1%86%D1%96%D0%B9%D0%BD%D0%B0%20%D0%B1%D0%B5%D0%B7%D0%BF%D0%B5%D0%BA%D0%B0%20%D0%BE%D1%81%D0%BE%D0%B1%D0%B8%D1%81%D1%82%D0%BE%D1%81%D1%82%D1%96%2C%20%D1%81%D1%83%D1%81%D0%BF%D1%96%D0%BB%D1%8C%D1%81%D1%82%D0%B2%D0%B0%2C%20%D0%B4%D0%B5%D1%80%D0%B6%D0%B0%D0%B2%D0%B8.pdf</w:t>
        </w:r>
      </w:hyperlink>
      <w:r w:rsidRPr="00233185">
        <w:rPr>
          <w:rFonts w:ascii="Times New Roman" w:eastAsia="Calibri" w:hAnsi="Times New Roman" w:cs="Times New Roman"/>
          <w:sz w:val="28"/>
          <w:szCs w:val="28"/>
          <w:lang w:val="uk-UA"/>
        </w:rPr>
        <w:t>.</w:t>
      </w:r>
    </w:p>
    <w:p w14:paraId="7BFA34A6"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Закон України. (2007). </w:t>
      </w:r>
      <w:r w:rsidRPr="00233185">
        <w:rPr>
          <w:rFonts w:ascii="Times New Roman" w:eastAsia="Calibri" w:hAnsi="Times New Roman" w:cs="Times New Roman"/>
          <w:i/>
          <w:iCs/>
          <w:sz w:val="28"/>
          <w:szCs w:val="28"/>
          <w:lang w:val="uk-UA"/>
        </w:rPr>
        <w:t>Про Основні засади розвитку інформаційного суспільства в Україні на 2007–2015 роки</w:t>
      </w:r>
      <w:r w:rsidRPr="00233185">
        <w:rPr>
          <w:rFonts w:ascii="Times New Roman" w:eastAsia="Calibri" w:hAnsi="Times New Roman" w:cs="Times New Roman"/>
          <w:sz w:val="28"/>
          <w:szCs w:val="28"/>
          <w:lang w:val="uk-UA"/>
        </w:rPr>
        <w:t>. Відомості Верховної Ради України, № 12 ст. 102.</w:t>
      </w:r>
    </w:p>
    <w:p w14:paraId="48C2B8AB"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bookmarkStart w:id="1" w:name="_Hlk218969185"/>
      <w:proofErr w:type="spellStart"/>
      <w:r w:rsidRPr="00233185">
        <w:rPr>
          <w:rFonts w:ascii="Times New Roman" w:eastAsia="Calibri" w:hAnsi="Times New Roman" w:cs="Times New Roman"/>
          <w:sz w:val="28"/>
          <w:szCs w:val="28"/>
          <w:lang w:val="uk-UA"/>
        </w:rPr>
        <w:t>Киридон</w:t>
      </w:r>
      <w:proofErr w:type="spellEnd"/>
      <w:r w:rsidRPr="00233185">
        <w:rPr>
          <w:rFonts w:ascii="Times New Roman" w:eastAsia="Calibri" w:hAnsi="Times New Roman" w:cs="Times New Roman"/>
          <w:sz w:val="28"/>
          <w:szCs w:val="28"/>
          <w:lang w:val="uk-UA"/>
        </w:rPr>
        <w:t>, А. (Ред.). (2025)</w:t>
      </w:r>
      <w:bookmarkEnd w:id="1"/>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 xml:space="preserve">Російська агресія проти України (2014‒2025). </w:t>
      </w:r>
      <w:proofErr w:type="spellStart"/>
      <w:r w:rsidRPr="00233185">
        <w:rPr>
          <w:rFonts w:ascii="Times New Roman" w:eastAsia="Calibri" w:hAnsi="Times New Roman" w:cs="Times New Roman"/>
          <w:i/>
          <w:iCs/>
          <w:sz w:val="28"/>
          <w:szCs w:val="28"/>
          <w:lang w:val="uk-UA"/>
        </w:rPr>
        <w:t>Метапростори</w:t>
      </w:r>
      <w:proofErr w:type="spellEnd"/>
      <w:r w:rsidRPr="00233185">
        <w:rPr>
          <w:rFonts w:ascii="Times New Roman" w:eastAsia="Calibri" w:hAnsi="Times New Roman" w:cs="Times New Roman"/>
          <w:i/>
          <w:iCs/>
          <w:sz w:val="28"/>
          <w:szCs w:val="28"/>
          <w:lang w:val="uk-UA"/>
        </w:rPr>
        <w:t xml:space="preserve"> війни: Монографія</w:t>
      </w:r>
      <w:r w:rsidRPr="00233185">
        <w:rPr>
          <w:rFonts w:ascii="Times New Roman" w:eastAsia="Calibri" w:hAnsi="Times New Roman" w:cs="Times New Roman"/>
          <w:sz w:val="28"/>
          <w:szCs w:val="28"/>
          <w:lang w:val="uk-UA"/>
        </w:rPr>
        <w:t>. Київ: Державна наукова установа «Енциклопедичне видавництво».</w:t>
      </w:r>
    </w:p>
    <w:p w14:paraId="7133556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Кожушко</w:t>
      </w:r>
      <w:proofErr w:type="spellEnd"/>
      <w:r w:rsidRPr="00233185">
        <w:rPr>
          <w:rFonts w:ascii="Times New Roman" w:eastAsia="Calibri" w:hAnsi="Times New Roman" w:cs="Times New Roman"/>
          <w:sz w:val="28"/>
          <w:szCs w:val="28"/>
          <w:lang w:val="uk-UA"/>
        </w:rPr>
        <w:t xml:space="preserve">, В. В. (2025). Інформаційна війна в гібридних конфліктах: від пропаганди до </w:t>
      </w:r>
      <w:proofErr w:type="spellStart"/>
      <w:r w:rsidRPr="00233185">
        <w:rPr>
          <w:rFonts w:ascii="Times New Roman" w:eastAsia="Calibri" w:hAnsi="Times New Roman" w:cs="Times New Roman"/>
          <w:sz w:val="28"/>
          <w:szCs w:val="28"/>
          <w:lang w:val="uk-UA"/>
        </w:rPr>
        <w:t>кібервпливу</w:t>
      </w:r>
      <w:proofErr w:type="spellEnd"/>
      <w:r w:rsidRPr="00233185">
        <w:rPr>
          <w:rFonts w:ascii="Times New Roman" w:eastAsia="Calibri" w:hAnsi="Times New Roman" w:cs="Times New Roman"/>
          <w:sz w:val="28"/>
          <w:szCs w:val="28"/>
          <w:lang w:val="uk-UA"/>
        </w:rPr>
        <w:t xml:space="preserve"> . </w:t>
      </w:r>
      <w:r w:rsidRPr="00233185">
        <w:rPr>
          <w:rFonts w:ascii="Times New Roman" w:eastAsia="Calibri" w:hAnsi="Times New Roman" w:cs="Times New Roman"/>
          <w:i/>
          <w:iCs/>
          <w:sz w:val="28"/>
          <w:szCs w:val="28"/>
          <w:lang w:val="uk-UA"/>
        </w:rPr>
        <w:t>Український політико-правовий дискурс</w:t>
      </w:r>
      <w:r w:rsidRPr="00233185">
        <w:rPr>
          <w:rFonts w:ascii="Times New Roman" w:eastAsia="Calibri" w:hAnsi="Times New Roman" w:cs="Times New Roman"/>
          <w:sz w:val="28"/>
          <w:szCs w:val="28"/>
          <w:lang w:val="uk-UA"/>
        </w:rPr>
        <w:t xml:space="preserve">, (13). </w:t>
      </w:r>
      <w:hyperlink r:id="rId12" w:history="1">
        <w:r w:rsidRPr="00233185">
          <w:rPr>
            <w:rFonts w:ascii="Times New Roman" w:eastAsia="Calibri" w:hAnsi="Times New Roman" w:cs="Times New Roman"/>
            <w:color w:val="0563C1" w:themeColor="hyperlink"/>
            <w:sz w:val="28"/>
            <w:szCs w:val="28"/>
            <w:u w:val="single"/>
            <w:lang w:val="uk-UA"/>
          </w:rPr>
          <w:t>https://doi.org/10.5281/zenodo.16658818</w:t>
        </w:r>
      </w:hyperlink>
      <w:r w:rsidRPr="00233185">
        <w:rPr>
          <w:rFonts w:ascii="Times New Roman" w:eastAsia="Calibri" w:hAnsi="Times New Roman" w:cs="Times New Roman"/>
          <w:sz w:val="28"/>
          <w:szCs w:val="28"/>
          <w:lang w:val="uk-UA"/>
        </w:rPr>
        <w:t>.</w:t>
      </w:r>
    </w:p>
    <w:p w14:paraId="5960561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Кожушко</w:t>
      </w:r>
      <w:proofErr w:type="spellEnd"/>
      <w:r w:rsidRPr="00233185">
        <w:rPr>
          <w:rFonts w:ascii="Times New Roman" w:eastAsia="Calibri" w:hAnsi="Times New Roman" w:cs="Times New Roman"/>
          <w:sz w:val="28"/>
          <w:szCs w:val="28"/>
          <w:lang w:val="uk-UA"/>
        </w:rPr>
        <w:t xml:space="preserve">, В. В. (2025). Інформаційна війна в гібридних конфліктах: від пропаганди до </w:t>
      </w:r>
      <w:proofErr w:type="spellStart"/>
      <w:r w:rsidRPr="00233185">
        <w:rPr>
          <w:rFonts w:ascii="Times New Roman" w:eastAsia="Calibri" w:hAnsi="Times New Roman" w:cs="Times New Roman"/>
          <w:sz w:val="28"/>
          <w:szCs w:val="28"/>
          <w:lang w:val="uk-UA"/>
        </w:rPr>
        <w:t>кібервпливу</w:t>
      </w:r>
      <w:proofErr w:type="spellEnd"/>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Український політико-правовий дискурс</w:t>
      </w:r>
      <w:r w:rsidRPr="00233185">
        <w:rPr>
          <w:rFonts w:ascii="Times New Roman" w:eastAsia="Calibri" w:hAnsi="Times New Roman" w:cs="Times New Roman"/>
          <w:sz w:val="28"/>
          <w:szCs w:val="28"/>
          <w:lang w:val="uk-UA"/>
        </w:rPr>
        <w:t xml:space="preserve">. </w:t>
      </w:r>
      <w:hyperlink r:id="rId13" w:history="1">
        <w:r w:rsidRPr="00233185">
          <w:rPr>
            <w:rFonts w:ascii="Times New Roman" w:eastAsia="Calibri" w:hAnsi="Times New Roman" w:cs="Times New Roman"/>
            <w:color w:val="0563C1" w:themeColor="hyperlink"/>
            <w:sz w:val="28"/>
            <w:szCs w:val="28"/>
            <w:u w:val="single"/>
            <w:lang w:val="uk-UA"/>
          </w:rPr>
          <w:t>https://doi.org/10.5281/zenodo.16658818/</w:t>
        </w:r>
      </w:hyperlink>
    </w:p>
    <w:p w14:paraId="5FD38BFE"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Кравченко, Н. (2022). Інформаційна складова як ключовий аспект гібридної війни. </w:t>
      </w:r>
      <w:proofErr w:type="spellStart"/>
      <w:r w:rsidRPr="00233185">
        <w:rPr>
          <w:rFonts w:ascii="Times New Roman" w:eastAsia="Calibri" w:hAnsi="Times New Roman" w:cs="Times New Roman"/>
          <w:i/>
          <w:iCs/>
          <w:sz w:val="28"/>
          <w:szCs w:val="28"/>
          <w:lang w:val="uk-UA"/>
        </w:rPr>
        <w:t>Acta</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de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Historia</w:t>
      </w:r>
      <w:proofErr w:type="spellEnd"/>
      <w:r w:rsidRPr="00233185">
        <w:rPr>
          <w:rFonts w:ascii="Times New Roman" w:eastAsia="Calibri" w:hAnsi="Times New Roman" w:cs="Times New Roman"/>
          <w:i/>
          <w:iCs/>
          <w:sz w:val="28"/>
          <w:szCs w:val="28"/>
          <w:lang w:val="uk-UA"/>
        </w:rPr>
        <w:t xml:space="preserve"> &amp; </w:t>
      </w:r>
      <w:proofErr w:type="spellStart"/>
      <w:r w:rsidRPr="00233185">
        <w:rPr>
          <w:rFonts w:ascii="Times New Roman" w:eastAsia="Calibri" w:hAnsi="Times New Roman" w:cs="Times New Roman"/>
          <w:i/>
          <w:iCs/>
          <w:sz w:val="28"/>
          <w:szCs w:val="28"/>
          <w:lang w:val="uk-UA"/>
        </w:rPr>
        <w:t>Politica</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Saeculum</w:t>
      </w:r>
      <w:proofErr w:type="spellEnd"/>
      <w:r w:rsidRPr="00233185">
        <w:rPr>
          <w:rFonts w:ascii="Times New Roman" w:eastAsia="Calibri" w:hAnsi="Times New Roman" w:cs="Times New Roman"/>
          <w:i/>
          <w:iCs/>
          <w:sz w:val="28"/>
          <w:szCs w:val="28"/>
          <w:lang w:val="uk-UA"/>
        </w:rPr>
        <w:t xml:space="preserve"> XXI</w:t>
      </w:r>
      <w:r w:rsidRPr="00233185">
        <w:rPr>
          <w:rFonts w:ascii="Times New Roman" w:eastAsia="Calibri" w:hAnsi="Times New Roman" w:cs="Times New Roman"/>
          <w:sz w:val="28"/>
          <w:szCs w:val="28"/>
          <w:lang w:val="uk-UA"/>
        </w:rPr>
        <w:t xml:space="preserve">. </w:t>
      </w:r>
      <w:hyperlink r:id="rId14" w:history="1">
        <w:r w:rsidRPr="00233185">
          <w:rPr>
            <w:rFonts w:ascii="Times New Roman" w:eastAsia="Calibri" w:hAnsi="Times New Roman" w:cs="Times New Roman"/>
            <w:color w:val="0563C1" w:themeColor="hyperlink"/>
            <w:sz w:val="28"/>
            <w:szCs w:val="28"/>
            <w:u w:val="single"/>
            <w:lang w:val="uk-UA"/>
          </w:rPr>
          <w:t>https://doi.org/10.26693/ahpsxxi2022.04.106</w:t>
        </w:r>
      </w:hyperlink>
      <w:r w:rsidRPr="00233185">
        <w:rPr>
          <w:rFonts w:ascii="Times New Roman" w:eastAsia="Calibri" w:hAnsi="Times New Roman" w:cs="Times New Roman"/>
          <w:sz w:val="28"/>
          <w:szCs w:val="28"/>
          <w:lang w:val="uk-UA"/>
        </w:rPr>
        <w:t xml:space="preserve">. </w:t>
      </w:r>
    </w:p>
    <w:p w14:paraId="51AE6EBB"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bookmarkStart w:id="2" w:name="_Hlk218967182"/>
      <w:r w:rsidRPr="00233185">
        <w:rPr>
          <w:rFonts w:ascii="Times New Roman" w:eastAsia="Calibri" w:hAnsi="Times New Roman" w:cs="Times New Roman"/>
          <w:sz w:val="28"/>
          <w:szCs w:val="28"/>
          <w:lang w:val="uk-UA"/>
        </w:rPr>
        <w:t xml:space="preserve">Курило, В. С. (Ред.). (2025). </w:t>
      </w:r>
      <w:bookmarkEnd w:id="2"/>
      <w:r w:rsidRPr="00233185">
        <w:rPr>
          <w:rFonts w:ascii="Times New Roman" w:eastAsia="Calibri" w:hAnsi="Times New Roman" w:cs="Times New Roman"/>
          <w:i/>
          <w:iCs/>
          <w:sz w:val="28"/>
          <w:szCs w:val="28"/>
          <w:lang w:val="uk-UA"/>
        </w:rPr>
        <w:t>Критичне мислення громадян як технологічний ресурс безпеки в умовах збройного насилля та інформаційної агресії: Колективна монографія</w:t>
      </w:r>
      <w:r w:rsidRPr="00233185">
        <w:rPr>
          <w:rFonts w:ascii="Times New Roman" w:eastAsia="Calibri" w:hAnsi="Times New Roman" w:cs="Times New Roman"/>
          <w:sz w:val="28"/>
          <w:szCs w:val="28"/>
          <w:lang w:val="uk-UA"/>
        </w:rPr>
        <w:t>. Луганський національний університет імені Тараса Шевченка. Одеса: Видавничий дім «</w:t>
      </w:r>
      <w:proofErr w:type="spellStart"/>
      <w:r w:rsidRPr="00233185">
        <w:rPr>
          <w:rFonts w:ascii="Times New Roman" w:eastAsia="Calibri" w:hAnsi="Times New Roman" w:cs="Times New Roman"/>
          <w:sz w:val="28"/>
          <w:szCs w:val="28"/>
          <w:lang w:val="uk-UA"/>
        </w:rPr>
        <w:t>Гельветика</w:t>
      </w:r>
      <w:proofErr w:type="spellEnd"/>
      <w:r w:rsidRPr="00233185">
        <w:rPr>
          <w:rFonts w:ascii="Times New Roman" w:eastAsia="Calibri" w:hAnsi="Times New Roman" w:cs="Times New Roman"/>
          <w:sz w:val="28"/>
          <w:szCs w:val="28"/>
          <w:lang w:val="uk-UA"/>
        </w:rPr>
        <w:t>».</w:t>
      </w:r>
    </w:p>
    <w:p w14:paraId="2BDAE582"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Мильченко</w:t>
      </w:r>
      <w:proofErr w:type="spellEnd"/>
      <w:r w:rsidRPr="00233185">
        <w:rPr>
          <w:rFonts w:ascii="Times New Roman" w:eastAsia="Calibri" w:hAnsi="Times New Roman" w:cs="Times New Roman"/>
          <w:sz w:val="28"/>
          <w:szCs w:val="28"/>
          <w:lang w:val="uk-UA"/>
        </w:rPr>
        <w:t xml:space="preserve">, Л. (2021). </w:t>
      </w:r>
      <w:r w:rsidRPr="00233185">
        <w:rPr>
          <w:rFonts w:ascii="Times New Roman" w:eastAsia="Calibri" w:hAnsi="Times New Roman" w:cs="Times New Roman"/>
          <w:i/>
          <w:iCs/>
          <w:sz w:val="28"/>
          <w:szCs w:val="28"/>
          <w:lang w:val="uk-UA"/>
        </w:rPr>
        <w:t>Інформаційний вплив російських ЗМІ як засіб гібридної війни проти України</w:t>
      </w:r>
      <w:r w:rsidRPr="00233185">
        <w:rPr>
          <w:rFonts w:ascii="Times New Roman" w:eastAsia="Calibri" w:hAnsi="Times New Roman" w:cs="Times New Roman"/>
          <w:sz w:val="28"/>
          <w:szCs w:val="28"/>
          <w:lang w:val="uk-UA"/>
        </w:rPr>
        <w:t>. Вісник Книжкової палати, 10, 8–16. https://doi.org/10.36273/2076-9555.2021.10(303).8-16</w:t>
      </w:r>
    </w:p>
    <w:p w14:paraId="07A38372"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bookmarkStart w:id="3" w:name="_Hlk218969584"/>
      <w:proofErr w:type="spellStart"/>
      <w:r w:rsidRPr="00233185">
        <w:rPr>
          <w:rFonts w:ascii="Times New Roman" w:eastAsia="Calibri" w:hAnsi="Times New Roman" w:cs="Times New Roman"/>
          <w:sz w:val="28"/>
          <w:szCs w:val="28"/>
          <w:lang w:val="uk-UA"/>
        </w:rPr>
        <w:lastRenderedPageBreak/>
        <w:t>Мішалова</w:t>
      </w:r>
      <w:proofErr w:type="spellEnd"/>
      <w:r w:rsidRPr="00233185">
        <w:rPr>
          <w:rFonts w:ascii="Times New Roman" w:eastAsia="Calibri" w:hAnsi="Times New Roman" w:cs="Times New Roman"/>
          <w:sz w:val="28"/>
          <w:szCs w:val="28"/>
          <w:lang w:val="uk-UA"/>
        </w:rPr>
        <w:t xml:space="preserve">, О. (2021). </w:t>
      </w:r>
      <w:bookmarkEnd w:id="3"/>
      <w:r w:rsidRPr="00233185">
        <w:rPr>
          <w:rFonts w:ascii="Times New Roman" w:eastAsia="Calibri" w:hAnsi="Times New Roman" w:cs="Times New Roman"/>
          <w:sz w:val="28"/>
          <w:szCs w:val="28"/>
          <w:lang w:val="uk-UA"/>
        </w:rPr>
        <w:t xml:space="preserve">Національна ідея, національна ідентичність та історичний </w:t>
      </w:r>
      <w:proofErr w:type="spellStart"/>
      <w:r w:rsidRPr="00233185">
        <w:rPr>
          <w:rFonts w:ascii="Times New Roman" w:eastAsia="Calibri" w:hAnsi="Times New Roman" w:cs="Times New Roman"/>
          <w:sz w:val="28"/>
          <w:szCs w:val="28"/>
          <w:lang w:val="uk-UA"/>
        </w:rPr>
        <w:t>наратив</w:t>
      </w:r>
      <w:proofErr w:type="spellEnd"/>
      <w:r w:rsidRPr="00233185">
        <w:rPr>
          <w:rFonts w:ascii="Times New Roman" w:eastAsia="Calibri" w:hAnsi="Times New Roman" w:cs="Times New Roman"/>
          <w:sz w:val="28"/>
          <w:szCs w:val="28"/>
          <w:lang w:val="uk-UA"/>
        </w:rPr>
        <w:t xml:space="preserve"> культурної конвергенції. </w:t>
      </w:r>
      <w:r w:rsidRPr="00233185">
        <w:rPr>
          <w:rFonts w:ascii="Times New Roman" w:eastAsia="Calibri" w:hAnsi="Times New Roman" w:cs="Times New Roman"/>
          <w:i/>
          <w:iCs/>
          <w:sz w:val="28"/>
          <w:szCs w:val="28"/>
          <w:lang w:val="uk-UA"/>
        </w:rPr>
        <w:t>Актуальні проблеми духовності</w:t>
      </w:r>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22</w:t>
      </w:r>
      <w:r w:rsidRPr="00233185">
        <w:rPr>
          <w:rFonts w:ascii="Times New Roman" w:eastAsia="Calibri" w:hAnsi="Times New Roman" w:cs="Times New Roman"/>
          <w:sz w:val="28"/>
          <w:szCs w:val="28"/>
          <w:lang w:val="uk-UA"/>
        </w:rPr>
        <w:t>, 195–214.https://share.google/KxeDzo3XLLrG4Bou6.</w:t>
      </w:r>
    </w:p>
    <w:p w14:paraId="26F67060"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Мудра, І., &amp; </w:t>
      </w:r>
      <w:proofErr w:type="spellStart"/>
      <w:r w:rsidRPr="00233185">
        <w:rPr>
          <w:rFonts w:ascii="Times New Roman" w:eastAsia="Calibri" w:hAnsi="Times New Roman" w:cs="Times New Roman"/>
          <w:sz w:val="28"/>
          <w:szCs w:val="28"/>
          <w:lang w:val="uk-UA"/>
        </w:rPr>
        <w:t>Сінькова</w:t>
      </w:r>
      <w:proofErr w:type="spellEnd"/>
      <w:r w:rsidRPr="00233185">
        <w:rPr>
          <w:rFonts w:ascii="Times New Roman" w:eastAsia="Calibri" w:hAnsi="Times New Roman" w:cs="Times New Roman"/>
          <w:sz w:val="28"/>
          <w:szCs w:val="28"/>
          <w:lang w:val="uk-UA"/>
        </w:rPr>
        <w:t xml:space="preserve">, Є. (2017). </w:t>
      </w:r>
      <w:r w:rsidRPr="00233185">
        <w:rPr>
          <w:rFonts w:ascii="Times New Roman" w:eastAsia="Calibri" w:hAnsi="Times New Roman" w:cs="Times New Roman"/>
          <w:i/>
          <w:iCs/>
          <w:sz w:val="28"/>
          <w:szCs w:val="28"/>
          <w:lang w:val="uk-UA"/>
        </w:rPr>
        <w:t>Інструменти інформаційної війни проти України в інтернет-ЗМІ</w:t>
      </w:r>
      <w:r w:rsidRPr="00233185">
        <w:rPr>
          <w:rFonts w:ascii="Times New Roman" w:eastAsia="Calibri" w:hAnsi="Times New Roman" w:cs="Times New Roman"/>
          <w:sz w:val="28"/>
          <w:szCs w:val="28"/>
          <w:lang w:val="uk-UA"/>
        </w:rPr>
        <w:t>. Національний університет «Львівська політехніка»</w:t>
      </w:r>
      <w:r w:rsidRPr="00233185">
        <w:rPr>
          <w:rFonts w:ascii="Times New Roman" w:eastAsia="Calibri" w:hAnsi="Times New Roman" w:cs="Times New Roman"/>
          <w:lang w:val="uk-UA"/>
        </w:rPr>
        <w:t xml:space="preserve"> . </w:t>
      </w:r>
      <w:r w:rsidRPr="00233185">
        <w:rPr>
          <w:rFonts w:ascii="Times New Roman" w:eastAsia="Calibri" w:hAnsi="Times New Roman" w:cs="Times New Roman"/>
          <w:sz w:val="28"/>
          <w:szCs w:val="28"/>
          <w:lang w:val="uk-UA"/>
        </w:rPr>
        <w:t xml:space="preserve">Випуск 883, Номер 1. c. 42-47.  </w:t>
      </w:r>
      <w:hyperlink r:id="rId15" w:tgtFrame="_blank" w:history="1">
        <w:r w:rsidRPr="00233185">
          <w:rPr>
            <w:rFonts w:ascii="Times New Roman" w:eastAsia="Calibri" w:hAnsi="Times New Roman" w:cs="Times New Roman"/>
            <w:color w:val="0563C1" w:themeColor="hyperlink"/>
            <w:sz w:val="28"/>
            <w:szCs w:val="28"/>
            <w:u w:val="single"/>
            <w:lang w:val="uk-UA"/>
          </w:rPr>
          <w:t>https://doi.org/10.23939/sjs2017.01.042</w:t>
        </w:r>
      </w:hyperlink>
    </w:p>
    <w:p w14:paraId="5741E30C"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Павлюк, М. В. (2022). </w:t>
      </w:r>
      <w:r w:rsidRPr="00233185">
        <w:rPr>
          <w:rFonts w:ascii="Times New Roman" w:eastAsia="Calibri" w:hAnsi="Times New Roman" w:cs="Times New Roman"/>
          <w:i/>
          <w:iCs/>
          <w:sz w:val="28"/>
          <w:szCs w:val="28"/>
          <w:lang w:val="uk-UA"/>
        </w:rPr>
        <w:t>Методи та засоби російсько-української інформаційної війни (2014–2022): міфи і риторика пропаганди</w:t>
      </w:r>
      <w:r w:rsidRPr="00233185">
        <w:rPr>
          <w:rFonts w:ascii="Times New Roman" w:eastAsia="Calibri" w:hAnsi="Times New Roman" w:cs="Times New Roman"/>
          <w:sz w:val="28"/>
          <w:szCs w:val="28"/>
          <w:lang w:val="uk-UA"/>
        </w:rPr>
        <w:t xml:space="preserve">. </w:t>
      </w:r>
      <w:hyperlink r:id="rId16" w:history="1">
        <w:r w:rsidRPr="00233185">
          <w:rPr>
            <w:rFonts w:ascii="Times New Roman" w:eastAsia="Calibri" w:hAnsi="Times New Roman" w:cs="Times New Roman"/>
            <w:color w:val="0563C1" w:themeColor="hyperlink"/>
            <w:sz w:val="28"/>
            <w:szCs w:val="28"/>
            <w:u w:val="single"/>
            <w:lang w:val="uk-UA"/>
          </w:rPr>
          <w:t>https://doi.org/10.30525/978-9934-26-223-4-127</w:t>
        </w:r>
      </w:hyperlink>
      <w:r w:rsidRPr="00233185">
        <w:rPr>
          <w:rFonts w:ascii="Times New Roman" w:eastAsia="Calibri" w:hAnsi="Times New Roman" w:cs="Times New Roman"/>
          <w:sz w:val="28"/>
          <w:szCs w:val="28"/>
          <w:lang w:val="uk-UA"/>
        </w:rPr>
        <w:t xml:space="preserve"> </w:t>
      </w:r>
    </w:p>
    <w:p w14:paraId="15B02AD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bookmarkStart w:id="4" w:name="_Hlk218969246"/>
      <w:proofErr w:type="spellStart"/>
      <w:r w:rsidRPr="00233185">
        <w:rPr>
          <w:rFonts w:ascii="Times New Roman" w:eastAsia="Calibri" w:hAnsi="Times New Roman" w:cs="Times New Roman"/>
          <w:sz w:val="28"/>
          <w:szCs w:val="28"/>
          <w:lang w:val="uk-UA"/>
        </w:rPr>
        <w:t>Пересипкіна</w:t>
      </w:r>
      <w:proofErr w:type="spellEnd"/>
      <w:r w:rsidRPr="00233185">
        <w:rPr>
          <w:rFonts w:ascii="Times New Roman" w:eastAsia="Calibri" w:hAnsi="Times New Roman" w:cs="Times New Roman"/>
          <w:sz w:val="28"/>
          <w:szCs w:val="28"/>
          <w:lang w:val="uk-UA"/>
        </w:rPr>
        <w:t xml:space="preserve"> , І. (2025). </w:t>
      </w:r>
      <w:bookmarkEnd w:id="4"/>
      <w:r w:rsidRPr="00233185">
        <w:rPr>
          <w:rFonts w:ascii="Times New Roman" w:eastAsia="Calibri" w:hAnsi="Times New Roman" w:cs="Times New Roman"/>
          <w:sz w:val="28"/>
          <w:szCs w:val="28"/>
          <w:lang w:val="uk-UA"/>
        </w:rPr>
        <w:t xml:space="preserve">Еволюція російських </w:t>
      </w:r>
      <w:proofErr w:type="spellStart"/>
      <w:r w:rsidRPr="00233185">
        <w:rPr>
          <w:rFonts w:ascii="Times New Roman" w:eastAsia="Calibri" w:hAnsi="Times New Roman" w:cs="Times New Roman"/>
          <w:sz w:val="28"/>
          <w:szCs w:val="28"/>
          <w:lang w:val="uk-UA"/>
        </w:rPr>
        <w:t>дезінформаційних</w:t>
      </w:r>
      <w:proofErr w:type="spellEnd"/>
      <w:r w:rsidRPr="00233185">
        <w:rPr>
          <w:rFonts w:ascii="Times New Roman" w:eastAsia="Calibri" w:hAnsi="Times New Roman" w:cs="Times New Roman"/>
          <w:sz w:val="28"/>
          <w:szCs w:val="28"/>
          <w:lang w:val="uk-UA"/>
        </w:rPr>
        <w:t xml:space="preserve"> стратегій у контексті російсько-української війни (2022–2025). </w:t>
      </w:r>
      <w:proofErr w:type="spellStart"/>
      <w:r w:rsidRPr="00233185">
        <w:rPr>
          <w:rFonts w:ascii="Times New Roman" w:eastAsia="Calibri" w:hAnsi="Times New Roman" w:cs="Times New Roman"/>
          <w:i/>
          <w:iCs/>
          <w:sz w:val="28"/>
          <w:szCs w:val="28"/>
          <w:lang w:val="uk-UA"/>
        </w:rPr>
        <w:t>Медіафорум</w:t>
      </w:r>
      <w:proofErr w:type="spellEnd"/>
      <w:r w:rsidRPr="00233185">
        <w:rPr>
          <w:rFonts w:ascii="Times New Roman" w:eastAsia="Calibri" w:hAnsi="Times New Roman" w:cs="Times New Roman"/>
          <w:i/>
          <w:iCs/>
          <w:sz w:val="28"/>
          <w:szCs w:val="28"/>
          <w:lang w:val="uk-UA"/>
        </w:rPr>
        <w:t xml:space="preserve"> : аналітика, прогнози, інформаційний менеджмент</w:t>
      </w:r>
      <w:r w:rsidRPr="00233185">
        <w:rPr>
          <w:rFonts w:ascii="Times New Roman" w:eastAsia="Calibri" w:hAnsi="Times New Roman" w:cs="Times New Roman"/>
          <w:sz w:val="28"/>
          <w:szCs w:val="28"/>
          <w:lang w:val="uk-UA"/>
        </w:rPr>
        <w:t>, </w:t>
      </w:r>
      <w:r w:rsidRPr="00233185">
        <w:rPr>
          <w:rFonts w:ascii="Times New Roman" w:eastAsia="Calibri" w:hAnsi="Times New Roman" w:cs="Times New Roman"/>
          <w:i/>
          <w:iCs/>
          <w:sz w:val="28"/>
          <w:szCs w:val="28"/>
          <w:lang w:val="uk-UA"/>
        </w:rPr>
        <w:t>16</w:t>
      </w:r>
      <w:r w:rsidRPr="00233185">
        <w:rPr>
          <w:rFonts w:ascii="Times New Roman" w:eastAsia="Calibri" w:hAnsi="Times New Roman" w:cs="Times New Roman"/>
          <w:sz w:val="28"/>
          <w:szCs w:val="28"/>
          <w:lang w:val="uk-UA"/>
        </w:rPr>
        <w:t xml:space="preserve">, 34-47. </w:t>
      </w:r>
      <w:hyperlink r:id="rId17" w:history="1">
        <w:r w:rsidRPr="00233185">
          <w:rPr>
            <w:rFonts w:ascii="Times New Roman" w:eastAsia="Calibri" w:hAnsi="Times New Roman" w:cs="Times New Roman"/>
            <w:color w:val="0563C1" w:themeColor="hyperlink"/>
            <w:sz w:val="28"/>
            <w:szCs w:val="28"/>
            <w:u w:val="single"/>
            <w:lang w:val="uk-UA"/>
          </w:rPr>
          <w:t>https://doi.org/10.31861/mediaforum.2025.16.34-47</w:t>
        </w:r>
      </w:hyperlink>
    </w:p>
    <w:p w14:paraId="226827AA"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Проноза, І. І. (2018). Інформаційна війна: сутність та особливості прояву. </w:t>
      </w:r>
      <w:r w:rsidRPr="00233185">
        <w:rPr>
          <w:rFonts w:ascii="Times New Roman" w:eastAsia="Calibri" w:hAnsi="Times New Roman" w:cs="Times New Roman"/>
          <w:i/>
          <w:iCs/>
          <w:sz w:val="28"/>
          <w:szCs w:val="28"/>
          <w:lang w:val="uk-UA"/>
        </w:rPr>
        <w:t>Актуальні проблеми політики</w:t>
      </w:r>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(61)</w:t>
      </w:r>
      <w:r w:rsidRPr="00233185">
        <w:rPr>
          <w:rFonts w:ascii="Times New Roman" w:eastAsia="Calibri" w:hAnsi="Times New Roman" w:cs="Times New Roman"/>
          <w:sz w:val="28"/>
          <w:szCs w:val="28"/>
          <w:lang w:val="uk-UA"/>
        </w:rPr>
        <w:t xml:space="preserve">, 76–84. </w:t>
      </w:r>
      <w:hyperlink r:id="rId18" w:history="1">
        <w:r w:rsidRPr="00233185">
          <w:rPr>
            <w:rFonts w:ascii="Times New Roman" w:eastAsia="Calibri" w:hAnsi="Times New Roman" w:cs="Times New Roman"/>
            <w:color w:val="0563C1" w:themeColor="hyperlink"/>
            <w:sz w:val="28"/>
            <w:szCs w:val="28"/>
            <w:u w:val="single"/>
            <w:lang w:val="uk-UA"/>
          </w:rPr>
          <w:t>http://app.nuoua.od.ua/archive/61_2018/9.pdf</w:t>
        </w:r>
      </w:hyperlink>
      <w:r w:rsidRPr="00233185">
        <w:rPr>
          <w:rFonts w:ascii="Times New Roman" w:eastAsia="Calibri" w:hAnsi="Times New Roman" w:cs="Times New Roman"/>
          <w:sz w:val="28"/>
          <w:szCs w:val="28"/>
          <w:lang w:val="uk-UA"/>
        </w:rPr>
        <w:t>..</w:t>
      </w:r>
    </w:p>
    <w:p w14:paraId="10C66905"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lang w:val="uk-UA"/>
        </w:rPr>
      </w:pPr>
      <w:r w:rsidRPr="00233185">
        <w:rPr>
          <w:rFonts w:ascii="Times New Roman" w:eastAsia="Calibri" w:hAnsi="Times New Roman" w:cs="Times New Roman"/>
          <w:sz w:val="28"/>
          <w:szCs w:val="28"/>
          <w:lang w:val="uk-UA"/>
        </w:rPr>
        <w:t xml:space="preserve">Проноза, І. І. (2020). </w:t>
      </w:r>
      <w:r w:rsidRPr="00233185">
        <w:rPr>
          <w:rFonts w:ascii="Times New Roman" w:eastAsia="Calibri" w:hAnsi="Times New Roman" w:cs="Times New Roman"/>
          <w:i/>
          <w:iCs/>
          <w:sz w:val="28"/>
          <w:szCs w:val="28"/>
          <w:lang w:val="uk-UA"/>
        </w:rPr>
        <w:t>Засоби масової інформації і комунікації в інформаційній війні як сучасна політична практика</w:t>
      </w:r>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Політикус</w:t>
      </w:r>
      <w:proofErr w:type="spellEnd"/>
      <w:r w:rsidRPr="00233185">
        <w:rPr>
          <w:rFonts w:ascii="Times New Roman" w:eastAsia="Calibri" w:hAnsi="Times New Roman" w:cs="Times New Roman"/>
          <w:sz w:val="28"/>
          <w:szCs w:val="28"/>
          <w:lang w:val="uk-UA"/>
        </w:rPr>
        <w:t>, 3, 65–69.</w:t>
      </w:r>
      <w:r w:rsidRPr="00233185">
        <w:rPr>
          <w:rFonts w:ascii="Times New Roman" w:eastAsia="Calibri" w:hAnsi="Times New Roman" w:cs="Times New Roman"/>
          <w:color w:val="000000"/>
          <w:kern w:val="0"/>
          <w:sz w:val="16"/>
          <w:szCs w:val="16"/>
          <w:lang w:val="uk-UA"/>
        </w:rPr>
        <w:t xml:space="preserve"> </w:t>
      </w:r>
      <w:hyperlink r:id="rId19" w:history="1">
        <w:r w:rsidRPr="00233185">
          <w:rPr>
            <w:rFonts w:ascii="Times New Roman" w:eastAsia="Calibri" w:hAnsi="Times New Roman" w:cs="Times New Roman"/>
            <w:color w:val="0563C1" w:themeColor="hyperlink"/>
            <w:sz w:val="28"/>
            <w:szCs w:val="28"/>
            <w:u w:val="single"/>
            <w:lang w:val="uk-UA"/>
          </w:rPr>
          <w:t>https://doi.org/10.24195/2414-9616.2020-3.10</w:t>
        </w:r>
      </w:hyperlink>
    </w:p>
    <w:p w14:paraId="26B7AA80"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SPRAVDI. (2025, </w:t>
      </w:r>
      <w:proofErr w:type="spellStart"/>
      <w:r w:rsidRPr="00233185">
        <w:rPr>
          <w:rFonts w:ascii="Times New Roman" w:eastAsia="Calibri" w:hAnsi="Times New Roman" w:cs="Times New Roman"/>
          <w:sz w:val="28"/>
          <w:szCs w:val="28"/>
          <w:lang w:val="uk-UA"/>
        </w:rPr>
        <w:t>April</w:t>
      </w:r>
      <w:proofErr w:type="spellEnd"/>
      <w:r w:rsidRPr="00233185">
        <w:rPr>
          <w:rFonts w:ascii="Times New Roman" w:eastAsia="Calibri" w:hAnsi="Times New Roman" w:cs="Times New Roman"/>
          <w:sz w:val="28"/>
          <w:szCs w:val="28"/>
          <w:lang w:val="uk-UA"/>
        </w:rPr>
        <w:t xml:space="preserve"> 3). </w:t>
      </w:r>
      <w:r w:rsidRPr="00233185">
        <w:rPr>
          <w:rFonts w:ascii="Times New Roman" w:eastAsia="Calibri" w:hAnsi="Times New Roman" w:cs="Times New Roman"/>
          <w:i/>
          <w:iCs/>
          <w:sz w:val="28"/>
          <w:szCs w:val="28"/>
          <w:lang w:val="uk-UA"/>
        </w:rPr>
        <w:t>Ухилення від миру. Навіщо Путін заговорив про «зовнішнє управління» Україною</w:t>
      </w:r>
      <w:r w:rsidRPr="00233185">
        <w:rPr>
          <w:rFonts w:ascii="Times New Roman" w:eastAsia="Calibri" w:hAnsi="Times New Roman" w:cs="Times New Roman"/>
          <w:sz w:val="28"/>
          <w:szCs w:val="28"/>
          <w:lang w:val="uk-UA"/>
        </w:rPr>
        <w:t xml:space="preserve">. </w:t>
      </w:r>
      <w:hyperlink r:id="rId20" w:tgtFrame="_new" w:history="1">
        <w:r w:rsidRPr="00233185">
          <w:rPr>
            <w:rFonts w:ascii="Times New Roman" w:eastAsia="Calibri" w:hAnsi="Times New Roman" w:cs="Times New Roman"/>
            <w:color w:val="0563C1" w:themeColor="hyperlink"/>
            <w:sz w:val="28"/>
            <w:szCs w:val="28"/>
            <w:u w:val="single"/>
            <w:lang w:val="uk-UA"/>
          </w:rPr>
          <w:t>https://spravdi.gov.ua/uhylennya-vid-myru-navishho-putin-zagovoryv-pro-zovnishnye-upravlinnya-ukrayinoyu/</w:t>
        </w:r>
      </w:hyperlink>
    </w:p>
    <w:p w14:paraId="6F14C77D"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Шаньгін</w:t>
      </w:r>
      <w:proofErr w:type="spellEnd"/>
      <w:r w:rsidRPr="00233185">
        <w:rPr>
          <w:rFonts w:ascii="Times New Roman" w:eastAsia="Calibri" w:hAnsi="Times New Roman" w:cs="Times New Roman"/>
          <w:sz w:val="28"/>
          <w:szCs w:val="28"/>
          <w:lang w:val="uk-UA"/>
        </w:rPr>
        <w:t xml:space="preserve">, В. І. (2014). </w:t>
      </w:r>
      <w:r w:rsidRPr="00233185">
        <w:rPr>
          <w:rFonts w:ascii="Times New Roman" w:eastAsia="Calibri" w:hAnsi="Times New Roman" w:cs="Times New Roman"/>
          <w:i/>
          <w:iCs/>
          <w:sz w:val="28"/>
          <w:szCs w:val="28"/>
          <w:lang w:val="uk-UA"/>
        </w:rPr>
        <w:t>Інформаційна безпека: навчальний посібник</w:t>
      </w:r>
      <w:r w:rsidRPr="00233185">
        <w:rPr>
          <w:rFonts w:ascii="Times New Roman" w:eastAsia="Calibri" w:hAnsi="Times New Roman" w:cs="Times New Roman"/>
          <w:sz w:val="28"/>
          <w:szCs w:val="28"/>
          <w:lang w:val="uk-UA"/>
        </w:rPr>
        <w:t>. Харків: ХНУРЕ.</w:t>
      </w:r>
    </w:p>
    <w:p w14:paraId="0B360232"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Яворська, Я. Г. (2014). Гібридна війна як дискурсивний конструкт. </w:t>
      </w:r>
      <w:proofErr w:type="spellStart"/>
      <w:r w:rsidRPr="00233185">
        <w:rPr>
          <w:rFonts w:ascii="Times New Roman" w:eastAsia="Calibri" w:hAnsi="Times New Roman" w:cs="Times New Roman"/>
          <w:i/>
          <w:iCs/>
          <w:sz w:val="28"/>
          <w:szCs w:val="28"/>
          <w:lang w:val="uk-UA"/>
        </w:rPr>
        <w:t>Strategic</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Priorities</w:t>
      </w:r>
      <w:proofErr w:type="spellEnd"/>
      <w:r w:rsidRPr="00233185">
        <w:rPr>
          <w:rFonts w:ascii="Times New Roman" w:eastAsia="Calibri" w:hAnsi="Times New Roman" w:cs="Times New Roman"/>
          <w:sz w:val="28"/>
          <w:szCs w:val="28"/>
          <w:lang w:val="uk-UA"/>
        </w:rPr>
        <w:t xml:space="preserve">, </w:t>
      </w:r>
      <w:r w:rsidRPr="00233185">
        <w:rPr>
          <w:rFonts w:ascii="Times New Roman" w:eastAsia="Calibri" w:hAnsi="Times New Roman" w:cs="Times New Roman"/>
          <w:i/>
          <w:iCs/>
          <w:sz w:val="28"/>
          <w:szCs w:val="28"/>
          <w:lang w:val="uk-UA"/>
        </w:rPr>
        <w:t>(4)</w:t>
      </w:r>
      <w:r w:rsidRPr="00233185">
        <w:rPr>
          <w:rFonts w:ascii="Times New Roman" w:eastAsia="Calibri" w:hAnsi="Times New Roman" w:cs="Times New Roman"/>
          <w:sz w:val="28"/>
          <w:szCs w:val="28"/>
          <w:lang w:val="uk-UA"/>
        </w:rPr>
        <w:t>, 41–48. https://ippi.org.ua/sites/default/files/yavorskaya.pdf.</w:t>
      </w:r>
    </w:p>
    <w:p w14:paraId="31FEEE5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Ali</w:t>
      </w:r>
      <w:proofErr w:type="spellEnd"/>
      <w:r w:rsidRPr="00233185">
        <w:rPr>
          <w:rFonts w:ascii="Times New Roman" w:eastAsia="Calibri" w:hAnsi="Times New Roman" w:cs="Times New Roman"/>
          <w:sz w:val="28"/>
          <w:szCs w:val="28"/>
          <w:lang w:val="uk-UA"/>
        </w:rPr>
        <w:t xml:space="preserve">, F., </w:t>
      </w:r>
      <w:proofErr w:type="spellStart"/>
      <w:r w:rsidRPr="00233185">
        <w:rPr>
          <w:rFonts w:ascii="Times New Roman" w:eastAsia="Calibri" w:hAnsi="Times New Roman" w:cs="Times New Roman"/>
          <w:sz w:val="28"/>
          <w:szCs w:val="28"/>
          <w:lang w:val="uk-UA"/>
        </w:rPr>
        <w:t>Razzaq</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Khan</w:t>
      </w:r>
      <w:proofErr w:type="spellEnd"/>
      <w:r w:rsidRPr="00233185">
        <w:rPr>
          <w:rFonts w:ascii="Times New Roman" w:eastAsia="Calibri" w:hAnsi="Times New Roman" w:cs="Times New Roman"/>
          <w:sz w:val="28"/>
          <w:szCs w:val="28"/>
          <w:lang w:val="uk-UA"/>
        </w:rPr>
        <w:t xml:space="preserve">, S., &amp; </w:t>
      </w:r>
      <w:proofErr w:type="spellStart"/>
      <w:r w:rsidRPr="00233185">
        <w:rPr>
          <w:rFonts w:ascii="Times New Roman" w:eastAsia="Calibri" w:hAnsi="Times New Roman" w:cs="Times New Roman"/>
          <w:sz w:val="28"/>
          <w:szCs w:val="28"/>
          <w:lang w:val="uk-UA"/>
        </w:rPr>
        <w:t>Ullah</w:t>
      </w:r>
      <w:proofErr w:type="spellEnd"/>
      <w:r w:rsidRPr="00233185">
        <w:rPr>
          <w:rFonts w:ascii="Times New Roman" w:eastAsia="Calibri" w:hAnsi="Times New Roman" w:cs="Times New Roman"/>
          <w:sz w:val="28"/>
          <w:szCs w:val="28"/>
          <w:lang w:val="uk-UA"/>
        </w:rPr>
        <w:t xml:space="preserve">, F. (2025). </w:t>
      </w:r>
      <w:proofErr w:type="spellStart"/>
      <w:r w:rsidRPr="00233185">
        <w:rPr>
          <w:rFonts w:ascii="Times New Roman" w:eastAsia="Calibri" w:hAnsi="Times New Roman" w:cs="Times New Roman"/>
          <w:i/>
          <w:iCs/>
          <w:sz w:val="28"/>
          <w:szCs w:val="28"/>
          <w:lang w:val="uk-UA"/>
        </w:rPr>
        <w:t>Hybrid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warfare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non-state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actors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Middle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East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South</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Asia</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Emerging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threats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strategic</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responses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i/>
          <w:iCs/>
          <w:sz w:val="28"/>
          <w:szCs w:val="28"/>
          <w:lang w:val="uk-UA"/>
        </w:rPr>
        <w:lastRenderedPageBreak/>
        <w:t>Policy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Journal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Social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Science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Review</w:t>
      </w:r>
      <w:proofErr w:type="spellEnd"/>
      <w:r w:rsidRPr="00233185">
        <w:rPr>
          <w:rFonts w:ascii="Times New Roman" w:eastAsia="Calibri" w:hAnsi="Times New Roman" w:cs="Times New Roman"/>
          <w:sz w:val="28"/>
          <w:szCs w:val="28"/>
          <w:lang w:val="uk-UA"/>
        </w:rPr>
        <w:t xml:space="preserve">, 3(11), 61–69. </w:t>
      </w:r>
      <w:hyperlink r:id="rId21" w:tgtFrame="_new" w:history="1">
        <w:r w:rsidRPr="00233185">
          <w:rPr>
            <w:rFonts w:ascii="Times New Roman" w:eastAsia="Calibri" w:hAnsi="Times New Roman" w:cs="Times New Roman"/>
            <w:color w:val="0563C1" w:themeColor="hyperlink"/>
            <w:sz w:val="28"/>
            <w:szCs w:val="28"/>
            <w:u w:val="single"/>
            <w:lang w:val="uk-UA"/>
          </w:rPr>
          <w:t>https://policyjssr.com/index.php/PJSSR/article/view/583</w:t>
        </w:r>
      </w:hyperlink>
    </w:p>
    <w:p w14:paraId="1C0A3F99"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Bakirov</w:t>
      </w:r>
      <w:proofErr w:type="spellEnd"/>
      <w:r w:rsidRPr="00233185">
        <w:rPr>
          <w:rFonts w:ascii="Times New Roman" w:eastAsia="Calibri" w:hAnsi="Times New Roman" w:cs="Times New Roman"/>
          <w:sz w:val="28"/>
          <w:szCs w:val="28"/>
          <w:lang w:val="uk-UA"/>
        </w:rPr>
        <w:t xml:space="preserve">, A., &amp; </w:t>
      </w:r>
      <w:proofErr w:type="spellStart"/>
      <w:r w:rsidRPr="00233185">
        <w:rPr>
          <w:rFonts w:ascii="Times New Roman" w:eastAsia="Calibri" w:hAnsi="Times New Roman" w:cs="Times New Roman"/>
          <w:sz w:val="28"/>
          <w:szCs w:val="28"/>
          <w:lang w:val="uk-UA"/>
        </w:rPr>
        <w:t>Suleimenov</w:t>
      </w:r>
      <w:proofErr w:type="spellEnd"/>
      <w:r w:rsidRPr="00233185">
        <w:rPr>
          <w:rFonts w:ascii="Times New Roman" w:eastAsia="Calibri" w:hAnsi="Times New Roman" w:cs="Times New Roman"/>
          <w:sz w:val="28"/>
          <w:szCs w:val="28"/>
          <w:lang w:val="uk-UA"/>
        </w:rPr>
        <w:t xml:space="preserve">, I. (2025). </w:t>
      </w:r>
      <w:proofErr w:type="spellStart"/>
      <w:r w:rsidRPr="00233185">
        <w:rPr>
          <w:rFonts w:ascii="Times New Roman" w:eastAsia="Calibri" w:hAnsi="Times New Roman" w:cs="Times New Roman"/>
          <w:i/>
          <w:iCs/>
          <w:sz w:val="28"/>
          <w:szCs w:val="28"/>
          <w:lang w:val="uk-UA"/>
        </w:rPr>
        <w:t>Theoretical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bases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methods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counteraction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to</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modern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forms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warfare</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i/>
          <w:iCs/>
          <w:sz w:val="28"/>
          <w:szCs w:val="28"/>
          <w:lang w:val="uk-UA"/>
        </w:rPr>
        <w:t>Computers</w:t>
      </w:r>
      <w:proofErr w:type="spellEnd"/>
      <w:r w:rsidRPr="00233185">
        <w:rPr>
          <w:rFonts w:ascii="Times New Roman" w:eastAsia="Calibri" w:hAnsi="Times New Roman" w:cs="Times New Roman"/>
          <w:i/>
          <w:iCs/>
          <w:sz w:val="28"/>
          <w:szCs w:val="28"/>
          <w:lang w:val="uk-UA"/>
        </w:rPr>
        <w:t>, 14</w:t>
      </w:r>
      <w:r w:rsidRPr="00233185">
        <w:rPr>
          <w:rFonts w:ascii="Times New Roman" w:eastAsia="Calibri" w:hAnsi="Times New Roman" w:cs="Times New Roman"/>
          <w:sz w:val="28"/>
          <w:szCs w:val="28"/>
          <w:lang w:val="uk-UA"/>
        </w:rPr>
        <w:t xml:space="preserve">(10), 410. </w:t>
      </w:r>
      <w:hyperlink r:id="rId22" w:history="1">
        <w:r w:rsidRPr="00233185">
          <w:rPr>
            <w:rFonts w:ascii="Times New Roman" w:eastAsia="Calibri" w:hAnsi="Times New Roman" w:cs="Times New Roman"/>
            <w:color w:val="0563C1" w:themeColor="hyperlink"/>
            <w:sz w:val="28"/>
            <w:szCs w:val="28"/>
            <w:u w:val="single"/>
            <w:lang w:val="uk-UA"/>
          </w:rPr>
          <w:t>https://doi.org/10.3390/computers14100410</w:t>
        </w:r>
      </w:hyperlink>
    </w:p>
    <w:p w14:paraId="503688B4"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Bliss</w:t>
      </w:r>
      <w:proofErr w:type="spellEnd"/>
      <w:r w:rsidRPr="00233185">
        <w:rPr>
          <w:rFonts w:ascii="Times New Roman" w:eastAsia="Calibri" w:hAnsi="Times New Roman" w:cs="Times New Roman"/>
          <w:sz w:val="28"/>
          <w:szCs w:val="28"/>
          <w:lang w:val="uk-UA"/>
        </w:rPr>
        <w:t xml:space="preserve">, N., </w:t>
      </w:r>
      <w:proofErr w:type="spellStart"/>
      <w:r w:rsidRPr="00233185">
        <w:rPr>
          <w:rFonts w:ascii="Times New Roman" w:eastAsia="Calibri" w:hAnsi="Times New Roman" w:cs="Times New Roman"/>
          <w:sz w:val="28"/>
          <w:szCs w:val="28"/>
          <w:lang w:val="uk-UA"/>
        </w:rPr>
        <w:t>Bradley</w:t>
      </w:r>
      <w:proofErr w:type="spellEnd"/>
      <w:r w:rsidRPr="00233185">
        <w:rPr>
          <w:rFonts w:ascii="Times New Roman" w:eastAsia="Calibri" w:hAnsi="Times New Roman" w:cs="Times New Roman"/>
          <w:sz w:val="28"/>
          <w:szCs w:val="28"/>
          <w:lang w:val="uk-UA"/>
        </w:rPr>
        <w:t xml:space="preserve">, E., </w:t>
      </w:r>
      <w:proofErr w:type="spellStart"/>
      <w:r w:rsidRPr="00233185">
        <w:rPr>
          <w:rFonts w:ascii="Times New Roman" w:eastAsia="Calibri" w:hAnsi="Times New Roman" w:cs="Times New Roman"/>
          <w:sz w:val="28"/>
          <w:szCs w:val="28"/>
          <w:lang w:val="uk-UA"/>
        </w:rPr>
        <w:t>Garland</w:t>
      </w:r>
      <w:proofErr w:type="spellEnd"/>
      <w:r w:rsidRPr="00233185">
        <w:rPr>
          <w:rFonts w:ascii="Times New Roman" w:eastAsia="Calibri" w:hAnsi="Times New Roman" w:cs="Times New Roman"/>
          <w:sz w:val="28"/>
          <w:szCs w:val="28"/>
          <w:lang w:val="uk-UA"/>
        </w:rPr>
        <w:t xml:space="preserve">, J., </w:t>
      </w:r>
      <w:proofErr w:type="spellStart"/>
      <w:r w:rsidRPr="00233185">
        <w:rPr>
          <w:rFonts w:ascii="Times New Roman" w:eastAsia="Calibri" w:hAnsi="Times New Roman" w:cs="Times New Roman"/>
          <w:sz w:val="28"/>
          <w:szCs w:val="28"/>
          <w:lang w:val="uk-UA"/>
        </w:rPr>
        <w:t>Menczer</w:t>
      </w:r>
      <w:proofErr w:type="spellEnd"/>
      <w:r w:rsidRPr="00233185">
        <w:rPr>
          <w:rFonts w:ascii="Times New Roman" w:eastAsia="Calibri" w:hAnsi="Times New Roman" w:cs="Times New Roman"/>
          <w:sz w:val="28"/>
          <w:szCs w:val="28"/>
          <w:lang w:val="uk-UA"/>
        </w:rPr>
        <w:t xml:space="preserve">, F., </w:t>
      </w:r>
      <w:proofErr w:type="spellStart"/>
      <w:r w:rsidRPr="00233185">
        <w:rPr>
          <w:rFonts w:ascii="Times New Roman" w:eastAsia="Calibri" w:hAnsi="Times New Roman" w:cs="Times New Roman"/>
          <w:sz w:val="28"/>
          <w:szCs w:val="28"/>
          <w:lang w:val="uk-UA"/>
        </w:rPr>
        <w:t>Ruston</w:t>
      </w:r>
      <w:proofErr w:type="spellEnd"/>
      <w:r w:rsidRPr="00233185">
        <w:rPr>
          <w:rFonts w:ascii="Times New Roman" w:eastAsia="Calibri" w:hAnsi="Times New Roman" w:cs="Times New Roman"/>
          <w:sz w:val="28"/>
          <w:szCs w:val="28"/>
          <w:lang w:val="uk-UA"/>
        </w:rPr>
        <w:t xml:space="preserve">, S. W., </w:t>
      </w:r>
      <w:proofErr w:type="spellStart"/>
      <w:r w:rsidRPr="00233185">
        <w:rPr>
          <w:rFonts w:ascii="Times New Roman" w:eastAsia="Calibri" w:hAnsi="Times New Roman" w:cs="Times New Roman"/>
          <w:sz w:val="28"/>
          <w:szCs w:val="28"/>
          <w:lang w:val="uk-UA"/>
        </w:rPr>
        <w:t>Starbird</w:t>
      </w:r>
      <w:proofErr w:type="spellEnd"/>
      <w:r w:rsidRPr="00233185">
        <w:rPr>
          <w:rFonts w:ascii="Times New Roman" w:eastAsia="Calibri" w:hAnsi="Times New Roman" w:cs="Times New Roman"/>
          <w:sz w:val="28"/>
          <w:szCs w:val="28"/>
          <w:lang w:val="uk-UA"/>
        </w:rPr>
        <w:t xml:space="preserve">, K., &amp; </w:t>
      </w:r>
      <w:proofErr w:type="spellStart"/>
      <w:r w:rsidRPr="00233185">
        <w:rPr>
          <w:rFonts w:ascii="Times New Roman" w:eastAsia="Calibri" w:hAnsi="Times New Roman" w:cs="Times New Roman"/>
          <w:sz w:val="28"/>
          <w:szCs w:val="28"/>
          <w:lang w:val="uk-UA"/>
        </w:rPr>
        <w:t>Wiggins</w:t>
      </w:r>
      <w:proofErr w:type="spellEnd"/>
      <w:r w:rsidRPr="00233185">
        <w:rPr>
          <w:rFonts w:ascii="Times New Roman" w:eastAsia="Calibri" w:hAnsi="Times New Roman" w:cs="Times New Roman"/>
          <w:sz w:val="28"/>
          <w:szCs w:val="28"/>
          <w:lang w:val="uk-UA"/>
        </w:rPr>
        <w:t xml:space="preserve">, C. (2020). </w:t>
      </w:r>
      <w:proofErr w:type="spellStart"/>
      <w:r w:rsidRPr="00233185">
        <w:rPr>
          <w:rFonts w:ascii="Times New Roman" w:eastAsia="Calibri" w:hAnsi="Times New Roman" w:cs="Times New Roman"/>
          <w:i/>
          <w:iCs/>
          <w:sz w:val="28"/>
          <w:szCs w:val="28"/>
          <w:lang w:val="uk-UA"/>
        </w:rPr>
        <w:t>An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agenda</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disinformation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research</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arXiv</w:t>
      </w:r>
      <w:proofErr w:type="spellEnd"/>
      <w:r w:rsidRPr="00233185">
        <w:rPr>
          <w:rFonts w:ascii="Times New Roman" w:eastAsia="Calibri" w:hAnsi="Times New Roman" w:cs="Times New Roman"/>
          <w:sz w:val="28"/>
          <w:szCs w:val="28"/>
          <w:lang w:val="uk-UA"/>
        </w:rPr>
        <w:t xml:space="preserve">. </w:t>
      </w:r>
      <w:hyperlink r:id="rId23" w:tgtFrame="_new" w:history="1">
        <w:r w:rsidRPr="00233185">
          <w:rPr>
            <w:rFonts w:ascii="Times New Roman" w:eastAsia="Calibri" w:hAnsi="Times New Roman" w:cs="Times New Roman"/>
            <w:color w:val="0563C1" w:themeColor="hyperlink"/>
            <w:sz w:val="28"/>
            <w:szCs w:val="28"/>
            <w:u w:val="single"/>
            <w:lang w:val="uk-UA"/>
          </w:rPr>
          <w:t>https://arxiv.org/abs/2012.08572</w:t>
        </w:r>
      </w:hyperlink>
    </w:p>
    <w:p w14:paraId="57273D1A"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Cardon</w:t>
      </w:r>
      <w:proofErr w:type="spellEnd"/>
      <w:r w:rsidRPr="00233185">
        <w:rPr>
          <w:rFonts w:ascii="Times New Roman" w:eastAsia="Calibri" w:hAnsi="Times New Roman" w:cs="Times New Roman"/>
          <w:sz w:val="28"/>
          <w:szCs w:val="28"/>
          <w:lang w:val="uk-UA"/>
        </w:rPr>
        <w:t xml:space="preserve">, S., </w:t>
      </w:r>
      <w:proofErr w:type="spellStart"/>
      <w:r w:rsidRPr="00233185">
        <w:rPr>
          <w:rFonts w:ascii="Times New Roman" w:eastAsia="Calibri" w:hAnsi="Times New Roman" w:cs="Times New Roman"/>
          <w:sz w:val="28"/>
          <w:szCs w:val="28"/>
          <w:lang w:val="uk-UA"/>
        </w:rPr>
        <w:t>Luminet</w:t>
      </w:r>
      <w:proofErr w:type="spellEnd"/>
      <w:r w:rsidRPr="00233185">
        <w:rPr>
          <w:rFonts w:ascii="Times New Roman" w:eastAsia="Calibri" w:hAnsi="Times New Roman" w:cs="Times New Roman"/>
          <w:sz w:val="28"/>
          <w:szCs w:val="28"/>
          <w:lang w:val="uk-UA"/>
        </w:rPr>
        <w:t xml:space="preserve">, O., &amp; </w:t>
      </w:r>
      <w:proofErr w:type="spellStart"/>
      <w:r w:rsidRPr="00233185">
        <w:rPr>
          <w:rFonts w:ascii="Times New Roman" w:eastAsia="Calibri" w:hAnsi="Times New Roman" w:cs="Times New Roman"/>
          <w:sz w:val="28"/>
          <w:szCs w:val="28"/>
          <w:lang w:val="uk-UA"/>
        </w:rPr>
        <w:t>Cordonnier</w:t>
      </w:r>
      <w:proofErr w:type="spellEnd"/>
      <w:r w:rsidRPr="00233185">
        <w:rPr>
          <w:rFonts w:ascii="Times New Roman" w:eastAsia="Calibri" w:hAnsi="Times New Roman" w:cs="Times New Roman"/>
          <w:sz w:val="28"/>
          <w:szCs w:val="28"/>
          <w:lang w:val="uk-UA"/>
        </w:rPr>
        <w:t xml:space="preserve">, A. (2025). </w:t>
      </w:r>
      <w:proofErr w:type="spellStart"/>
      <w:r w:rsidRPr="00233185">
        <w:rPr>
          <w:rFonts w:ascii="Times New Roman" w:eastAsia="Calibri" w:hAnsi="Times New Roman" w:cs="Times New Roman"/>
          <w:i/>
          <w:iCs/>
          <w:sz w:val="28"/>
          <w:szCs w:val="28"/>
          <w:lang w:val="uk-UA"/>
        </w:rPr>
        <w:t>Does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emotional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framing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narratives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influence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attitudes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Evidence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from</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second-hand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testimonies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on</w:t>
      </w:r>
      <w:proofErr w:type="spellEnd"/>
      <w:r w:rsidRPr="00233185">
        <w:rPr>
          <w:rFonts w:ascii="Times New Roman" w:eastAsia="Calibri" w:hAnsi="Times New Roman" w:cs="Times New Roman"/>
          <w:i/>
          <w:iCs/>
          <w:sz w:val="28"/>
          <w:szCs w:val="28"/>
          <w:lang w:val="uk-UA"/>
        </w:rPr>
        <w:t xml:space="preserve"> WWII </w:t>
      </w:r>
      <w:proofErr w:type="spellStart"/>
      <w:r w:rsidRPr="00233185">
        <w:rPr>
          <w:rFonts w:ascii="Times New Roman" w:eastAsia="Calibri" w:hAnsi="Times New Roman" w:cs="Times New Roman"/>
          <w:i/>
          <w:iCs/>
          <w:sz w:val="28"/>
          <w:szCs w:val="28"/>
          <w:lang w:val="uk-UA"/>
        </w:rPr>
        <w:t>collaboration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repression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Memory</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Mind</w:t>
      </w:r>
      <w:proofErr w:type="spellEnd"/>
      <w:r w:rsidRPr="00233185">
        <w:rPr>
          <w:rFonts w:ascii="Times New Roman" w:eastAsia="Calibri" w:hAnsi="Times New Roman" w:cs="Times New Roman"/>
          <w:sz w:val="28"/>
          <w:szCs w:val="28"/>
          <w:lang w:val="uk-UA"/>
        </w:rPr>
        <w:t xml:space="preserve"> &amp; </w:t>
      </w:r>
      <w:proofErr w:type="spellStart"/>
      <w:r w:rsidRPr="00233185">
        <w:rPr>
          <w:rFonts w:ascii="Times New Roman" w:eastAsia="Calibri" w:hAnsi="Times New Roman" w:cs="Times New Roman"/>
          <w:sz w:val="28"/>
          <w:szCs w:val="28"/>
          <w:lang w:val="uk-UA"/>
        </w:rPr>
        <w:t>Media</w:t>
      </w:r>
      <w:proofErr w:type="spellEnd"/>
      <w:r w:rsidRPr="00233185">
        <w:rPr>
          <w:rFonts w:ascii="Times New Roman" w:eastAsia="Calibri" w:hAnsi="Times New Roman" w:cs="Times New Roman"/>
          <w:sz w:val="28"/>
          <w:szCs w:val="28"/>
          <w:lang w:val="uk-UA"/>
        </w:rPr>
        <w:t xml:space="preserve">, 4, e6, 1–15. </w:t>
      </w:r>
      <w:hyperlink r:id="rId24" w:history="1">
        <w:r w:rsidRPr="00233185">
          <w:rPr>
            <w:rFonts w:ascii="Times New Roman" w:eastAsia="Calibri" w:hAnsi="Times New Roman" w:cs="Times New Roman"/>
            <w:color w:val="0563C1" w:themeColor="hyperlink"/>
            <w:sz w:val="28"/>
            <w:szCs w:val="28"/>
            <w:u w:val="single"/>
            <w:lang w:val="uk-UA"/>
          </w:rPr>
          <w:t>https://doi.org/10.1017/mem.2025.10002</w:t>
        </w:r>
      </w:hyperlink>
    </w:p>
    <w:p w14:paraId="175FF4E0"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Centre</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for</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Strategic</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Communication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and</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Information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Security</w:t>
      </w:r>
      <w:proofErr w:type="spellEnd"/>
      <w:r w:rsidRPr="00233185">
        <w:rPr>
          <w:rFonts w:ascii="Times New Roman" w:eastAsia="Calibri" w:hAnsi="Times New Roman" w:cs="Times New Roman"/>
          <w:sz w:val="28"/>
          <w:szCs w:val="28"/>
          <w:lang w:val="uk-UA"/>
        </w:rPr>
        <w:t xml:space="preserve">. (2025). </w:t>
      </w:r>
      <w:proofErr w:type="spellStart"/>
      <w:r w:rsidRPr="00233185">
        <w:rPr>
          <w:rFonts w:ascii="Times New Roman" w:eastAsia="Calibri" w:hAnsi="Times New Roman" w:cs="Times New Roman"/>
          <w:i/>
          <w:iCs/>
          <w:sz w:val="28"/>
          <w:szCs w:val="28"/>
          <w:lang w:val="uk-UA"/>
        </w:rPr>
        <w:t>Centre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Strategic</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Communication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sz w:val="28"/>
          <w:szCs w:val="28"/>
          <w:lang w:val="uk-UA"/>
        </w:rPr>
        <w:t xml:space="preserve">. </w:t>
      </w:r>
      <w:hyperlink r:id="rId25" w:tgtFrame="_new" w:history="1">
        <w:r w:rsidRPr="00233185">
          <w:rPr>
            <w:rFonts w:ascii="Times New Roman" w:eastAsia="Calibri" w:hAnsi="Times New Roman" w:cs="Times New Roman"/>
            <w:color w:val="0563C1" w:themeColor="hyperlink"/>
            <w:sz w:val="28"/>
            <w:szCs w:val="28"/>
            <w:u w:val="single"/>
            <w:lang w:val="uk-UA"/>
          </w:rPr>
          <w:t>https://en.wikipedia.org/wiki/Centre_for_Strategic_Communication_and_Information_Security</w:t>
        </w:r>
      </w:hyperlink>
    </w:p>
    <w:p w14:paraId="5741F47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Chang</w:t>
      </w:r>
      <w:proofErr w:type="spellEnd"/>
      <w:r w:rsidRPr="00233185">
        <w:rPr>
          <w:rFonts w:ascii="Times New Roman" w:eastAsia="Calibri" w:hAnsi="Times New Roman" w:cs="Times New Roman"/>
          <w:sz w:val="28"/>
          <w:szCs w:val="28"/>
          <w:lang w:val="uk-UA"/>
        </w:rPr>
        <w:t xml:space="preserve">, Y., </w:t>
      </w:r>
      <w:proofErr w:type="spellStart"/>
      <w:r w:rsidRPr="00233185">
        <w:rPr>
          <w:rFonts w:ascii="Times New Roman" w:eastAsia="Calibri" w:hAnsi="Times New Roman" w:cs="Times New Roman"/>
          <w:sz w:val="28"/>
          <w:szCs w:val="28"/>
          <w:lang w:val="uk-UA"/>
        </w:rPr>
        <w:t>Keblis</w:t>
      </w:r>
      <w:proofErr w:type="spellEnd"/>
      <w:r w:rsidRPr="00233185">
        <w:rPr>
          <w:rFonts w:ascii="Times New Roman" w:eastAsia="Calibri" w:hAnsi="Times New Roman" w:cs="Times New Roman"/>
          <w:sz w:val="28"/>
          <w:szCs w:val="28"/>
          <w:lang w:val="uk-UA"/>
        </w:rPr>
        <w:t xml:space="preserve">, M. F., </w:t>
      </w:r>
      <w:proofErr w:type="spellStart"/>
      <w:r w:rsidRPr="00233185">
        <w:rPr>
          <w:rFonts w:ascii="Times New Roman" w:eastAsia="Calibri" w:hAnsi="Times New Roman" w:cs="Times New Roman"/>
          <w:sz w:val="28"/>
          <w:szCs w:val="28"/>
          <w:lang w:val="uk-UA"/>
        </w:rPr>
        <w:t>Li</w:t>
      </w:r>
      <w:proofErr w:type="spellEnd"/>
      <w:r w:rsidRPr="00233185">
        <w:rPr>
          <w:rFonts w:ascii="Times New Roman" w:eastAsia="Calibri" w:hAnsi="Times New Roman" w:cs="Times New Roman"/>
          <w:sz w:val="28"/>
          <w:szCs w:val="28"/>
          <w:lang w:val="uk-UA"/>
        </w:rPr>
        <w:t xml:space="preserve">, R., </w:t>
      </w:r>
      <w:proofErr w:type="spellStart"/>
      <w:r w:rsidRPr="00233185">
        <w:rPr>
          <w:rFonts w:ascii="Times New Roman" w:eastAsia="Calibri" w:hAnsi="Times New Roman" w:cs="Times New Roman"/>
          <w:sz w:val="28"/>
          <w:szCs w:val="28"/>
          <w:lang w:val="uk-UA"/>
        </w:rPr>
        <w:t>Iakovou</w:t>
      </w:r>
      <w:proofErr w:type="spellEnd"/>
      <w:r w:rsidRPr="00233185">
        <w:rPr>
          <w:rFonts w:ascii="Times New Roman" w:eastAsia="Calibri" w:hAnsi="Times New Roman" w:cs="Times New Roman"/>
          <w:sz w:val="28"/>
          <w:szCs w:val="28"/>
          <w:lang w:val="uk-UA"/>
        </w:rPr>
        <w:t xml:space="preserve">, E. I., &amp; </w:t>
      </w:r>
      <w:proofErr w:type="spellStart"/>
      <w:r w:rsidRPr="00233185">
        <w:rPr>
          <w:rFonts w:ascii="Times New Roman" w:eastAsia="Calibri" w:hAnsi="Times New Roman" w:cs="Times New Roman"/>
          <w:sz w:val="28"/>
          <w:szCs w:val="28"/>
          <w:lang w:val="uk-UA"/>
        </w:rPr>
        <w:t>White</w:t>
      </w:r>
      <w:proofErr w:type="spellEnd"/>
      <w:r w:rsidRPr="00233185">
        <w:rPr>
          <w:rFonts w:ascii="Times New Roman" w:eastAsia="Calibri" w:hAnsi="Times New Roman" w:cs="Times New Roman"/>
          <w:sz w:val="28"/>
          <w:szCs w:val="28"/>
          <w:lang w:val="uk-UA"/>
        </w:rPr>
        <w:t xml:space="preserve"> III, C. C. (2019).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value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misinformation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disinformation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arXiv</w:t>
      </w:r>
      <w:proofErr w:type="spellEnd"/>
      <w:r w:rsidRPr="00233185">
        <w:rPr>
          <w:rFonts w:ascii="Times New Roman" w:eastAsia="Calibri" w:hAnsi="Times New Roman" w:cs="Times New Roman"/>
          <w:sz w:val="28"/>
          <w:szCs w:val="28"/>
          <w:lang w:val="uk-UA"/>
        </w:rPr>
        <w:t xml:space="preserve">. </w:t>
      </w:r>
      <w:hyperlink r:id="rId26" w:tgtFrame="_new" w:history="1">
        <w:r w:rsidRPr="00233185">
          <w:rPr>
            <w:rFonts w:ascii="Times New Roman" w:eastAsia="Calibri" w:hAnsi="Times New Roman" w:cs="Times New Roman"/>
            <w:color w:val="0563C1" w:themeColor="hyperlink"/>
            <w:sz w:val="28"/>
            <w:szCs w:val="28"/>
            <w:u w:val="single"/>
            <w:lang w:val="uk-UA"/>
          </w:rPr>
          <w:t>https://arxiv.org/abs/1901.01464</w:t>
        </w:r>
      </w:hyperlink>
    </w:p>
    <w:p w14:paraId="184C50D3"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Derbyshire</w:t>
      </w:r>
      <w:proofErr w:type="spellEnd"/>
      <w:r w:rsidRPr="00233185">
        <w:rPr>
          <w:rFonts w:ascii="Times New Roman" w:eastAsia="Calibri" w:hAnsi="Times New Roman" w:cs="Times New Roman"/>
          <w:sz w:val="28"/>
          <w:szCs w:val="28"/>
          <w:lang w:val="uk-UA"/>
        </w:rPr>
        <w:t xml:space="preserve">, R., </w:t>
      </w:r>
      <w:proofErr w:type="spellStart"/>
      <w:r w:rsidRPr="00233185">
        <w:rPr>
          <w:rFonts w:ascii="Times New Roman" w:eastAsia="Calibri" w:hAnsi="Times New Roman" w:cs="Times New Roman"/>
          <w:sz w:val="28"/>
          <w:szCs w:val="28"/>
          <w:lang w:val="uk-UA"/>
        </w:rPr>
        <w:t>Selck-Paulsson</w:t>
      </w:r>
      <w:proofErr w:type="spellEnd"/>
      <w:r w:rsidRPr="00233185">
        <w:rPr>
          <w:rFonts w:ascii="Times New Roman" w:eastAsia="Calibri" w:hAnsi="Times New Roman" w:cs="Times New Roman"/>
          <w:sz w:val="28"/>
          <w:szCs w:val="28"/>
          <w:lang w:val="uk-UA"/>
        </w:rPr>
        <w:t xml:space="preserve">, D., </w:t>
      </w:r>
      <w:proofErr w:type="spellStart"/>
      <w:r w:rsidRPr="00233185">
        <w:rPr>
          <w:rFonts w:ascii="Times New Roman" w:eastAsia="Calibri" w:hAnsi="Times New Roman" w:cs="Times New Roman"/>
          <w:sz w:val="28"/>
          <w:szCs w:val="28"/>
          <w:lang w:val="uk-UA"/>
        </w:rPr>
        <w:t>van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der</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Walt</w:t>
      </w:r>
      <w:proofErr w:type="spellEnd"/>
      <w:r w:rsidRPr="00233185">
        <w:rPr>
          <w:rFonts w:ascii="Times New Roman" w:eastAsia="Calibri" w:hAnsi="Times New Roman" w:cs="Times New Roman"/>
          <w:sz w:val="28"/>
          <w:szCs w:val="28"/>
          <w:lang w:val="uk-UA"/>
        </w:rPr>
        <w:t xml:space="preserve">, C., &amp; </w:t>
      </w:r>
      <w:proofErr w:type="spellStart"/>
      <w:r w:rsidRPr="00233185">
        <w:rPr>
          <w:rFonts w:ascii="Times New Roman" w:eastAsia="Calibri" w:hAnsi="Times New Roman" w:cs="Times New Roman"/>
          <w:sz w:val="28"/>
          <w:szCs w:val="28"/>
          <w:lang w:val="uk-UA"/>
        </w:rPr>
        <w:t>Burton</w:t>
      </w:r>
      <w:proofErr w:type="spellEnd"/>
      <w:r w:rsidRPr="00233185">
        <w:rPr>
          <w:rFonts w:ascii="Times New Roman" w:eastAsia="Calibri" w:hAnsi="Times New Roman" w:cs="Times New Roman"/>
          <w:sz w:val="28"/>
          <w:szCs w:val="28"/>
          <w:lang w:val="uk-UA"/>
        </w:rPr>
        <w:t xml:space="preserve">, J. (2025). </w:t>
      </w:r>
      <w:proofErr w:type="spellStart"/>
      <w:r w:rsidRPr="00233185">
        <w:rPr>
          <w:rFonts w:ascii="Times New Roman" w:eastAsia="Calibri" w:hAnsi="Times New Roman" w:cs="Times New Roman"/>
          <w:i/>
          <w:iCs/>
          <w:sz w:val="28"/>
          <w:szCs w:val="28"/>
          <w:lang w:val="uk-UA"/>
        </w:rPr>
        <w:t>From</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protest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to</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power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plant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Interpreting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role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escalatory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hacktivism</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cyber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conflict</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arXiv</w:t>
      </w:r>
      <w:proofErr w:type="spellEnd"/>
      <w:r w:rsidRPr="00233185">
        <w:rPr>
          <w:rFonts w:ascii="Times New Roman" w:eastAsia="Calibri" w:hAnsi="Times New Roman" w:cs="Times New Roman"/>
          <w:sz w:val="28"/>
          <w:szCs w:val="28"/>
          <w:lang w:val="uk-UA"/>
        </w:rPr>
        <w:t xml:space="preserve">. </w:t>
      </w:r>
      <w:hyperlink r:id="rId27" w:tgtFrame="_new" w:history="1">
        <w:r w:rsidRPr="00233185">
          <w:rPr>
            <w:rFonts w:ascii="Times New Roman" w:eastAsia="Calibri" w:hAnsi="Times New Roman" w:cs="Times New Roman"/>
            <w:color w:val="0563C1" w:themeColor="hyperlink"/>
            <w:sz w:val="28"/>
            <w:szCs w:val="28"/>
            <w:u w:val="single"/>
            <w:lang w:val="uk-UA"/>
          </w:rPr>
          <w:t>https://arxiv.org/abs/2509.05104</w:t>
        </w:r>
      </w:hyperlink>
    </w:p>
    <w:p w14:paraId="42C56F17"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Disinformation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attacks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targeted</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voters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media</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and</w:t>
      </w:r>
      <w:proofErr w:type="spellEnd"/>
      <w:r w:rsidRPr="00233185">
        <w:rPr>
          <w:rFonts w:ascii="Times New Roman" w:eastAsia="Calibri" w:hAnsi="Times New Roman" w:cs="Times New Roman"/>
          <w:sz w:val="28"/>
          <w:szCs w:val="28"/>
          <w:lang w:val="uk-UA"/>
        </w:rPr>
        <w:t xml:space="preserve"> LGBTQ+ </w:t>
      </w:r>
      <w:proofErr w:type="spellStart"/>
      <w:r w:rsidRPr="00233185">
        <w:rPr>
          <w:rFonts w:ascii="Times New Roman" w:eastAsia="Calibri" w:hAnsi="Times New Roman" w:cs="Times New Roman"/>
          <w:sz w:val="28"/>
          <w:szCs w:val="28"/>
          <w:lang w:val="uk-UA"/>
        </w:rPr>
        <w:t>groups</w:t>
      </w:r>
      <w:proofErr w:type="spellEnd"/>
      <w:r w:rsidRPr="00233185">
        <w:rPr>
          <w:rFonts w:ascii="Times New Roman" w:eastAsia="Calibri" w:hAnsi="Times New Roman" w:cs="Times New Roman"/>
          <w:sz w:val="28"/>
          <w:szCs w:val="28"/>
          <w:lang w:val="uk-UA"/>
        </w:rPr>
        <w:t xml:space="preserve">, EU </w:t>
      </w:r>
      <w:proofErr w:type="spellStart"/>
      <w:r w:rsidRPr="00233185">
        <w:rPr>
          <w:rFonts w:ascii="Times New Roman" w:eastAsia="Calibri" w:hAnsi="Times New Roman" w:cs="Times New Roman"/>
          <w:sz w:val="28"/>
          <w:szCs w:val="28"/>
          <w:lang w:val="uk-UA"/>
        </w:rPr>
        <w:t>report</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finds</w:t>
      </w:r>
      <w:proofErr w:type="spellEnd"/>
      <w:r w:rsidRPr="00233185">
        <w:rPr>
          <w:rFonts w:ascii="Times New Roman" w:eastAsia="Calibri" w:hAnsi="Times New Roman" w:cs="Times New Roman"/>
          <w:sz w:val="28"/>
          <w:szCs w:val="28"/>
          <w:lang w:val="uk-UA"/>
        </w:rPr>
        <w:t xml:space="preserve">. (2024, </w:t>
      </w:r>
      <w:proofErr w:type="spellStart"/>
      <w:r w:rsidRPr="00233185">
        <w:rPr>
          <w:rFonts w:ascii="Times New Roman" w:eastAsia="Calibri" w:hAnsi="Times New Roman" w:cs="Times New Roman"/>
          <w:sz w:val="28"/>
          <w:szCs w:val="28"/>
          <w:lang w:val="uk-UA"/>
        </w:rPr>
        <w:t>January</w:t>
      </w:r>
      <w:proofErr w:type="spellEnd"/>
      <w:r w:rsidRPr="00233185">
        <w:rPr>
          <w:rFonts w:ascii="Times New Roman" w:eastAsia="Calibri" w:hAnsi="Times New Roman" w:cs="Times New Roman"/>
          <w:sz w:val="28"/>
          <w:szCs w:val="28"/>
          <w:lang w:val="uk-UA"/>
        </w:rPr>
        <w:t xml:space="preserve"> 23).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Guardian</w:t>
      </w:r>
      <w:proofErr w:type="spellEnd"/>
      <w:r w:rsidRPr="00233185">
        <w:rPr>
          <w:rFonts w:ascii="Times New Roman" w:eastAsia="Calibri" w:hAnsi="Times New Roman" w:cs="Times New Roman"/>
          <w:sz w:val="28"/>
          <w:szCs w:val="28"/>
          <w:lang w:val="uk-UA"/>
        </w:rPr>
        <w:t xml:space="preserve">. </w:t>
      </w:r>
      <w:hyperlink r:id="rId28" w:tgtFrame="_new" w:history="1">
        <w:r w:rsidRPr="00233185">
          <w:rPr>
            <w:rFonts w:ascii="Times New Roman" w:eastAsia="Calibri" w:hAnsi="Times New Roman" w:cs="Times New Roman"/>
            <w:color w:val="0563C1" w:themeColor="hyperlink"/>
            <w:sz w:val="28"/>
            <w:szCs w:val="28"/>
            <w:u w:val="single"/>
            <w:lang w:val="uk-UA"/>
          </w:rPr>
          <w:t>https://www.theguardian.com/world/2024/jan/23/disinformation-attacks-targeted-voters-media-and-lgbtq-groups-eu-report-find</w:t>
        </w:r>
      </w:hyperlink>
    </w:p>
    <w:p w14:paraId="2B43A74A"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Disinformation</w:t>
      </w:r>
      <w:proofErr w:type="spellEnd"/>
      <w:r w:rsidRPr="00233185">
        <w:rPr>
          <w:rFonts w:ascii="Times New Roman" w:eastAsia="Calibri" w:hAnsi="Times New Roman" w:cs="Times New Roman"/>
          <w:sz w:val="28"/>
          <w:szCs w:val="28"/>
          <w:lang w:val="uk-UA"/>
        </w:rPr>
        <w:t xml:space="preserve">. (2025). </w:t>
      </w:r>
      <w:hyperlink r:id="rId29" w:tgtFrame="_new" w:history="1">
        <w:r w:rsidRPr="00233185">
          <w:rPr>
            <w:rFonts w:ascii="Times New Roman" w:eastAsia="Calibri" w:hAnsi="Times New Roman" w:cs="Times New Roman"/>
            <w:color w:val="0563C1" w:themeColor="hyperlink"/>
            <w:sz w:val="28"/>
            <w:szCs w:val="28"/>
            <w:u w:val="single"/>
            <w:lang w:val="uk-UA"/>
          </w:rPr>
          <w:t>https://en.wikipedia.org/wiki/Disinformation</w:t>
        </w:r>
      </w:hyperlink>
    </w:p>
    <w:p w14:paraId="5D7584DE"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ISO/IEC. (2000). </w:t>
      </w:r>
      <w:r w:rsidRPr="00233185">
        <w:rPr>
          <w:rFonts w:ascii="Times New Roman" w:eastAsia="Calibri" w:hAnsi="Times New Roman" w:cs="Times New Roman"/>
          <w:i/>
          <w:iCs/>
          <w:sz w:val="28"/>
          <w:szCs w:val="28"/>
          <w:lang w:val="uk-UA"/>
        </w:rPr>
        <w:t xml:space="preserve">ISO/IEC 17799:2000 —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Technology</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Code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Practice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Management</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International</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Organization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for</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Standardization</w:t>
      </w:r>
      <w:proofErr w:type="spellEnd"/>
      <w:r w:rsidRPr="00233185">
        <w:rPr>
          <w:rFonts w:ascii="Times New Roman" w:eastAsia="Calibri" w:hAnsi="Times New Roman" w:cs="Times New Roman"/>
          <w:sz w:val="28"/>
          <w:szCs w:val="28"/>
          <w:lang w:val="uk-UA"/>
        </w:rPr>
        <w:t>.</w:t>
      </w:r>
    </w:p>
    <w:p w14:paraId="00772154"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lastRenderedPageBreak/>
        <w:t xml:space="preserve">ISO/IEC. (2004). </w:t>
      </w:r>
      <w:r w:rsidRPr="00233185">
        <w:rPr>
          <w:rFonts w:ascii="Times New Roman" w:eastAsia="Calibri" w:hAnsi="Times New Roman" w:cs="Times New Roman"/>
          <w:i/>
          <w:iCs/>
          <w:sz w:val="28"/>
          <w:szCs w:val="28"/>
          <w:lang w:val="uk-UA"/>
        </w:rPr>
        <w:t xml:space="preserve">ISO/IEC 13335-1:2004 —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technology</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techniques</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Management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communications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technology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Part</w:t>
      </w:r>
      <w:proofErr w:type="spellEnd"/>
      <w:r w:rsidRPr="00233185">
        <w:rPr>
          <w:rFonts w:ascii="Times New Roman" w:eastAsia="Calibri" w:hAnsi="Times New Roman" w:cs="Times New Roman"/>
          <w:i/>
          <w:iCs/>
          <w:sz w:val="28"/>
          <w:szCs w:val="28"/>
          <w:lang w:val="uk-UA"/>
        </w:rPr>
        <w:t xml:space="preserve"> 1: </w:t>
      </w:r>
      <w:proofErr w:type="spellStart"/>
      <w:r w:rsidRPr="00233185">
        <w:rPr>
          <w:rFonts w:ascii="Times New Roman" w:eastAsia="Calibri" w:hAnsi="Times New Roman" w:cs="Times New Roman"/>
          <w:i/>
          <w:iCs/>
          <w:sz w:val="28"/>
          <w:szCs w:val="28"/>
          <w:lang w:val="uk-UA"/>
        </w:rPr>
        <w:t>Concepts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models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communications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technology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management</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International</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Organization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for</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Standardization</w:t>
      </w:r>
      <w:proofErr w:type="spellEnd"/>
      <w:r w:rsidRPr="00233185">
        <w:rPr>
          <w:rFonts w:ascii="Times New Roman" w:eastAsia="Calibri" w:hAnsi="Times New Roman" w:cs="Times New Roman"/>
          <w:sz w:val="28"/>
          <w:szCs w:val="28"/>
          <w:lang w:val="uk-UA"/>
        </w:rPr>
        <w:t>.</w:t>
      </w:r>
    </w:p>
    <w:p w14:paraId="75463D79"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233185">
        <w:rPr>
          <w:rFonts w:ascii="Times New Roman" w:eastAsia="Calibri" w:hAnsi="Times New Roman" w:cs="Times New Roman"/>
          <w:sz w:val="28"/>
          <w:szCs w:val="28"/>
          <w:lang w:val="uk-UA"/>
        </w:rPr>
        <w:t xml:space="preserve">ISO/IEC. (2005). </w:t>
      </w:r>
      <w:r w:rsidRPr="00233185">
        <w:rPr>
          <w:rFonts w:ascii="Times New Roman" w:eastAsia="Calibri" w:hAnsi="Times New Roman" w:cs="Times New Roman"/>
          <w:i/>
          <w:iCs/>
          <w:sz w:val="28"/>
          <w:szCs w:val="28"/>
          <w:lang w:val="uk-UA"/>
        </w:rPr>
        <w:t xml:space="preserve">ISO/IEC 27001:2005 —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technology</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techniques</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management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systems</w:t>
      </w:r>
      <w:proofErr w:type="spellEnd"/>
      <w:r w:rsidRPr="00233185">
        <w:rPr>
          <w:rFonts w:ascii="Times New Roman" w:eastAsia="Calibri" w:hAnsi="Times New Roman" w:cs="Times New Roman"/>
          <w:i/>
          <w:iCs/>
          <w:sz w:val="28"/>
          <w:szCs w:val="28"/>
          <w:lang w:val="uk-UA"/>
        </w:rPr>
        <w:t xml:space="preserve"> — </w:t>
      </w:r>
      <w:proofErr w:type="spellStart"/>
      <w:r w:rsidRPr="00233185">
        <w:rPr>
          <w:rFonts w:ascii="Times New Roman" w:eastAsia="Calibri" w:hAnsi="Times New Roman" w:cs="Times New Roman"/>
          <w:i/>
          <w:iCs/>
          <w:sz w:val="28"/>
          <w:szCs w:val="28"/>
          <w:lang w:val="uk-UA"/>
        </w:rPr>
        <w:t>Requirements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International</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Organization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for</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Standardization</w:t>
      </w:r>
      <w:proofErr w:type="spellEnd"/>
      <w:r w:rsidRPr="00233185">
        <w:rPr>
          <w:rFonts w:ascii="Times New Roman" w:eastAsia="Calibri" w:hAnsi="Times New Roman" w:cs="Times New Roman"/>
          <w:sz w:val="28"/>
          <w:szCs w:val="28"/>
          <w:lang w:val="uk-UA"/>
        </w:rPr>
        <w:t>.</w:t>
      </w:r>
    </w:p>
    <w:p w14:paraId="22B1405F"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Ngobeni</w:t>
      </w:r>
      <w:proofErr w:type="spellEnd"/>
      <w:r w:rsidRPr="00233185">
        <w:rPr>
          <w:rFonts w:ascii="Times New Roman" w:eastAsia="Calibri" w:hAnsi="Times New Roman" w:cs="Times New Roman"/>
          <w:sz w:val="28"/>
          <w:szCs w:val="28"/>
          <w:lang w:val="uk-UA"/>
        </w:rPr>
        <w:t xml:space="preserve">, H., &amp; </w:t>
      </w:r>
      <w:proofErr w:type="spellStart"/>
      <w:r w:rsidRPr="00233185">
        <w:rPr>
          <w:rFonts w:ascii="Times New Roman" w:eastAsia="Calibri" w:hAnsi="Times New Roman" w:cs="Times New Roman"/>
          <w:sz w:val="28"/>
          <w:szCs w:val="28"/>
          <w:lang w:val="uk-UA"/>
        </w:rPr>
        <w:t>Wa</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Nkongolo</w:t>
      </w:r>
      <w:proofErr w:type="spellEnd"/>
      <w:r w:rsidRPr="00233185">
        <w:rPr>
          <w:rFonts w:ascii="Times New Roman" w:eastAsia="Calibri" w:hAnsi="Times New Roman" w:cs="Times New Roman"/>
          <w:sz w:val="28"/>
          <w:szCs w:val="28"/>
          <w:lang w:val="uk-UA"/>
        </w:rPr>
        <w:t xml:space="preserve">, M. (2025). </w:t>
      </w:r>
      <w:proofErr w:type="spellStart"/>
      <w:r w:rsidRPr="00233185">
        <w:rPr>
          <w:rFonts w:ascii="Times New Roman" w:eastAsia="Calibri" w:hAnsi="Times New Roman" w:cs="Times New Roman"/>
          <w:i/>
          <w:iCs/>
          <w:sz w:val="28"/>
          <w:szCs w:val="28"/>
          <w:lang w:val="uk-UA"/>
        </w:rPr>
        <w:t>Integrating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Public</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Input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Technical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Expertise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Effective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Cybersecurity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Policy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Formulation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arXiv</w:t>
      </w:r>
      <w:proofErr w:type="spellEnd"/>
      <w:r w:rsidRPr="00233185">
        <w:rPr>
          <w:rFonts w:ascii="Times New Roman" w:eastAsia="Calibri" w:hAnsi="Times New Roman" w:cs="Times New Roman"/>
          <w:sz w:val="28"/>
          <w:szCs w:val="28"/>
          <w:lang w:val="uk-UA"/>
        </w:rPr>
        <w:t xml:space="preserve">. </w:t>
      </w:r>
      <w:hyperlink r:id="rId30" w:tgtFrame="_new" w:history="1">
        <w:r w:rsidRPr="00233185">
          <w:rPr>
            <w:rFonts w:ascii="Times New Roman" w:eastAsia="Calibri" w:hAnsi="Times New Roman" w:cs="Times New Roman"/>
            <w:color w:val="0563C1" w:themeColor="hyperlink"/>
            <w:sz w:val="28"/>
            <w:szCs w:val="28"/>
            <w:u w:val="single"/>
            <w:lang w:val="uk-UA"/>
          </w:rPr>
          <w:t>https://arxiv.org/abs/2512.08575</w:t>
        </w:r>
      </w:hyperlink>
      <w:r w:rsidRPr="00233185">
        <w:rPr>
          <w:rFonts w:ascii="Times New Roman" w:eastAsia="Calibri" w:hAnsi="Times New Roman" w:cs="Times New Roman"/>
          <w:sz w:val="28"/>
          <w:szCs w:val="28"/>
          <w:lang w:val="uk-UA"/>
        </w:rPr>
        <w:t xml:space="preserve"> </w:t>
      </w:r>
    </w:p>
    <w:p w14:paraId="04FF53CF"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North</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Atlantic</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Treaty</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Organization</w:t>
      </w:r>
      <w:proofErr w:type="spellEnd"/>
      <w:r w:rsidRPr="00233185">
        <w:rPr>
          <w:rFonts w:ascii="Times New Roman" w:eastAsia="Calibri" w:hAnsi="Times New Roman" w:cs="Times New Roman"/>
          <w:sz w:val="28"/>
          <w:szCs w:val="28"/>
          <w:lang w:val="uk-UA"/>
        </w:rPr>
        <w:t xml:space="preserve">. (2025). </w:t>
      </w:r>
      <w:proofErr w:type="spellStart"/>
      <w:r w:rsidRPr="00233185">
        <w:rPr>
          <w:rFonts w:ascii="Times New Roman" w:eastAsia="Calibri" w:hAnsi="Times New Roman" w:cs="Times New Roman"/>
          <w:i/>
          <w:iCs/>
          <w:sz w:val="28"/>
          <w:szCs w:val="28"/>
          <w:lang w:val="uk-UA"/>
        </w:rPr>
        <w:t>NATO’s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approach</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to</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countering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threats</w:t>
      </w:r>
      <w:proofErr w:type="spellEnd"/>
      <w:r w:rsidRPr="00233185">
        <w:rPr>
          <w:rFonts w:ascii="Times New Roman" w:eastAsia="Calibri" w:hAnsi="Times New Roman" w:cs="Times New Roman"/>
          <w:sz w:val="28"/>
          <w:szCs w:val="28"/>
          <w:lang w:val="uk-UA"/>
        </w:rPr>
        <w:t xml:space="preserve">. </w:t>
      </w:r>
      <w:hyperlink r:id="rId31" w:tgtFrame="_new" w:history="1">
        <w:r w:rsidRPr="00233185">
          <w:rPr>
            <w:rFonts w:ascii="Times New Roman" w:eastAsia="Calibri" w:hAnsi="Times New Roman" w:cs="Times New Roman"/>
            <w:color w:val="0563C1" w:themeColor="hyperlink"/>
            <w:sz w:val="28"/>
            <w:szCs w:val="28"/>
            <w:u w:val="single"/>
            <w:lang w:val="uk-UA"/>
          </w:rPr>
          <w:t>https://www.nato.int/en/what-we-do/wider-activities/natos-approach-to-counter-information-threats</w:t>
        </w:r>
      </w:hyperlink>
    </w:p>
    <w:p w14:paraId="523ED0C3"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Paziuk</w:t>
      </w:r>
      <w:proofErr w:type="spellEnd"/>
      <w:r w:rsidRPr="00233185">
        <w:rPr>
          <w:rFonts w:ascii="Times New Roman" w:eastAsia="Calibri" w:hAnsi="Times New Roman" w:cs="Times New Roman"/>
          <w:sz w:val="28"/>
          <w:szCs w:val="28"/>
          <w:lang w:val="uk-UA"/>
        </w:rPr>
        <w:t xml:space="preserve">, A., </w:t>
      </w:r>
      <w:proofErr w:type="spellStart"/>
      <w:r w:rsidRPr="00233185">
        <w:rPr>
          <w:rFonts w:ascii="Times New Roman" w:eastAsia="Calibri" w:hAnsi="Times New Roman" w:cs="Times New Roman"/>
          <w:sz w:val="28"/>
          <w:szCs w:val="28"/>
          <w:lang w:val="uk-UA"/>
        </w:rPr>
        <w:t>Lande</w:t>
      </w:r>
      <w:proofErr w:type="spellEnd"/>
      <w:r w:rsidRPr="00233185">
        <w:rPr>
          <w:rFonts w:ascii="Times New Roman" w:eastAsia="Calibri" w:hAnsi="Times New Roman" w:cs="Times New Roman"/>
          <w:sz w:val="28"/>
          <w:szCs w:val="28"/>
          <w:lang w:val="uk-UA"/>
        </w:rPr>
        <w:t xml:space="preserve">, D., </w:t>
      </w:r>
      <w:proofErr w:type="spellStart"/>
      <w:r w:rsidRPr="00233185">
        <w:rPr>
          <w:rFonts w:ascii="Times New Roman" w:eastAsia="Calibri" w:hAnsi="Times New Roman" w:cs="Times New Roman"/>
          <w:sz w:val="28"/>
          <w:szCs w:val="28"/>
          <w:lang w:val="uk-UA"/>
        </w:rPr>
        <w:t>Shnurko</w:t>
      </w:r>
      <w:r w:rsidRPr="00233185">
        <w:rPr>
          <w:rFonts w:ascii="Times New Roman" w:eastAsia="Calibri" w:hAnsi="Times New Roman" w:cs="Times New Roman"/>
          <w:sz w:val="28"/>
          <w:szCs w:val="28"/>
          <w:lang w:val="uk-UA"/>
        </w:rPr>
        <w:noBreakHyphen/>
        <w:t>Tabakova</w:t>
      </w:r>
      <w:proofErr w:type="spellEnd"/>
      <w:r w:rsidRPr="00233185">
        <w:rPr>
          <w:rFonts w:ascii="Times New Roman" w:eastAsia="Calibri" w:hAnsi="Times New Roman" w:cs="Times New Roman"/>
          <w:sz w:val="28"/>
          <w:szCs w:val="28"/>
          <w:lang w:val="uk-UA"/>
        </w:rPr>
        <w:t xml:space="preserve">, E., &amp; </w:t>
      </w:r>
      <w:proofErr w:type="spellStart"/>
      <w:r w:rsidRPr="00233185">
        <w:rPr>
          <w:rFonts w:ascii="Times New Roman" w:eastAsia="Calibri" w:hAnsi="Times New Roman" w:cs="Times New Roman"/>
          <w:sz w:val="28"/>
          <w:szCs w:val="28"/>
          <w:lang w:val="uk-UA"/>
        </w:rPr>
        <w:t>Kingston</w:t>
      </w:r>
      <w:proofErr w:type="spellEnd"/>
      <w:r w:rsidRPr="00233185">
        <w:rPr>
          <w:rFonts w:ascii="Times New Roman" w:eastAsia="Calibri" w:hAnsi="Times New Roman" w:cs="Times New Roman"/>
          <w:sz w:val="28"/>
          <w:szCs w:val="28"/>
          <w:lang w:val="uk-UA"/>
        </w:rPr>
        <w:t xml:space="preserve">, P. (2025). </w:t>
      </w:r>
      <w:proofErr w:type="spellStart"/>
      <w:r w:rsidRPr="00233185">
        <w:rPr>
          <w:rFonts w:ascii="Times New Roman" w:eastAsia="Calibri" w:hAnsi="Times New Roman" w:cs="Times New Roman"/>
          <w:i/>
          <w:iCs/>
          <w:sz w:val="28"/>
          <w:szCs w:val="28"/>
          <w:lang w:val="uk-UA"/>
        </w:rPr>
        <w:t>Decoding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manipulative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narratives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cognitive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warfare</w:t>
      </w:r>
      <w:proofErr w:type="spellEnd"/>
      <w:r w:rsidRPr="00233185">
        <w:rPr>
          <w:rFonts w:ascii="Times New Roman" w:eastAsia="Calibri" w:hAnsi="Times New Roman" w:cs="Times New Roman"/>
          <w:i/>
          <w:iCs/>
          <w:sz w:val="28"/>
          <w:szCs w:val="28"/>
          <w:lang w:val="uk-UA"/>
        </w:rPr>
        <w:t xml:space="preserve">: A </w:t>
      </w:r>
      <w:proofErr w:type="spellStart"/>
      <w:r w:rsidRPr="00233185">
        <w:rPr>
          <w:rFonts w:ascii="Times New Roman" w:eastAsia="Calibri" w:hAnsi="Times New Roman" w:cs="Times New Roman"/>
          <w:i/>
          <w:iCs/>
          <w:sz w:val="28"/>
          <w:szCs w:val="28"/>
          <w:lang w:val="uk-UA"/>
        </w:rPr>
        <w:t>case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study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Russia</w:t>
      </w:r>
      <w:proofErr w:type="spellEnd"/>
      <w:r w:rsidRPr="00233185">
        <w:rPr>
          <w:rFonts w:ascii="Times New Roman" w:eastAsia="Calibri" w:hAnsi="Times New Roman" w:cs="Times New Roman"/>
          <w:i/>
          <w:iCs/>
          <w:sz w:val="28"/>
          <w:szCs w:val="28"/>
          <w:lang w:val="uk-UA"/>
        </w:rPr>
        <w:t>–</w:t>
      </w:r>
      <w:proofErr w:type="spellStart"/>
      <w:r w:rsidRPr="00233185">
        <w:rPr>
          <w:rFonts w:ascii="Times New Roman" w:eastAsia="Calibri" w:hAnsi="Times New Roman" w:cs="Times New Roman"/>
          <w:i/>
          <w:iCs/>
          <w:sz w:val="28"/>
          <w:szCs w:val="28"/>
          <w:lang w:val="uk-UA"/>
        </w:rPr>
        <w:t>Ukraine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conflict</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Frontiers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Artificial</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Intelligence</w:t>
      </w:r>
      <w:proofErr w:type="spellEnd"/>
      <w:r w:rsidRPr="00233185">
        <w:rPr>
          <w:rFonts w:ascii="Times New Roman" w:eastAsia="Calibri" w:hAnsi="Times New Roman" w:cs="Times New Roman"/>
          <w:sz w:val="28"/>
          <w:szCs w:val="28"/>
          <w:lang w:val="uk-UA"/>
        </w:rPr>
        <w:t xml:space="preserve">, 8, </w:t>
      </w:r>
      <w:proofErr w:type="spellStart"/>
      <w:r w:rsidRPr="00233185">
        <w:rPr>
          <w:rFonts w:ascii="Times New Roman" w:eastAsia="Calibri" w:hAnsi="Times New Roman" w:cs="Times New Roman"/>
          <w:sz w:val="28"/>
          <w:szCs w:val="28"/>
          <w:lang w:val="uk-UA"/>
        </w:rPr>
        <w:t>Article</w:t>
      </w:r>
      <w:proofErr w:type="spellEnd"/>
      <w:r w:rsidRPr="00233185">
        <w:rPr>
          <w:rFonts w:ascii="Times New Roman" w:eastAsia="Calibri" w:hAnsi="Times New Roman" w:cs="Times New Roman"/>
          <w:sz w:val="28"/>
          <w:szCs w:val="28"/>
          <w:lang w:val="uk-UA"/>
        </w:rPr>
        <w:t xml:space="preserve"> 1566022. </w:t>
      </w:r>
      <w:hyperlink r:id="rId32" w:history="1">
        <w:r w:rsidRPr="00233185">
          <w:rPr>
            <w:rFonts w:ascii="Times New Roman" w:eastAsia="Calibri" w:hAnsi="Times New Roman" w:cs="Times New Roman"/>
            <w:color w:val="0563C1" w:themeColor="hyperlink"/>
            <w:sz w:val="28"/>
            <w:szCs w:val="28"/>
            <w:u w:val="single"/>
            <w:lang w:val="uk-UA"/>
          </w:rPr>
          <w:t>https://doi.org/10.3389/frai.2025.1566022</w:t>
        </w:r>
      </w:hyperlink>
      <w:r w:rsidRPr="00233185">
        <w:rPr>
          <w:rFonts w:ascii="Times New Roman" w:eastAsia="Calibri" w:hAnsi="Times New Roman" w:cs="Times New Roman"/>
          <w:sz w:val="28"/>
          <w:szCs w:val="28"/>
          <w:lang w:val="uk-UA"/>
        </w:rPr>
        <w:t xml:space="preserve"> </w:t>
      </w:r>
    </w:p>
    <w:p w14:paraId="4EDBBB41"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Pomerantsev</w:t>
      </w:r>
      <w:proofErr w:type="spellEnd"/>
      <w:r w:rsidRPr="00233185">
        <w:rPr>
          <w:rFonts w:ascii="Times New Roman" w:eastAsia="Calibri" w:hAnsi="Times New Roman" w:cs="Times New Roman"/>
          <w:sz w:val="28"/>
          <w:szCs w:val="28"/>
          <w:lang w:val="uk-UA"/>
        </w:rPr>
        <w:t xml:space="preserve">, P. (2015). </w:t>
      </w:r>
      <w:proofErr w:type="spellStart"/>
      <w:r w:rsidRPr="00233185">
        <w:rPr>
          <w:rFonts w:ascii="Times New Roman" w:eastAsia="Calibri" w:hAnsi="Times New Roman" w:cs="Times New Roman"/>
          <w:i/>
          <w:iCs/>
          <w:sz w:val="28"/>
          <w:szCs w:val="28"/>
          <w:lang w:val="uk-UA"/>
        </w:rPr>
        <w:t>Nothing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true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everything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possible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surreal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heart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new</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Russia</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PublicAffairs</w:t>
      </w:r>
      <w:proofErr w:type="spellEnd"/>
      <w:r w:rsidRPr="00233185">
        <w:rPr>
          <w:rFonts w:ascii="Times New Roman" w:eastAsia="Calibri" w:hAnsi="Times New Roman" w:cs="Times New Roman"/>
          <w:sz w:val="28"/>
          <w:szCs w:val="28"/>
          <w:lang w:val="uk-UA"/>
        </w:rPr>
        <w:t>.</w:t>
      </w:r>
    </w:p>
    <w:p w14:paraId="5EAB9476"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Povalena</w:t>
      </w:r>
      <w:proofErr w:type="spellEnd"/>
      <w:r w:rsidRPr="00233185">
        <w:rPr>
          <w:rFonts w:ascii="Times New Roman" w:eastAsia="Calibri" w:hAnsi="Times New Roman" w:cs="Times New Roman"/>
          <w:sz w:val="28"/>
          <w:szCs w:val="28"/>
          <w:lang w:val="uk-UA"/>
        </w:rPr>
        <w:t xml:space="preserve">, M., &amp; </w:t>
      </w:r>
      <w:proofErr w:type="spellStart"/>
      <w:r w:rsidRPr="00233185">
        <w:rPr>
          <w:rFonts w:ascii="Times New Roman" w:eastAsia="Calibri" w:hAnsi="Times New Roman" w:cs="Times New Roman"/>
          <w:sz w:val="28"/>
          <w:szCs w:val="28"/>
          <w:lang w:val="uk-UA"/>
        </w:rPr>
        <w:t>Havryltsiv</w:t>
      </w:r>
      <w:proofErr w:type="spellEnd"/>
      <w:r w:rsidRPr="00233185">
        <w:rPr>
          <w:rFonts w:ascii="Times New Roman" w:eastAsia="Calibri" w:hAnsi="Times New Roman" w:cs="Times New Roman"/>
          <w:sz w:val="28"/>
          <w:szCs w:val="28"/>
          <w:lang w:val="uk-UA"/>
        </w:rPr>
        <w:t xml:space="preserve">, M. (2025). </w:t>
      </w:r>
      <w:proofErr w:type="spellStart"/>
      <w:r w:rsidRPr="00233185">
        <w:rPr>
          <w:rFonts w:ascii="Times New Roman" w:eastAsia="Calibri" w:hAnsi="Times New Roman" w:cs="Times New Roman"/>
          <w:i/>
          <w:iCs/>
          <w:sz w:val="28"/>
          <w:szCs w:val="28"/>
          <w:lang w:val="uk-UA"/>
        </w:rPr>
        <w:t>Freedom</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information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and</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state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security</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Features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of</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legal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regulation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under</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martial</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law</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conditions</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Science</w:t>
      </w:r>
      <w:proofErr w:type="spellEnd"/>
      <w:r w:rsidRPr="00233185">
        <w:rPr>
          <w:rFonts w:ascii="Times New Roman" w:eastAsia="Calibri" w:hAnsi="Times New Roman" w:cs="Times New Roman"/>
          <w:sz w:val="28"/>
          <w:szCs w:val="28"/>
          <w:lang w:val="uk-UA"/>
        </w:rPr>
        <w:t xml:space="preserve"> LPN. </w:t>
      </w:r>
      <w:proofErr w:type="spellStart"/>
      <w:r w:rsidRPr="00233185">
        <w:rPr>
          <w:rFonts w:ascii="Times New Roman" w:eastAsia="Calibri" w:hAnsi="Times New Roman" w:cs="Times New Roman"/>
          <w:sz w:val="28"/>
          <w:szCs w:val="28"/>
          <w:lang w:val="uk-UA"/>
        </w:rPr>
        <w:t>Retrieved</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from</w:t>
      </w:r>
      <w:proofErr w:type="spellEnd"/>
      <w:r w:rsidRPr="00233185">
        <w:rPr>
          <w:rFonts w:ascii="Times New Roman" w:eastAsia="Calibri" w:hAnsi="Times New Roman" w:cs="Times New Roman"/>
          <w:sz w:val="28"/>
          <w:szCs w:val="28"/>
          <w:lang w:val="uk-UA"/>
        </w:rPr>
        <w:t xml:space="preserve"> http://doi.org/10.23939/law2025.47.203</w:t>
      </w:r>
    </w:p>
    <w:p w14:paraId="776B69A0"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Selective</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exposure</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theory</w:t>
      </w:r>
      <w:proofErr w:type="spellEnd"/>
      <w:r w:rsidRPr="00233185">
        <w:rPr>
          <w:rFonts w:ascii="Times New Roman" w:eastAsia="Calibri" w:hAnsi="Times New Roman" w:cs="Times New Roman"/>
          <w:sz w:val="28"/>
          <w:szCs w:val="28"/>
          <w:lang w:val="uk-UA"/>
        </w:rPr>
        <w:t xml:space="preserve">. (2025). </w:t>
      </w:r>
      <w:hyperlink r:id="rId33" w:tgtFrame="_new" w:history="1">
        <w:r w:rsidRPr="00233185">
          <w:rPr>
            <w:rFonts w:ascii="Times New Roman" w:eastAsia="Calibri" w:hAnsi="Times New Roman" w:cs="Times New Roman"/>
            <w:color w:val="0563C1" w:themeColor="hyperlink"/>
            <w:sz w:val="28"/>
            <w:szCs w:val="28"/>
            <w:u w:val="single"/>
            <w:lang w:val="uk-UA"/>
          </w:rPr>
          <w:t>https://en.wikipedia.org/wiki/Selective_exposure_theory</w:t>
        </w:r>
      </w:hyperlink>
    </w:p>
    <w:p w14:paraId="6EC01B81" w14:textId="77777777" w:rsidR="00233185" w:rsidRPr="00233185" w:rsidRDefault="00233185" w:rsidP="00233185">
      <w:pPr>
        <w:numPr>
          <w:ilvl w:val="0"/>
          <w:numId w:val="7"/>
        </w:numPr>
        <w:tabs>
          <w:tab w:val="left" w:pos="851"/>
          <w:tab w:val="left" w:pos="993"/>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233185">
        <w:rPr>
          <w:rFonts w:ascii="Times New Roman" w:eastAsia="Calibri" w:hAnsi="Times New Roman" w:cs="Times New Roman"/>
          <w:sz w:val="28"/>
          <w:szCs w:val="28"/>
          <w:lang w:val="uk-UA"/>
        </w:rPr>
        <w:t>Vinney</w:t>
      </w:r>
      <w:proofErr w:type="spellEnd"/>
      <w:r w:rsidRPr="00233185">
        <w:rPr>
          <w:rFonts w:ascii="Times New Roman" w:eastAsia="Calibri" w:hAnsi="Times New Roman" w:cs="Times New Roman"/>
          <w:sz w:val="28"/>
          <w:szCs w:val="28"/>
          <w:lang w:val="uk-UA"/>
        </w:rPr>
        <w:t xml:space="preserve">, C. (2025). </w:t>
      </w:r>
      <w:proofErr w:type="spellStart"/>
      <w:r w:rsidRPr="00233185">
        <w:rPr>
          <w:rFonts w:ascii="Times New Roman" w:eastAsia="Calibri" w:hAnsi="Times New Roman" w:cs="Times New Roman"/>
          <w:i/>
          <w:iCs/>
          <w:sz w:val="28"/>
          <w:szCs w:val="28"/>
          <w:lang w:val="uk-UA"/>
        </w:rPr>
        <w:t>The</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framing</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effect</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How</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perception</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shapes</w:t>
      </w:r>
      <w:proofErr w:type="spellEnd"/>
      <w:r w:rsidRPr="00233185">
        <w:rPr>
          <w:rFonts w:ascii="Times New Roman" w:eastAsia="Calibri" w:hAnsi="Times New Roman" w:cs="Times New Roman"/>
          <w:i/>
          <w:iCs/>
          <w:sz w:val="28"/>
          <w:szCs w:val="28"/>
          <w:lang w:val="uk-UA"/>
        </w:rPr>
        <w:t xml:space="preserve"> </w:t>
      </w:r>
      <w:proofErr w:type="spellStart"/>
      <w:r w:rsidRPr="00233185">
        <w:rPr>
          <w:rFonts w:ascii="Times New Roman" w:eastAsia="Calibri" w:hAnsi="Times New Roman" w:cs="Times New Roman"/>
          <w:i/>
          <w:iCs/>
          <w:sz w:val="28"/>
          <w:szCs w:val="28"/>
          <w:lang w:val="uk-UA"/>
        </w:rPr>
        <w:t>decision</w:t>
      </w:r>
      <w:r w:rsidRPr="00233185">
        <w:rPr>
          <w:rFonts w:ascii="Times New Roman" w:eastAsia="Calibri" w:hAnsi="Times New Roman" w:cs="Times New Roman"/>
          <w:i/>
          <w:iCs/>
          <w:sz w:val="28"/>
          <w:szCs w:val="28"/>
          <w:lang w:val="uk-UA"/>
        </w:rPr>
        <w:noBreakHyphen/>
        <w:t>making</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Verywell</w:t>
      </w:r>
      <w:proofErr w:type="spellEnd"/>
      <w:r w:rsidRPr="00233185">
        <w:rPr>
          <w:rFonts w:ascii="Times New Roman" w:eastAsia="Calibri" w:hAnsi="Times New Roman" w:cs="Times New Roman"/>
          <w:sz w:val="28"/>
          <w:szCs w:val="28"/>
          <w:lang w:val="uk-UA"/>
        </w:rPr>
        <w:t xml:space="preserve"> </w:t>
      </w:r>
      <w:proofErr w:type="spellStart"/>
      <w:r w:rsidRPr="00233185">
        <w:rPr>
          <w:rFonts w:ascii="Times New Roman" w:eastAsia="Calibri" w:hAnsi="Times New Roman" w:cs="Times New Roman"/>
          <w:sz w:val="28"/>
          <w:szCs w:val="28"/>
          <w:lang w:val="uk-UA"/>
        </w:rPr>
        <w:t>Mind</w:t>
      </w:r>
      <w:proofErr w:type="spellEnd"/>
      <w:r w:rsidRPr="00233185">
        <w:rPr>
          <w:rFonts w:ascii="Times New Roman" w:eastAsia="Calibri" w:hAnsi="Times New Roman" w:cs="Times New Roman"/>
          <w:sz w:val="28"/>
          <w:szCs w:val="28"/>
          <w:lang w:val="uk-UA"/>
        </w:rPr>
        <w:t xml:space="preserve">. </w:t>
      </w:r>
      <w:hyperlink r:id="rId34" w:tgtFrame="_new" w:history="1">
        <w:r w:rsidRPr="00233185">
          <w:rPr>
            <w:rFonts w:ascii="Times New Roman" w:eastAsia="Calibri" w:hAnsi="Times New Roman" w:cs="Times New Roman"/>
            <w:color w:val="0563C1" w:themeColor="hyperlink"/>
            <w:sz w:val="28"/>
            <w:szCs w:val="28"/>
            <w:u w:val="single"/>
            <w:lang w:val="uk-UA"/>
          </w:rPr>
          <w:t>https://www.verywellmind.com/the-framing-effect-in-psychology-8713689</w:t>
        </w:r>
      </w:hyperlink>
    </w:p>
    <w:p w14:paraId="3A385F32" w14:textId="77777777" w:rsidR="006761DF" w:rsidRPr="00112B82" w:rsidRDefault="006761DF" w:rsidP="001A34BB">
      <w:pPr>
        <w:tabs>
          <w:tab w:val="left" w:pos="851"/>
          <w:tab w:val="left" w:pos="1134"/>
        </w:tabs>
        <w:spacing w:after="0" w:line="360" w:lineRule="auto"/>
        <w:ind w:left="567"/>
        <w:contextualSpacing/>
        <w:jc w:val="both"/>
        <w:rPr>
          <w:rFonts w:ascii="Times New Roman" w:hAnsi="Times New Roman" w:cs="Times New Roman"/>
          <w:sz w:val="28"/>
          <w:szCs w:val="28"/>
          <w:lang w:val="uk-UA"/>
        </w:rPr>
      </w:pPr>
    </w:p>
    <w:sectPr w:rsidR="006761DF" w:rsidRPr="00112B82">
      <w:headerReference w:type="default" r:id="rId3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EDECE" w14:textId="77777777" w:rsidR="001B620D" w:rsidRDefault="001B620D" w:rsidP="001B620D">
      <w:pPr>
        <w:spacing w:after="0" w:line="240" w:lineRule="auto"/>
      </w:pPr>
      <w:r>
        <w:separator/>
      </w:r>
    </w:p>
  </w:endnote>
  <w:endnote w:type="continuationSeparator" w:id="0">
    <w:p w14:paraId="4CE69BFC" w14:textId="77777777" w:rsidR="001B620D" w:rsidRDefault="001B620D" w:rsidP="001B6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66DE2" w14:textId="77777777" w:rsidR="001B620D" w:rsidRDefault="001B620D" w:rsidP="001B620D">
      <w:pPr>
        <w:spacing w:after="0" w:line="240" w:lineRule="auto"/>
      </w:pPr>
      <w:r>
        <w:separator/>
      </w:r>
    </w:p>
  </w:footnote>
  <w:footnote w:type="continuationSeparator" w:id="0">
    <w:p w14:paraId="126332E7" w14:textId="77777777" w:rsidR="001B620D" w:rsidRDefault="001B620D" w:rsidP="001B62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9995660"/>
      <w:docPartObj>
        <w:docPartGallery w:val="Page Numbers (Top of Page)"/>
        <w:docPartUnique/>
      </w:docPartObj>
    </w:sdtPr>
    <w:sdtContent>
      <w:p w14:paraId="13142A45" w14:textId="14DB5F41" w:rsidR="00317E81" w:rsidRDefault="00317E81">
        <w:pPr>
          <w:pStyle w:val="af"/>
          <w:jc w:val="right"/>
        </w:pPr>
        <w:r>
          <w:fldChar w:fldCharType="begin"/>
        </w:r>
        <w:r>
          <w:instrText>PAGE   \* MERGEFORMAT</w:instrText>
        </w:r>
        <w:r>
          <w:fldChar w:fldCharType="separate"/>
        </w:r>
        <w:r>
          <w:rPr>
            <w:lang w:val="uk-UA"/>
          </w:rPr>
          <w:t>2</w:t>
        </w:r>
        <w:r>
          <w:fldChar w:fldCharType="end"/>
        </w:r>
      </w:p>
    </w:sdtContent>
  </w:sdt>
  <w:p w14:paraId="0203713E" w14:textId="77777777" w:rsidR="00317E81" w:rsidRDefault="00317E81">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652481"/>
      <w:docPartObj>
        <w:docPartGallery w:val="Page Numbers (Top of Page)"/>
        <w:docPartUnique/>
      </w:docPartObj>
    </w:sdtPr>
    <w:sdtEndPr/>
    <w:sdtContent>
      <w:p w14:paraId="377FEC54" w14:textId="52E96DA0" w:rsidR="001B620D" w:rsidRDefault="001B620D">
        <w:pPr>
          <w:pStyle w:val="af"/>
          <w:jc w:val="right"/>
        </w:pPr>
        <w:r>
          <w:fldChar w:fldCharType="begin"/>
        </w:r>
        <w:r>
          <w:instrText>PAGE   \* MERGEFORMAT</w:instrText>
        </w:r>
        <w:r>
          <w:fldChar w:fldCharType="separate"/>
        </w:r>
        <w:r>
          <w:rPr>
            <w:lang w:val="uk-UA"/>
          </w:rPr>
          <w:t>2</w:t>
        </w:r>
        <w:r>
          <w:fldChar w:fldCharType="end"/>
        </w:r>
      </w:p>
    </w:sdtContent>
  </w:sdt>
  <w:p w14:paraId="64B1CD09" w14:textId="77777777" w:rsidR="001B620D" w:rsidRDefault="001B620D">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03D70"/>
    <w:multiLevelType w:val="hybridMultilevel"/>
    <w:tmpl w:val="4808F11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15:restartNumberingAfterBreak="0">
    <w:nsid w:val="05D3167E"/>
    <w:multiLevelType w:val="hybridMultilevel"/>
    <w:tmpl w:val="0B562764"/>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2" w15:restartNumberingAfterBreak="0">
    <w:nsid w:val="0F641A43"/>
    <w:multiLevelType w:val="hybridMultilevel"/>
    <w:tmpl w:val="68922566"/>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3" w15:restartNumberingAfterBreak="0">
    <w:nsid w:val="11F63A49"/>
    <w:multiLevelType w:val="multilevel"/>
    <w:tmpl w:val="8FE6F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87E6F31"/>
    <w:multiLevelType w:val="multilevel"/>
    <w:tmpl w:val="D0106D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EEF1F53"/>
    <w:multiLevelType w:val="multilevel"/>
    <w:tmpl w:val="C0ECD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7C47DC0"/>
    <w:multiLevelType w:val="multilevel"/>
    <w:tmpl w:val="F404EC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087070769">
    <w:abstractNumId w:val="4"/>
  </w:num>
  <w:num w:numId="2" w16cid:durableId="4634243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039349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48294664">
    <w:abstractNumId w:val="5"/>
  </w:num>
  <w:num w:numId="5" w16cid:durableId="5382077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35582930">
    <w:abstractNumId w:val="3"/>
  </w:num>
  <w:num w:numId="7" w16cid:durableId="17380445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007"/>
    <w:rsid w:val="0002184F"/>
    <w:rsid w:val="0003342F"/>
    <w:rsid w:val="00050941"/>
    <w:rsid w:val="00074819"/>
    <w:rsid w:val="000B4C9E"/>
    <w:rsid w:val="00112B82"/>
    <w:rsid w:val="0017675D"/>
    <w:rsid w:val="001A34BB"/>
    <w:rsid w:val="001B620D"/>
    <w:rsid w:val="001C1197"/>
    <w:rsid w:val="00233185"/>
    <w:rsid w:val="002369E7"/>
    <w:rsid w:val="002A023B"/>
    <w:rsid w:val="002B690E"/>
    <w:rsid w:val="00317E81"/>
    <w:rsid w:val="00326223"/>
    <w:rsid w:val="0046072A"/>
    <w:rsid w:val="00462659"/>
    <w:rsid w:val="004A4536"/>
    <w:rsid w:val="004D4A5E"/>
    <w:rsid w:val="00522796"/>
    <w:rsid w:val="005D0D4C"/>
    <w:rsid w:val="005D1C58"/>
    <w:rsid w:val="006607F7"/>
    <w:rsid w:val="006761DF"/>
    <w:rsid w:val="00687125"/>
    <w:rsid w:val="00723841"/>
    <w:rsid w:val="007E5B67"/>
    <w:rsid w:val="00834DA9"/>
    <w:rsid w:val="008439E2"/>
    <w:rsid w:val="00920556"/>
    <w:rsid w:val="00920557"/>
    <w:rsid w:val="00997869"/>
    <w:rsid w:val="009C521E"/>
    <w:rsid w:val="00B83CB9"/>
    <w:rsid w:val="00B87BC3"/>
    <w:rsid w:val="00B9696B"/>
    <w:rsid w:val="00C068B0"/>
    <w:rsid w:val="00C91A14"/>
    <w:rsid w:val="00CA2D75"/>
    <w:rsid w:val="00CB4549"/>
    <w:rsid w:val="00CD7A50"/>
    <w:rsid w:val="00D656CC"/>
    <w:rsid w:val="00D761BD"/>
    <w:rsid w:val="00DF6007"/>
    <w:rsid w:val="00E31F29"/>
    <w:rsid w:val="00EC1C7D"/>
    <w:rsid w:val="00F24903"/>
    <w:rsid w:val="00F36C60"/>
    <w:rsid w:val="00F541E9"/>
    <w:rsid w:val="00F67FEB"/>
    <w:rsid w:val="00F92212"/>
    <w:rsid w:val="00FC1C3C"/>
    <w:rsid w:val="00FF306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78E6F"/>
  <w15:chartTrackingRefBased/>
  <w15:docId w15:val="{5B766379-68F5-4406-8C05-ACBEA77CE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F600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DF600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F6007"/>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F600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F600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F600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F600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F600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F600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600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DF600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F6007"/>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F6007"/>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F6007"/>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F600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F6007"/>
    <w:rPr>
      <w:rFonts w:eastAsiaTheme="majorEastAsia" w:cstheme="majorBidi"/>
      <w:color w:val="595959" w:themeColor="text1" w:themeTint="A6"/>
    </w:rPr>
  </w:style>
  <w:style w:type="character" w:customStyle="1" w:styleId="80">
    <w:name w:val="Заголовок 8 Знак"/>
    <w:basedOn w:val="a0"/>
    <w:link w:val="8"/>
    <w:uiPriority w:val="9"/>
    <w:semiHidden/>
    <w:rsid w:val="00DF600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F6007"/>
    <w:rPr>
      <w:rFonts w:eastAsiaTheme="majorEastAsia" w:cstheme="majorBidi"/>
      <w:color w:val="272727" w:themeColor="text1" w:themeTint="D8"/>
    </w:rPr>
  </w:style>
  <w:style w:type="paragraph" w:styleId="a3">
    <w:name w:val="Title"/>
    <w:basedOn w:val="a"/>
    <w:next w:val="a"/>
    <w:link w:val="a4"/>
    <w:uiPriority w:val="10"/>
    <w:qFormat/>
    <w:rsid w:val="00DF60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F600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F6007"/>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F600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F6007"/>
    <w:pPr>
      <w:spacing w:before="160"/>
      <w:jc w:val="center"/>
    </w:pPr>
    <w:rPr>
      <w:i/>
      <w:iCs/>
      <w:color w:val="404040" w:themeColor="text1" w:themeTint="BF"/>
    </w:rPr>
  </w:style>
  <w:style w:type="character" w:customStyle="1" w:styleId="a8">
    <w:name w:val="Цитата Знак"/>
    <w:basedOn w:val="a0"/>
    <w:link w:val="a7"/>
    <w:uiPriority w:val="29"/>
    <w:rsid w:val="00DF6007"/>
    <w:rPr>
      <w:i/>
      <w:iCs/>
      <w:color w:val="404040" w:themeColor="text1" w:themeTint="BF"/>
    </w:rPr>
  </w:style>
  <w:style w:type="paragraph" w:styleId="a9">
    <w:name w:val="List Paragraph"/>
    <w:basedOn w:val="a"/>
    <w:uiPriority w:val="34"/>
    <w:qFormat/>
    <w:rsid w:val="00DF6007"/>
    <w:pPr>
      <w:ind w:left="720"/>
      <w:contextualSpacing/>
    </w:pPr>
  </w:style>
  <w:style w:type="character" w:styleId="aa">
    <w:name w:val="Intense Emphasis"/>
    <w:basedOn w:val="a0"/>
    <w:uiPriority w:val="21"/>
    <w:qFormat/>
    <w:rsid w:val="00DF6007"/>
    <w:rPr>
      <w:i/>
      <w:iCs/>
      <w:color w:val="2F5496" w:themeColor="accent1" w:themeShade="BF"/>
    </w:rPr>
  </w:style>
  <w:style w:type="paragraph" w:styleId="ab">
    <w:name w:val="Intense Quote"/>
    <w:basedOn w:val="a"/>
    <w:next w:val="a"/>
    <w:link w:val="ac"/>
    <w:uiPriority w:val="30"/>
    <w:qFormat/>
    <w:rsid w:val="00DF600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DF6007"/>
    <w:rPr>
      <w:i/>
      <w:iCs/>
      <w:color w:val="2F5496" w:themeColor="accent1" w:themeShade="BF"/>
    </w:rPr>
  </w:style>
  <w:style w:type="character" w:styleId="ad">
    <w:name w:val="Intense Reference"/>
    <w:basedOn w:val="a0"/>
    <w:uiPriority w:val="32"/>
    <w:qFormat/>
    <w:rsid w:val="00DF6007"/>
    <w:rPr>
      <w:b/>
      <w:bCs/>
      <w:smallCaps/>
      <w:color w:val="2F5496" w:themeColor="accent1" w:themeShade="BF"/>
      <w:spacing w:val="5"/>
    </w:rPr>
  </w:style>
  <w:style w:type="table" w:styleId="ae">
    <w:name w:val="Table Grid"/>
    <w:basedOn w:val="a1"/>
    <w:uiPriority w:val="39"/>
    <w:rsid w:val="00E31F29"/>
    <w:pPr>
      <w:spacing w:after="0" w:line="240" w:lineRule="auto"/>
    </w:pPr>
    <w:rPr>
      <w:rFonts w:ascii="Times New Roman" w:hAnsi="Times New Roman"/>
      <w:kern w:val="0"/>
      <w:sz w:val="28"/>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ітка таблиці2"/>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ітка таблиці3"/>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1B620D"/>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1B620D"/>
  </w:style>
  <w:style w:type="paragraph" w:styleId="af1">
    <w:name w:val="footer"/>
    <w:basedOn w:val="a"/>
    <w:link w:val="af2"/>
    <w:uiPriority w:val="99"/>
    <w:unhideWhenUsed/>
    <w:rsid w:val="001B620D"/>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1B620D"/>
  </w:style>
  <w:style w:type="table" w:customStyle="1" w:styleId="51">
    <w:name w:val="Сітка таблиці5"/>
    <w:basedOn w:val="a1"/>
    <w:next w:val="ae"/>
    <w:uiPriority w:val="39"/>
    <w:rsid w:val="008439E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ітка таблиці6"/>
    <w:basedOn w:val="a1"/>
    <w:next w:val="ae"/>
    <w:uiPriority w:val="39"/>
    <w:rsid w:val="008439E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ітка таблиці7"/>
    <w:basedOn w:val="a1"/>
    <w:next w:val="ae"/>
    <w:uiPriority w:val="39"/>
    <w:rsid w:val="00B83CB9"/>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B83CB9"/>
    <w:rPr>
      <w:color w:val="0563C1" w:themeColor="hyperlink"/>
      <w:u w:val="single"/>
    </w:rPr>
  </w:style>
  <w:style w:type="paragraph" w:styleId="af4">
    <w:name w:val="footnote text"/>
    <w:basedOn w:val="a"/>
    <w:link w:val="af5"/>
    <w:uiPriority w:val="99"/>
    <w:semiHidden/>
    <w:unhideWhenUsed/>
    <w:rsid w:val="00B83CB9"/>
    <w:pPr>
      <w:spacing w:after="0" w:line="240" w:lineRule="auto"/>
    </w:pPr>
    <w:rPr>
      <w:rFonts w:ascii="Calibri" w:eastAsia="Calibri" w:hAnsi="Calibri" w:cs="Times New Roman"/>
      <w:sz w:val="20"/>
      <w:szCs w:val="20"/>
      <w:lang w:val="uk-UA"/>
    </w:rPr>
  </w:style>
  <w:style w:type="character" w:customStyle="1" w:styleId="af5">
    <w:name w:val="Текст виноски Знак"/>
    <w:basedOn w:val="a0"/>
    <w:link w:val="af4"/>
    <w:uiPriority w:val="99"/>
    <w:semiHidden/>
    <w:rsid w:val="00B83CB9"/>
    <w:rPr>
      <w:rFonts w:ascii="Calibri" w:eastAsia="Calibri" w:hAnsi="Calibri" w:cs="Times New Roman"/>
      <w:sz w:val="20"/>
      <w:szCs w:val="20"/>
      <w:lang w:val="uk-UA"/>
    </w:rPr>
  </w:style>
  <w:style w:type="character" w:styleId="af6">
    <w:name w:val="footnote reference"/>
    <w:basedOn w:val="a0"/>
    <w:uiPriority w:val="99"/>
    <w:semiHidden/>
    <w:unhideWhenUsed/>
    <w:rsid w:val="00B83CB9"/>
    <w:rPr>
      <w:vertAlign w:val="superscript"/>
    </w:rPr>
  </w:style>
  <w:style w:type="table" w:customStyle="1" w:styleId="81">
    <w:name w:val="Сітка таблиці8"/>
    <w:basedOn w:val="a1"/>
    <w:next w:val="ae"/>
    <w:uiPriority w:val="39"/>
    <w:rsid w:val="00B83CB9"/>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Unresolved Mention"/>
    <w:basedOn w:val="a0"/>
    <w:uiPriority w:val="99"/>
    <w:semiHidden/>
    <w:unhideWhenUsed/>
    <w:rsid w:val="001A34BB"/>
    <w:rPr>
      <w:color w:val="605E5C"/>
      <w:shd w:val="clear" w:color="auto" w:fill="E1DFDD"/>
    </w:rPr>
  </w:style>
  <w:style w:type="table" w:customStyle="1" w:styleId="91">
    <w:name w:val="Сітка таблиці9"/>
    <w:basedOn w:val="a1"/>
    <w:next w:val="ae"/>
    <w:uiPriority w:val="39"/>
    <w:rsid w:val="009C521E"/>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ітка таблиці10"/>
    <w:basedOn w:val="a1"/>
    <w:next w:val="ae"/>
    <w:uiPriority w:val="39"/>
    <w:rsid w:val="00B9696B"/>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ітка таблиці11"/>
    <w:basedOn w:val="a1"/>
    <w:next w:val="ae"/>
    <w:uiPriority w:val="39"/>
    <w:rsid w:val="00B9696B"/>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ітка таблиці12"/>
    <w:basedOn w:val="a1"/>
    <w:next w:val="ae"/>
    <w:uiPriority w:val="39"/>
    <w:rsid w:val="00C068B0"/>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5281/zenodo.16658818/" TargetMode="External"/><Relationship Id="rId18" Type="http://schemas.openxmlformats.org/officeDocument/2006/relationships/hyperlink" Target="http://app.nuoua.od.ua/archive/61_2018/9.pdf" TargetMode="External"/><Relationship Id="rId26" Type="http://schemas.openxmlformats.org/officeDocument/2006/relationships/hyperlink" Target="https://arxiv.org/abs/1901.01464?utm_source=chatgpt.com" TargetMode="External"/><Relationship Id="rId21" Type="http://schemas.openxmlformats.org/officeDocument/2006/relationships/hyperlink" Target="https://policyjssr.com/index.php/PJSSR/article/view/583?utm_source=chatgpt.com" TargetMode="External"/><Relationship Id="rId34" Type="http://schemas.openxmlformats.org/officeDocument/2006/relationships/hyperlink" Target="https://www.verywellmind.com/the-framing-effect-in-psychology-8713689?utm_source=chatgpt.com" TargetMode="External"/><Relationship Id="rId7" Type="http://schemas.openxmlformats.org/officeDocument/2006/relationships/header" Target="header1.xml"/><Relationship Id="rId12" Type="http://schemas.openxmlformats.org/officeDocument/2006/relationships/hyperlink" Target="https://doi.org/10.5281/zenodo.16658818" TargetMode="External"/><Relationship Id="rId17" Type="http://schemas.openxmlformats.org/officeDocument/2006/relationships/hyperlink" Target="https://doi.org/10.31861/mediaforum.2025.16.34-47" TargetMode="External"/><Relationship Id="rId25" Type="http://schemas.openxmlformats.org/officeDocument/2006/relationships/hyperlink" Target="https://en.wikipedia.org/wiki/Centre_for_Strategic_Communication_and_Information_Security?utm_source=chatgpt.com" TargetMode="External"/><Relationship Id="rId33" Type="http://schemas.openxmlformats.org/officeDocument/2006/relationships/hyperlink" Target="https://en.wikipedia.org/wiki/Selective_exposure_theory?utm_source=chatgpt.com" TargetMode="External"/><Relationship Id="rId2" Type="http://schemas.openxmlformats.org/officeDocument/2006/relationships/styles" Target="styles.xml"/><Relationship Id="rId16" Type="http://schemas.openxmlformats.org/officeDocument/2006/relationships/hyperlink" Target="https://doi.org/10.30525/978-9934-26-223-4-127" TargetMode="External"/><Relationship Id="rId20" Type="http://schemas.openxmlformats.org/officeDocument/2006/relationships/hyperlink" Target="https://spravdi.gov.ua/uhylennya-vid-myru-navishho-putin-zagovoryv-pro-zovnishnye-upravlinnya-ukrayinoyu/" TargetMode="External"/><Relationship Id="rId29" Type="http://schemas.openxmlformats.org/officeDocument/2006/relationships/hyperlink" Target="https://en.wikipedia.org/wiki/Disinformation?utm_source=chatgpt.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iknu.mil.gov.ua/files/books/%D1%96%D0%BD%D1%84%D0%BE%D1%80%D0%BC%D0%B0%D1%86%D1%96%D0%B9%D0%BD%D0%B0%20%D0%B1%D0%B5%D0%B7%D0%BF%D0%B5%D0%BA%D0%B0%20%D0%BE%D1%81%D0%BE%D0%B1%D0%B8%D1%81%D1%82%D0%BE%D1%81%D1%82%D1%96%2C%20%D1%81%D1%83%D1%81%D0%BF%D1%96%D0%BB%D1%8C%D1%81%D1%82%D0%B2%D0%B0%2C%20%D0%B4%D0%B5%D1%80%D0%B6%D0%B0%D0%B2%D0%B8.pdf" TargetMode="External"/><Relationship Id="rId24" Type="http://schemas.openxmlformats.org/officeDocument/2006/relationships/hyperlink" Target="https://doi.org/10.1017/mem.2025.10002" TargetMode="External"/><Relationship Id="rId32" Type="http://schemas.openxmlformats.org/officeDocument/2006/relationships/hyperlink" Target="https://doi.org/10.3389/frai.2025.1566022"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oi.org/10.23939/sjs2017.01.042" TargetMode="External"/><Relationship Id="rId23" Type="http://schemas.openxmlformats.org/officeDocument/2006/relationships/hyperlink" Target="https://arxiv.org/abs/2012.08572?utm_source=chatgpt.com" TargetMode="External"/><Relationship Id="rId28" Type="http://schemas.openxmlformats.org/officeDocument/2006/relationships/hyperlink" Target="https://www.theguardian.com/world/2024/jan/23/disinformation-attacks-targeted-voters-media-and-lgbtq-groups-eu-report-finds?utm_source=chatgpt.com" TargetMode="External"/><Relationship Id="rId36" Type="http://schemas.openxmlformats.org/officeDocument/2006/relationships/fontTable" Target="fontTable.xml"/><Relationship Id="rId10" Type="http://schemas.openxmlformats.org/officeDocument/2006/relationships/hyperlink" Target="https://day.kyiv.ua/article/media/hromadyanska-viyna-v-informatsiynomu-prostori" TargetMode="External"/><Relationship Id="rId19" Type="http://schemas.openxmlformats.org/officeDocument/2006/relationships/hyperlink" Target="https://doi.org/10.24195/2414-9616.2020-3.10" TargetMode="External"/><Relationship Id="rId31" Type="http://schemas.openxmlformats.org/officeDocument/2006/relationships/hyperlink" Target="https://www.nato.int/en/what-we-do/wider-activities/natos-approach-to-counter-information-threats?utm_source=chatgpt.com" TargetMode="External"/><Relationship Id="rId4" Type="http://schemas.openxmlformats.org/officeDocument/2006/relationships/webSettings" Target="webSettings.xml"/><Relationship Id="rId9" Type="http://schemas.openxmlformats.org/officeDocument/2006/relationships/hyperlink" Target="https://doi.org/10.32782/2312-1815/2024-1-4/" TargetMode="External"/><Relationship Id="rId14" Type="http://schemas.openxmlformats.org/officeDocument/2006/relationships/hyperlink" Target="https://doi.org/10.26693/ahpsxxi2022.04.106" TargetMode="External"/><Relationship Id="rId22" Type="http://schemas.openxmlformats.org/officeDocument/2006/relationships/hyperlink" Target="https://doi.org/10.3390/computers14100410" TargetMode="External"/><Relationship Id="rId27" Type="http://schemas.openxmlformats.org/officeDocument/2006/relationships/hyperlink" Target="https://arxiv.org/abs/2509.05104?utm_source=chatgpt.com" TargetMode="External"/><Relationship Id="rId30" Type="http://schemas.openxmlformats.org/officeDocument/2006/relationships/hyperlink" Target="https://arxiv.org/abs/2512.08575?utm_source=chatgpt.com" TargetMode="External"/><Relationship Id="rId35" Type="http://schemas.openxmlformats.org/officeDocument/2006/relationships/header" Target="header2.xml"/><Relationship Id="rId8" Type="http://schemas.openxmlformats.org/officeDocument/2006/relationships/hyperlink" Target="https://restoration.gov.ua/blog/sogodni-ukrayina-vpershe-vidznachaye-den-ukrayinskoyi-derzhavnosti/"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86</Pages>
  <Words>20933</Words>
  <Characters>119323</Characters>
  <Application>Microsoft Office Word</Application>
  <DocSecurity>0</DocSecurity>
  <Lines>994</Lines>
  <Paragraphs>279</Paragraphs>
  <ScaleCrop>false</ScaleCrop>
  <Company/>
  <LinksUpToDate>false</LinksUpToDate>
  <CharactersWithSpaces>139977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Журба</dc:creator>
  <cp:keywords/>
  <dc:description/>
  <cp:lastModifiedBy>Игорь Журба</cp:lastModifiedBy>
  <cp:revision>2</cp:revision>
  <dcterms:created xsi:type="dcterms:W3CDTF">2026-01-11T14:35:00Z</dcterms:created>
  <dcterms:modified xsi:type="dcterms:W3CDTF">2026-01-11T14:35:00Z</dcterms:modified>
</cp:coreProperties>
</file>