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A811FA" w14:textId="77777777" w:rsidR="00E31F29" w:rsidRPr="006761DF" w:rsidRDefault="00E31F29" w:rsidP="00E31F29">
      <w:pPr>
        <w:widowControl w:val="0"/>
        <w:spacing w:after="0" w:line="240" w:lineRule="auto"/>
        <w:jc w:val="center"/>
        <w:rPr>
          <w:rFonts w:ascii="Times New Roman" w:eastAsia="Times New Roman" w:hAnsi="Times New Roman" w:cs="Times New Roman"/>
          <w:kern w:val="0"/>
          <w:sz w:val="28"/>
          <w:szCs w:val="28"/>
          <w:lang w:val="ru-RU" w:eastAsia="ru-RU"/>
          <w14:ligatures w14:val="none"/>
        </w:rPr>
      </w:pPr>
      <w:r w:rsidRPr="006761DF">
        <w:rPr>
          <w:rFonts w:ascii="Times New Roman" w:eastAsia="Times New Roman" w:hAnsi="Times New Roman" w:cs="Times New Roman"/>
          <w:kern w:val="0"/>
          <w:sz w:val="28"/>
          <w:szCs w:val="28"/>
          <w:lang w:val="ru-RU" w:eastAsia="ru-RU"/>
          <w14:ligatures w14:val="none"/>
        </w:rPr>
        <w:t>Міністерство освіти і науки України</w:t>
      </w:r>
    </w:p>
    <w:p w14:paraId="2BC67844" w14:textId="77777777" w:rsidR="00E31F29" w:rsidRPr="006761DF" w:rsidRDefault="00E31F29" w:rsidP="00E31F29">
      <w:pPr>
        <w:widowControl w:val="0"/>
        <w:spacing w:after="0" w:line="240" w:lineRule="auto"/>
        <w:jc w:val="center"/>
        <w:rPr>
          <w:rFonts w:ascii="Times New Roman" w:eastAsia="Times New Roman" w:hAnsi="Times New Roman" w:cs="Times New Roman"/>
          <w:kern w:val="0"/>
          <w:sz w:val="28"/>
          <w:szCs w:val="28"/>
          <w:lang w:val="ru-RU" w:eastAsia="ru-RU"/>
          <w14:ligatures w14:val="none"/>
        </w:rPr>
      </w:pPr>
    </w:p>
    <w:p w14:paraId="78009760" w14:textId="77777777" w:rsidR="00E31F29" w:rsidRPr="006761DF" w:rsidRDefault="00E31F29" w:rsidP="00E31F29">
      <w:pPr>
        <w:widowControl w:val="0"/>
        <w:spacing w:after="0" w:line="240" w:lineRule="auto"/>
        <w:jc w:val="center"/>
        <w:rPr>
          <w:rFonts w:ascii="Times New Roman" w:eastAsia="Times New Roman" w:hAnsi="Times New Roman" w:cs="Times New Roman"/>
          <w:kern w:val="0"/>
          <w:sz w:val="28"/>
          <w:szCs w:val="28"/>
          <w:lang w:val="ru-RU" w:eastAsia="ru-RU"/>
          <w14:ligatures w14:val="none"/>
        </w:rPr>
      </w:pPr>
      <w:r w:rsidRPr="006761DF">
        <w:rPr>
          <w:rFonts w:ascii="Times New Roman" w:eastAsia="Times New Roman" w:hAnsi="Times New Roman" w:cs="Times New Roman"/>
          <w:kern w:val="0"/>
          <w:sz w:val="28"/>
          <w:szCs w:val="28"/>
          <w:lang w:val="ru-RU" w:eastAsia="ru-RU"/>
          <w14:ligatures w14:val="none"/>
        </w:rPr>
        <w:t>Державний заклад «Луганський національний університет</w:t>
      </w:r>
    </w:p>
    <w:p w14:paraId="49BC3370" w14:textId="77777777" w:rsidR="00E31F29" w:rsidRPr="006761DF" w:rsidRDefault="00E31F29" w:rsidP="00E31F29">
      <w:pPr>
        <w:widowControl w:val="0"/>
        <w:spacing w:after="0" w:line="240" w:lineRule="auto"/>
        <w:jc w:val="center"/>
        <w:rPr>
          <w:rFonts w:ascii="Times New Roman" w:eastAsia="Times New Roman" w:hAnsi="Times New Roman" w:cs="Times New Roman"/>
          <w:kern w:val="0"/>
          <w:sz w:val="28"/>
          <w:szCs w:val="28"/>
          <w:lang w:val="ru-RU" w:eastAsia="ru-RU"/>
          <w14:ligatures w14:val="none"/>
        </w:rPr>
      </w:pPr>
      <w:r w:rsidRPr="006761DF">
        <w:rPr>
          <w:rFonts w:ascii="Times New Roman" w:eastAsia="Times New Roman" w:hAnsi="Times New Roman" w:cs="Times New Roman"/>
          <w:kern w:val="0"/>
          <w:sz w:val="28"/>
          <w:szCs w:val="28"/>
          <w:lang w:val="ru-RU" w:eastAsia="ru-RU"/>
          <w14:ligatures w14:val="none"/>
        </w:rPr>
        <w:t>імені Тараса Шевченка»</w:t>
      </w:r>
    </w:p>
    <w:p w14:paraId="540E2960" w14:textId="77777777" w:rsidR="00E31F29" w:rsidRPr="006761DF" w:rsidRDefault="00E31F29" w:rsidP="00E31F29">
      <w:pPr>
        <w:widowControl w:val="0"/>
        <w:spacing w:after="0" w:line="240" w:lineRule="auto"/>
        <w:jc w:val="center"/>
        <w:rPr>
          <w:rFonts w:ascii="Times New Roman" w:eastAsia="Times New Roman" w:hAnsi="Times New Roman" w:cs="Times New Roman"/>
          <w:kern w:val="0"/>
          <w:sz w:val="28"/>
          <w:szCs w:val="28"/>
          <w:lang w:val="ru-RU" w:eastAsia="ru-RU"/>
          <w14:ligatures w14:val="none"/>
        </w:rPr>
      </w:pPr>
    </w:p>
    <w:p w14:paraId="3E5631F9" w14:textId="77777777" w:rsidR="00E31F29" w:rsidRPr="006761DF" w:rsidRDefault="00E31F29" w:rsidP="00E31F29">
      <w:pPr>
        <w:widowControl w:val="0"/>
        <w:spacing w:after="0" w:line="240" w:lineRule="auto"/>
        <w:jc w:val="center"/>
        <w:rPr>
          <w:rFonts w:ascii="Times New Roman" w:eastAsia="Times New Roman" w:hAnsi="Times New Roman" w:cs="Times New Roman"/>
          <w:kern w:val="0"/>
          <w:sz w:val="28"/>
          <w:szCs w:val="28"/>
          <w:lang w:val="uk-UA" w:eastAsia="ru-RU"/>
          <w14:ligatures w14:val="none"/>
        </w:rPr>
      </w:pPr>
      <w:r w:rsidRPr="006761DF">
        <w:rPr>
          <w:rFonts w:ascii="Times New Roman" w:eastAsia="Times New Roman" w:hAnsi="Times New Roman" w:cs="Times New Roman"/>
          <w:kern w:val="0"/>
          <w:sz w:val="28"/>
          <w:szCs w:val="28"/>
          <w:lang w:val="uk-UA" w:eastAsia="ru-RU"/>
          <w14:ligatures w14:val="none"/>
        </w:rPr>
        <w:t>Факультет соціальних і гуманітарних наук</w:t>
      </w:r>
    </w:p>
    <w:p w14:paraId="0BC7FF18" w14:textId="77777777" w:rsidR="00E31F29" w:rsidRPr="006761DF" w:rsidRDefault="00E31F29" w:rsidP="00E31F29">
      <w:pPr>
        <w:widowControl w:val="0"/>
        <w:spacing w:after="0" w:line="240" w:lineRule="auto"/>
        <w:jc w:val="center"/>
        <w:rPr>
          <w:rFonts w:ascii="Times New Roman" w:eastAsia="Times New Roman" w:hAnsi="Times New Roman" w:cs="Times New Roman"/>
          <w:kern w:val="0"/>
          <w:sz w:val="28"/>
          <w:szCs w:val="28"/>
          <w:lang w:val="uk-UA" w:eastAsia="ru-RU"/>
          <w14:ligatures w14:val="none"/>
        </w:rPr>
      </w:pPr>
      <w:r w:rsidRPr="006761DF">
        <w:rPr>
          <w:rFonts w:ascii="Times New Roman" w:eastAsia="Times New Roman" w:hAnsi="Times New Roman" w:cs="Times New Roman"/>
          <w:kern w:val="0"/>
          <w:sz w:val="28"/>
          <w:szCs w:val="28"/>
          <w:lang w:val="uk-UA" w:eastAsia="ru-RU"/>
          <w14:ligatures w14:val="none"/>
        </w:rPr>
        <w:t xml:space="preserve">Кафедра політології і міжнародних відносин </w:t>
      </w:r>
    </w:p>
    <w:p w14:paraId="1291E2D6" w14:textId="77777777" w:rsidR="00E31F29" w:rsidRPr="006761DF" w:rsidRDefault="00E31F29" w:rsidP="00E31F29">
      <w:pPr>
        <w:spacing w:after="0" w:line="360" w:lineRule="auto"/>
        <w:ind w:firstLine="709"/>
        <w:jc w:val="center"/>
        <w:rPr>
          <w:rFonts w:ascii="Times New Roman" w:eastAsia="Times New Roman" w:hAnsi="Times New Roman" w:cs="Times New Roman"/>
          <w:kern w:val="0"/>
          <w:sz w:val="28"/>
          <w:szCs w:val="28"/>
          <w:lang w:val="uk-UA" w:eastAsia="ru-RU"/>
          <w14:ligatures w14:val="none"/>
        </w:rPr>
      </w:pPr>
    </w:p>
    <w:p w14:paraId="01B7D82E" w14:textId="77777777" w:rsidR="00E31F29" w:rsidRPr="006761DF" w:rsidRDefault="00E31F29" w:rsidP="00E31F29">
      <w:pPr>
        <w:spacing w:after="0" w:line="360" w:lineRule="auto"/>
        <w:ind w:firstLine="709"/>
        <w:jc w:val="center"/>
        <w:rPr>
          <w:rFonts w:ascii="Times New Roman" w:eastAsia="Times New Roman" w:hAnsi="Times New Roman" w:cs="Times New Roman"/>
          <w:kern w:val="0"/>
          <w:sz w:val="28"/>
          <w:szCs w:val="28"/>
          <w:lang w:val="uk-UA" w:eastAsia="ru-RU"/>
          <w14:ligatures w14:val="none"/>
        </w:rPr>
      </w:pPr>
    </w:p>
    <w:p w14:paraId="04ED052D" w14:textId="54990E14" w:rsidR="00E31F29" w:rsidRPr="006761DF" w:rsidRDefault="00E31F29" w:rsidP="00E31F29">
      <w:pPr>
        <w:spacing w:after="0" w:line="360" w:lineRule="auto"/>
        <w:ind w:firstLine="709"/>
        <w:jc w:val="right"/>
        <w:rPr>
          <w:rFonts w:ascii="Times New Roman" w:eastAsia="Times New Roman" w:hAnsi="Times New Roman" w:cs="Times New Roman"/>
          <w:kern w:val="0"/>
          <w:sz w:val="28"/>
          <w:szCs w:val="28"/>
          <w:lang w:val="uk-UA" w:eastAsia="ru-RU"/>
          <w14:ligatures w14:val="none"/>
        </w:rPr>
      </w:pPr>
      <w:r w:rsidRPr="006761DF">
        <w:rPr>
          <w:rFonts w:ascii="Times New Roman" w:eastAsia="Times New Roman" w:hAnsi="Times New Roman" w:cs="Times New Roman"/>
          <w:kern w:val="0"/>
          <w:sz w:val="28"/>
          <w:szCs w:val="28"/>
          <w:lang w:val="uk-UA" w:eastAsia="ru-RU"/>
          <w14:ligatures w14:val="none"/>
        </w:rPr>
        <w:t xml:space="preserve">УДК </w:t>
      </w:r>
      <w:r w:rsidR="0003342F" w:rsidRPr="006761DF">
        <w:rPr>
          <w:rFonts w:ascii="Times New Roman" w:eastAsia="Times New Roman" w:hAnsi="Times New Roman" w:cs="Times New Roman"/>
          <w:kern w:val="0"/>
          <w:sz w:val="28"/>
          <w:szCs w:val="28"/>
          <w:lang w:eastAsia="ru-RU"/>
          <w14:ligatures w14:val="none"/>
        </w:rPr>
        <w:t>32:316.48:316.485.6</w:t>
      </w:r>
    </w:p>
    <w:p w14:paraId="13EC4620" w14:textId="77777777" w:rsidR="00E31F29" w:rsidRPr="006761DF" w:rsidRDefault="00E31F29" w:rsidP="00E31F29">
      <w:pPr>
        <w:spacing w:after="0" w:line="360" w:lineRule="auto"/>
        <w:ind w:firstLine="709"/>
        <w:jc w:val="center"/>
        <w:rPr>
          <w:rFonts w:ascii="Times New Roman" w:eastAsia="Times New Roman" w:hAnsi="Times New Roman" w:cs="Times New Roman"/>
          <w:b/>
          <w:i/>
          <w:kern w:val="0"/>
          <w:sz w:val="28"/>
          <w:szCs w:val="28"/>
          <w:lang w:val="uk-UA" w:eastAsia="ru-RU"/>
          <w14:ligatures w14:val="none"/>
        </w:rPr>
      </w:pPr>
    </w:p>
    <w:p w14:paraId="1D5DE338" w14:textId="77777777" w:rsidR="002A023B" w:rsidRPr="002A023B" w:rsidRDefault="002A023B" w:rsidP="002A023B">
      <w:pPr>
        <w:spacing w:after="0" w:line="360" w:lineRule="auto"/>
        <w:ind w:firstLine="709"/>
        <w:jc w:val="center"/>
        <w:rPr>
          <w:rFonts w:ascii="Times New Roman" w:eastAsia="Times New Roman" w:hAnsi="Times New Roman" w:cs="Times New Roman"/>
          <w:b/>
          <w:bCs/>
          <w:i/>
          <w:kern w:val="0"/>
          <w:sz w:val="28"/>
          <w:szCs w:val="28"/>
          <w:lang w:val="uk-UA" w:eastAsia="ru-RU"/>
          <w14:ligatures w14:val="none"/>
        </w:rPr>
      </w:pPr>
      <w:r w:rsidRPr="002A023B">
        <w:rPr>
          <w:rFonts w:ascii="Times New Roman" w:eastAsia="Times New Roman" w:hAnsi="Times New Roman" w:cs="Times New Roman"/>
          <w:b/>
          <w:bCs/>
          <w:i/>
          <w:kern w:val="0"/>
          <w:sz w:val="28"/>
          <w:szCs w:val="28"/>
          <w:lang w:val="uk-UA" w:eastAsia="ru-RU"/>
          <w14:ligatures w14:val="none"/>
        </w:rPr>
        <w:t>Мороз Євген Олександрович</w:t>
      </w:r>
    </w:p>
    <w:p w14:paraId="59A41B0D" w14:textId="77777777" w:rsidR="00E31F29" w:rsidRPr="006761DF" w:rsidRDefault="00E31F29" w:rsidP="00E31F29">
      <w:pPr>
        <w:spacing w:after="0" w:line="360" w:lineRule="auto"/>
        <w:ind w:firstLine="709"/>
        <w:jc w:val="center"/>
        <w:rPr>
          <w:rFonts w:ascii="Times New Roman" w:eastAsia="Times New Roman" w:hAnsi="Times New Roman" w:cs="Times New Roman"/>
          <w:b/>
          <w:i/>
          <w:kern w:val="0"/>
          <w:sz w:val="28"/>
          <w:szCs w:val="28"/>
          <w:lang w:val="uk-UA" w:eastAsia="ru-RU"/>
          <w14:ligatures w14:val="none"/>
        </w:rPr>
      </w:pPr>
    </w:p>
    <w:p w14:paraId="399AAE5A" w14:textId="19C427F0" w:rsidR="002A023B" w:rsidRPr="006761DF" w:rsidRDefault="002A023B" w:rsidP="00E31F29">
      <w:pPr>
        <w:spacing w:after="0" w:line="360" w:lineRule="auto"/>
        <w:ind w:firstLine="709"/>
        <w:jc w:val="center"/>
        <w:rPr>
          <w:rFonts w:ascii="Times New Roman" w:eastAsia="Times New Roman" w:hAnsi="Times New Roman" w:cs="Times New Roman"/>
          <w:b/>
          <w:bCs/>
          <w:kern w:val="0"/>
          <w:sz w:val="28"/>
          <w:szCs w:val="28"/>
          <w:lang w:val="uk-UA" w:eastAsia="ru-RU"/>
          <w14:ligatures w14:val="none"/>
        </w:rPr>
      </w:pPr>
      <w:r w:rsidRPr="006761DF">
        <w:rPr>
          <w:rFonts w:ascii="Times New Roman" w:eastAsia="Times New Roman" w:hAnsi="Times New Roman" w:cs="Times New Roman"/>
          <w:b/>
          <w:bCs/>
          <w:kern w:val="0"/>
          <w:sz w:val="28"/>
          <w:szCs w:val="28"/>
          <w:lang w:val="uk-UA" w:eastAsia="ru-RU"/>
          <w14:ligatures w14:val="none"/>
        </w:rPr>
        <w:t>СУЧАСНІ ТЕХНОЛОГІЇ РОЗВ’ЯЗАННЯ ПОЛІТИЧНИХ КОНФЛІКТІВ</w:t>
      </w:r>
    </w:p>
    <w:p w14:paraId="59C1308F" w14:textId="42C278A2" w:rsidR="00E31F29" w:rsidRPr="006761DF" w:rsidRDefault="00E31F29" w:rsidP="00E31F29">
      <w:pPr>
        <w:spacing w:after="0" w:line="360" w:lineRule="auto"/>
        <w:ind w:firstLine="709"/>
        <w:jc w:val="center"/>
        <w:rPr>
          <w:rFonts w:ascii="Times New Roman" w:eastAsia="Times New Roman" w:hAnsi="Times New Roman" w:cs="Times New Roman"/>
          <w:kern w:val="0"/>
          <w:sz w:val="28"/>
          <w:szCs w:val="28"/>
          <w:lang w:val="uk-UA" w:eastAsia="ru-RU"/>
          <w14:ligatures w14:val="none"/>
        </w:rPr>
      </w:pPr>
      <w:r w:rsidRPr="006761DF">
        <w:rPr>
          <w:rFonts w:ascii="Times New Roman" w:eastAsia="Times New Roman" w:hAnsi="Times New Roman" w:cs="Times New Roman"/>
          <w:kern w:val="0"/>
          <w:sz w:val="28"/>
          <w:szCs w:val="28"/>
          <w:lang w:val="uk-UA" w:eastAsia="ru-RU"/>
          <w14:ligatures w14:val="none"/>
        </w:rPr>
        <w:t>кваліфікаційна робота магістра</w:t>
      </w:r>
    </w:p>
    <w:p w14:paraId="6370BC95" w14:textId="77777777" w:rsidR="00E31F29" w:rsidRPr="006761DF" w:rsidRDefault="00E31F29" w:rsidP="00E31F29">
      <w:pPr>
        <w:spacing w:after="0" w:line="360" w:lineRule="auto"/>
        <w:ind w:firstLine="709"/>
        <w:jc w:val="center"/>
        <w:rPr>
          <w:rFonts w:ascii="Times New Roman" w:eastAsia="Times New Roman" w:hAnsi="Times New Roman" w:cs="Times New Roman"/>
          <w:kern w:val="0"/>
          <w:sz w:val="28"/>
          <w:szCs w:val="28"/>
          <w:lang w:val="ru-RU" w:eastAsia="ru-RU"/>
          <w14:ligatures w14:val="none"/>
        </w:rPr>
      </w:pPr>
      <w:r w:rsidRPr="006761DF">
        <w:rPr>
          <w:rFonts w:ascii="Times New Roman" w:eastAsia="Times New Roman" w:hAnsi="Times New Roman" w:cs="Times New Roman"/>
          <w:kern w:val="0"/>
          <w:sz w:val="28"/>
          <w:szCs w:val="28"/>
          <w:lang w:val="ru-RU" w:eastAsia="ru-RU"/>
          <w14:ligatures w14:val="none"/>
        </w:rPr>
        <w:t>здобувач</w:t>
      </w:r>
      <w:r w:rsidRPr="006761DF">
        <w:rPr>
          <w:rFonts w:ascii="Times New Roman" w:eastAsia="Times New Roman" w:hAnsi="Times New Roman" w:cs="Times New Roman"/>
          <w:kern w:val="0"/>
          <w:sz w:val="28"/>
          <w:szCs w:val="28"/>
          <w:lang w:val="uk-UA" w:eastAsia="ru-RU"/>
          <w14:ligatures w14:val="none"/>
        </w:rPr>
        <w:t>а</w:t>
      </w:r>
      <w:r w:rsidRPr="006761DF">
        <w:rPr>
          <w:rFonts w:ascii="Times New Roman" w:eastAsia="Times New Roman" w:hAnsi="Times New Roman" w:cs="Times New Roman"/>
          <w:kern w:val="0"/>
          <w:sz w:val="28"/>
          <w:szCs w:val="28"/>
          <w:lang w:val="ru-RU" w:eastAsia="ru-RU"/>
          <w14:ligatures w14:val="none"/>
        </w:rPr>
        <w:t xml:space="preserve"> вищої освіти другого (магістерського) рівня</w:t>
      </w:r>
    </w:p>
    <w:p w14:paraId="76FF89C6" w14:textId="77777777" w:rsidR="00E31F29" w:rsidRPr="006761DF" w:rsidRDefault="00E31F29" w:rsidP="00E31F29">
      <w:pPr>
        <w:spacing w:after="0" w:line="360" w:lineRule="auto"/>
        <w:ind w:firstLine="709"/>
        <w:jc w:val="center"/>
        <w:rPr>
          <w:rFonts w:ascii="Times New Roman" w:eastAsia="Times New Roman" w:hAnsi="Times New Roman" w:cs="Times New Roman"/>
          <w:kern w:val="0"/>
          <w:sz w:val="28"/>
          <w:szCs w:val="28"/>
          <w:lang w:val="uk-UA" w:eastAsia="ru-RU"/>
          <w14:ligatures w14:val="none"/>
        </w:rPr>
      </w:pPr>
      <w:r w:rsidRPr="006761DF">
        <w:rPr>
          <w:rFonts w:ascii="Times New Roman" w:eastAsia="Times New Roman" w:hAnsi="Times New Roman" w:cs="Times New Roman"/>
          <w:kern w:val="0"/>
          <w:sz w:val="28"/>
          <w:szCs w:val="28"/>
          <w:lang w:val="ru-RU" w:eastAsia="ru-RU"/>
          <w14:ligatures w14:val="none"/>
        </w:rPr>
        <w:t xml:space="preserve">за спеціальністю </w:t>
      </w:r>
      <w:r w:rsidRPr="006761DF">
        <w:rPr>
          <w:rFonts w:ascii="Times New Roman" w:eastAsia="Times New Roman" w:hAnsi="Times New Roman" w:cs="Times New Roman"/>
          <w:kern w:val="0"/>
          <w:sz w:val="28"/>
          <w:szCs w:val="28"/>
          <w:lang w:val="uk-UA" w:eastAsia="ru-RU"/>
          <w14:ligatures w14:val="none"/>
        </w:rPr>
        <w:t>052</w:t>
      </w:r>
      <w:r w:rsidRPr="006761DF">
        <w:rPr>
          <w:rFonts w:ascii="Times New Roman" w:eastAsia="Times New Roman" w:hAnsi="Times New Roman" w:cs="Times New Roman"/>
          <w:kern w:val="0"/>
          <w:sz w:val="28"/>
          <w:szCs w:val="28"/>
          <w:lang w:val="ru-RU" w:eastAsia="ru-RU"/>
          <w14:ligatures w14:val="none"/>
        </w:rPr>
        <w:t xml:space="preserve"> Політологія</w:t>
      </w:r>
      <w:r w:rsidRPr="006761DF">
        <w:rPr>
          <w:rFonts w:ascii="Times New Roman" w:eastAsia="Times New Roman" w:hAnsi="Times New Roman" w:cs="Times New Roman"/>
          <w:kern w:val="0"/>
          <w:sz w:val="28"/>
          <w:szCs w:val="28"/>
          <w:lang w:val="uk-UA" w:eastAsia="ru-RU"/>
          <w14:ligatures w14:val="none"/>
        </w:rPr>
        <w:t xml:space="preserve"> </w:t>
      </w:r>
    </w:p>
    <w:p w14:paraId="4455757A" w14:textId="77777777" w:rsidR="00E31F29" w:rsidRPr="006761DF" w:rsidRDefault="00E31F29" w:rsidP="00E31F29">
      <w:pPr>
        <w:spacing w:after="0" w:line="360" w:lineRule="auto"/>
        <w:ind w:firstLine="709"/>
        <w:jc w:val="center"/>
        <w:rPr>
          <w:rFonts w:ascii="Times New Roman" w:eastAsia="Times New Roman" w:hAnsi="Times New Roman" w:cs="Times New Roman"/>
          <w:kern w:val="0"/>
          <w:sz w:val="28"/>
          <w:szCs w:val="28"/>
          <w:lang w:val="ru-RU" w:eastAsia="ru-RU"/>
          <w14:ligatures w14:val="none"/>
        </w:rPr>
      </w:pPr>
    </w:p>
    <w:p w14:paraId="1D88AF9A" w14:textId="77777777" w:rsidR="00E31F29" w:rsidRPr="006761DF" w:rsidRDefault="00E31F29" w:rsidP="00E31F29">
      <w:pPr>
        <w:spacing w:after="0" w:line="360" w:lineRule="auto"/>
        <w:ind w:firstLine="709"/>
        <w:jc w:val="center"/>
        <w:rPr>
          <w:rFonts w:ascii="Times New Roman" w:eastAsia="Times New Roman" w:hAnsi="Times New Roman" w:cs="Times New Roman"/>
          <w:kern w:val="0"/>
          <w:sz w:val="28"/>
          <w:szCs w:val="28"/>
          <w:lang w:val="ru-RU" w:eastAsia="ru-RU"/>
          <w14:ligatures w14:val="none"/>
        </w:rPr>
      </w:pPr>
    </w:p>
    <w:tbl>
      <w:tblPr>
        <w:tblW w:w="8352" w:type="dxa"/>
        <w:jc w:val="center"/>
        <w:tblLayout w:type="fixed"/>
        <w:tblCellMar>
          <w:left w:w="0" w:type="dxa"/>
          <w:right w:w="0" w:type="dxa"/>
        </w:tblCellMar>
        <w:tblLook w:val="04A0" w:firstRow="1" w:lastRow="0" w:firstColumn="1" w:lastColumn="0" w:noHBand="0" w:noVBand="1"/>
      </w:tblPr>
      <w:tblGrid>
        <w:gridCol w:w="3064"/>
        <w:gridCol w:w="1747"/>
        <w:gridCol w:w="3541"/>
      </w:tblGrid>
      <w:tr w:rsidR="00E31F29" w:rsidRPr="006761DF" w14:paraId="5472A993" w14:textId="77777777" w:rsidTr="00AE61FD">
        <w:trPr>
          <w:trHeight w:val="401"/>
          <w:jc w:val="center"/>
        </w:trPr>
        <w:tc>
          <w:tcPr>
            <w:tcW w:w="3063" w:type="dxa"/>
            <w:hideMark/>
          </w:tcPr>
          <w:p w14:paraId="1FC5581A" w14:textId="77777777" w:rsidR="00E31F29" w:rsidRPr="006761DF" w:rsidRDefault="00E31F29" w:rsidP="00E31F29">
            <w:pPr>
              <w:widowControl w:val="0"/>
              <w:spacing w:after="0" w:line="240" w:lineRule="auto"/>
              <w:rPr>
                <w:rFonts w:ascii="Times New Roman" w:eastAsia="Times New Roman" w:hAnsi="Times New Roman" w:cs="Times New Roman"/>
                <w:kern w:val="0"/>
                <w:sz w:val="28"/>
                <w:szCs w:val="28"/>
                <w:lang w:val="ru-RU"/>
                <w14:ligatures w14:val="none"/>
              </w:rPr>
            </w:pPr>
            <w:r w:rsidRPr="006761DF">
              <w:rPr>
                <w:rFonts w:ascii="Times New Roman" w:eastAsia="Times New Roman" w:hAnsi="Times New Roman" w:cs="Times New Roman"/>
                <w:kern w:val="0"/>
                <w:sz w:val="28"/>
                <w:szCs w:val="28"/>
                <w:lang w:val="ru-RU"/>
                <w14:ligatures w14:val="none"/>
              </w:rPr>
              <w:t>Особистий підпис –</w:t>
            </w:r>
          </w:p>
        </w:tc>
        <w:tc>
          <w:tcPr>
            <w:tcW w:w="1746" w:type="dxa"/>
            <w:hideMark/>
          </w:tcPr>
          <w:p w14:paraId="70D196EA" w14:textId="77777777" w:rsidR="00E31F29" w:rsidRPr="006761DF" w:rsidRDefault="00E31F29" w:rsidP="00E31F29">
            <w:pPr>
              <w:widowControl w:val="0"/>
              <w:spacing w:after="0" w:line="240" w:lineRule="auto"/>
              <w:jc w:val="both"/>
              <w:rPr>
                <w:rFonts w:ascii="Times New Roman" w:eastAsia="Times New Roman" w:hAnsi="Times New Roman" w:cs="Times New Roman"/>
                <w:kern w:val="0"/>
                <w:sz w:val="28"/>
                <w:szCs w:val="28"/>
                <w:lang w:val="ru-RU"/>
                <w14:ligatures w14:val="none"/>
              </w:rPr>
            </w:pPr>
            <w:r w:rsidRPr="006761DF">
              <w:rPr>
                <w:rFonts w:ascii="Times New Roman" w:eastAsia="Times New Roman" w:hAnsi="Times New Roman" w:cs="Times New Roman"/>
                <w:kern w:val="0"/>
                <w:sz w:val="28"/>
                <w:szCs w:val="28"/>
                <w:lang w:val="ru-RU"/>
                <w14:ligatures w14:val="none"/>
              </w:rPr>
              <w:t>__________</w:t>
            </w:r>
          </w:p>
        </w:tc>
        <w:tc>
          <w:tcPr>
            <w:tcW w:w="3540" w:type="dxa"/>
            <w:hideMark/>
          </w:tcPr>
          <w:p w14:paraId="33977510" w14:textId="53715CFA" w:rsidR="00E31F29" w:rsidRPr="006761DF" w:rsidRDefault="0002184F" w:rsidP="00E31F29">
            <w:pPr>
              <w:widowControl w:val="0"/>
              <w:spacing w:after="0" w:line="240" w:lineRule="auto"/>
              <w:rPr>
                <w:rFonts w:ascii="Times New Roman" w:eastAsia="Times New Roman" w:hAnsi="Times New Roman" w:cs="Times New Roman"/>
                <w:kern w:val="0"/>
                <w:sz w:val="28"/>
                <w:szCs w:val="28"/>
                <w:lang w:val="uk-UA" w:eastAsia="ru-RU"/>
                <w14:ligatures w14:val="none"/>
              </w:rPr>
            </w:pPr>
            <w:r w:rsidRPr="006761DF">
              <w:rPr>
                <w:rFonts w:ascii="Times New Roman" w:eastAsia="Times New Roman" w:hAnsi="Times New Roman" w:cs="Times New Roman"/>
                <w:kern w:val="0"/>
                <w:sz w:val="28"/>
                <w:szCs w:val="28"/>
                <w:lang w:val="uk-UA"/>
                <w14:ligatures w14:val="none"/>
              </w:rPr>
              <w:t>Є</w:t>
            </w:r>
            <w:r w:rsidR="00E31F29" w:rsidRPr="006761DF">
              <w:rPr>
                <w:rFonts w:ascii="Times New Roman" w:eastAsia="Times New Roman" w:hAnsi="Times New Roman" w:cs="Times New Roman"/>
                <w:kern w:val="0"/>
                <w:sz w:val="28"/>
                <w:szCs w:val="28"/>
                <w:lang w:val="uk-UA"/>
                <w14:ligatures w14:val="none"/>
              </w:rPr>
              <w:t>. </w:t>
            </w:r>
            <w:r w:rsidR="005D0D4C" w:rsidRPr="006761DF">
              <w:rPr>
                <w:rFonts w:ascii="Times New Roman" w:eastAsia="Times New Roman" w:hAnsi="Times New Roman" w:cs="Times New Roman"/>
                <w:kern w:val="0"/>
                <w:sz w:val="28"/>
                <w:szCs w:val="28"/>
                <w:lang w:val="uk-UA"/>
                <w14:ligatures w14:val="none"/>
              </w:rPr>
              <w:t>О</w:t>
            </w:r>
            <w:r w:rsidR="00E31F29" w:rsidRPr="006761DF">
              <w:rPr>
                <w:rFonts w:ascii="Times New Roman" w:eastAsia="Times New Roman" w:hAnsi="Times New Roman" w:cs="Times New Roman"/>
                <w:kern w:val="0"/>
                <w:sz w:val="28"/>
                <w:szCs w:val="28"/>
                <w:lang w:val="uk-UA"/>
                <w14:ligatures w14:val="none"/>
              </w:rPr>
              <w:t>.</w:t>
            </w:r>
            <w:r w:rsidR="00E31F29" w:rsidRPr="006761DF">
              <w:rPr>
                <w:rFonts w:ascii="Times New Roman" w:eastAsia="Times New Roman" w:hAnsi="Times New Roman" w:cs="Times New Roman"/>
                <w:kern w:val="0"/>
                <w:sz w:val="28"/>
                <w:szCs w:val="28"/>
                <w:lang w:val="uk-UA" w:eastAsia="ru-RU"/>
                <w14:ligatures w14:val="none"/>
              </w:rPr>
              <w:t xml:space="preserve"> </w:t>
            </w:r>
            <w:r w:rsidRPr="006761DF">
              <w:rPr>
                <w:rFonts w:ascii="Times New Roman" w:eastAsia="Times New Roman" w:hAnsi="Times New Roman" w:cs="Times New Roman"/>
                <w:kern w:val="0"/>
                <w:sz w:val="28"/>
                <w:szCs w:val="28"/>
                <w:lang w:val="uk-UA" w:eastAsia="ru-RU"/>
                <w14:ligatures w14:val="none"/>
              </w:rPr>
              <w:t>Мороз</w:t>
            </w:r>
          </w:p>
        </w:tc>
      </w:tr>
      <w:tr w:rsidR="00E31F29" w:rsidRPr="006761DF" w14:paraId="3D5B58FB" w14:textId="77777777" w:rsidTr="00AE61FD">
        <w:trPr>
          <w:trHeight w:val="1179"/>
          <w:jc w:val="center"/>
        </w:trPr>
        <w:tc>
          <w:tcPr>
            <w:tcW w:w="3063" w:type="dxa"/>
          </w:tcPr>
          <w:p w14:paraId="4DE0402C" w14:textId="77777777" w:rsidR="00E31F29" w:rsidRPr="006761DF" w:rsidRDefault="00E31F29" w:rsidP="00E31F29">
            <w:pPr>
              <w:widowControl w:val="0"/>
              <w:spacing w:after="0" w:line="240" w:lineRule="auto"/>
              <w:rPr>
                <w:rFonts w:ascii="Times New Roman" w:eastAsia="Times New Roman" w:hAnsi="Times New Roman" w:cs="Times New Roman"/>
                <w:kern w:val="0"/>
                <w:sz w:val="28"/>
                <w:szCs w:val="28"/>
                <w:lang w:val="en-US"/>
                <w14:ligatures w14:val="none"/>
              </w:rPr>
            </w:pPr>
          </w:p>
          <w:p w14:paraId="2F0AB4AC" w14:textId="77777777" w:rsidR="00E31F29" w:rsidRPr="006761DF" w:rsidRDefault="00E31F29" w:rsidP="00E31F29">
            <w:pPr>
              <w:widowControl w:val="0"/>
              <w:spacing w:after="0" w:line="240" w:lineRule="auto"/>
              <w:rPr>
                <w:rFonts w:ascii="Times New Roman" w:eastAsia="Times New Roman" w:hAnsi="Times New Roman" w:cs="Times New Roman"/>
                <w:kern w:val="0"/>
                <w:sz w:val="28"/>
                <w:szCs w:val="28"/>
                <w:lang w:val="ru-RU"/>
                <w14:ligatures w14:val="none"/>
              </w:rPr>
            </w:pPr>
            <w:r w:rsidRPr="006761DF">
              <w:rPr>
                <w:rFonts w:ascii="Times New Roman" w:eastAsia="Times New Roman" w:hAnsi="Times New Roman" w:cs="Times New Roman"/>
                <w:kern w:val="0"/>
                <w:sz w:val="28"/>
                <w:szCs w:val="28"/>
                <w:lang w:val="ru-RU"/>
                <w14:ligatures w14:val="none"/>
              </w:rPr>
              <w:t>Науковий керівник –</w:t>
            </w:r>
          </w:p>
        </w:tc>
        <w:tc>
          <w:tcPr>
            <w:tcW w:w="1746" w:type="dxa"/>
          </w:tcPr>
          <w:p w14:paraId="48C1F869" w14:textId="77777777" w:rsidR="00E31F29" w:rsidRPr="006761DF" w:rsidRDefault="00E31F29" w:rsidP="00E31F29">
            <w:pPr>
              <w:widowControl w:val="0"/>
              <w:spacing w:after="0" w:line="240" w:lineRule="auto"/>
              <w:jc w:val="both"/>
              <w:rPr>
                <w:rFonts w:ascii="Times New Roman" w:eastAsia="Times New Roman" w:hAnsi="Times New Roman" w:cs="Times New Roman"/>
                <w:kern w:val="0"/>
                <w:sz w:val="28"/>
                <w:szCs w:val="28"/>
                <w:lang w:val="ru-RU"/>
                <w14:ligatures w14:val="none"/>
              </w:rPr>
            </w:pPr>
          </w:p>
        </w:tc>
        <w:tc>
          <w:tcPr>
            <w:tcW w:w="3540" w:type="dxa"/>
          </w:tcPr>
          <w:p w14:paraId="5463AA63" w14:textId="77777777" w:rsidR="00E31F29" w:rsidRPr="006761DF" w:rsidRDefault="00E31F29" w:rsidP="00E31F29">
            <w:pPr>
              <w:spacing w:after="0" w:line="100" w:lineRule="atLeast"/>
              <w:rPr>
                <w:rFonts w:ascii="Times New Roman" w:eastAsia="Times New Roman" w:hAnsi="Times New Roman" w:cs="Times New Roman"/>
                <w:kern w:val="0"/>
                <w:sz w:val="28"/>
                <w:szCs w:val="28"/>
                <w:lang w:val="ru-RU"/>
                <w14:ligatures w14:val="none"/>
              </w:rPr>
            </w:pPr>
          </w:p>
          <w:p w14:paraId="0E8C746E" w14:textId="638DF4E5" w:rsidR="00E31F29" w:rsidRPr="006761DF" w:rsidRDefault="0002184F" w:rsidP="00E31F29">
            <w:pPr>
              <w:widowControl w:val="0"/>
              <w:spacing w:after="0" w:line="240" w:lineRule="auto"/>
              <w:rPr>
                <w:rFonts w:ascii="Times New Roman" w:eastAsia="Times New Roman" w:hAnsi="Times New Roman" w:cs="Times New Roman"/>
                <w:kern w:val="0"/>
                <w:sz w:val="28"/>
                <w:szCs w:val="28"/>
                <w:lang w:val="ru-RU"/>
                <w14:ligatures w14:val="none"/>
              </w:rPr>
            </w:pPr>
            <w:r w:rsidRPr="006761DF">
              <w:rPr>
                <w:rFonts w:ascii="Times New Roman" w:eastAsia="Times New Roman" w:hAnsi="Times New Roman" w:cs="Times New Roman"/>
                <w:kern w:val="0"/>
                <w:sz w:val="28"/>
                <w:szCs w:val="28"/>
                <w:lang w:val="uk-UA"/>
                <w14:ligatures w14:val="none"/>
              </w:rPr>
              <w:t>С</w:t>
            </w:r>
            <w:r w:rsidR="00E31F29" w:rsidRPr="006761DF">
              <w:rPr>
                <w:rFonts w:ascii="Times New Roman" w:eastAsia="Times New Roman" w:hAnsi="Times New Roman" w:cs="Times New Roman"/>
                <w:kern w:val="0"/>
                <w:sz w:val="28"/>
                <w:szCs w:val="28"/>
                <w:lang w:val="ru-RU"/>
                <w14:ligatures w14:val="none"/>
              </w:rPr>
              <w:t>. </w:t>
            </w:r>
            <w:r w:rsidRPr="006761DF">
              <w:rPr>
                <w:rFonts w:ascii="Times New Roman" w:eastAsia="Times New Roman" w:hAnsi="Times New Roman" w:cs="Times New Roman"/>
                <w:kern w:val="0"/>
                <w:sz w:val="28"/>
                <w:szCs w:val="28"/>
                <w:lang w:val="ru-RU"/>
                <w14:ligatures w14:val="none"/>
              </w:rPr>
              <w:t>О</w:t>
            </w:r>
            <w:r w:rsidR="00E31F29" w:rsidRPr="006761DF">
              <w:rPr>
                <w:rFonts w:ascii="Times New Roman" w:eastAsia="Times New Roman" w:hAnsi="Times New Roman" w:cs="Times New Roman"/>
                <w:kern w:val="0"/>
                <w:sz w:val="28"/>
                <w:szCs w:val="28"/>
                <w:lang w:val="ru-RU"/>
                <w14:ligatures w14:val="none"/>
              </w:rPr>
              <w:t xml:space="preserve">. </w:t>
            </w:r>
            <w:r w:rsidRPr="006761DF">
              <w:rPr>
                <w:rFonts w:ascii="Times New Roman" w:eastAsia="Calibri" w:hAnsi="Times New Roman" w:cs="Times New Roman"/>
                <w:sz w:val="28"/>
                <w:szCs w:val="28"/>
                <w:lang w:val="uk-UA"/>
              </w:rPr>
              <w:t>Вовк</w:t>
            </w:r>
            <w:r w:rsidR="00E31F29" w:rsidRPr="006761DF">
              <w:rPr>
                <w:rFonts w:ascii="Times New Roman" w:eastAsia="Times New Roman" w:hAnsi="Times New Roman" w:cs="Times New Roman"/>
                <w:kern w:val="0"/>
                <w:sz w:val="28"/>
                <w:szCs w:val="28"/>
                <w:lang w:val="ru-RU"/>
                <w14:ligatures w14:val="none"/>
              </w:rPr>
              <w:t xml:space="preserve">, </w:t>
            </w:r>
            <w:r w:rsidRPr="006761DF">
              <w:rPr>
                <w:rFonts w:ascii="Times New Roman" w:eastAsia="Times New Roman" w:hAnsi="Times New Roman" w:cs="Times New Roman"/>
                <w:kern w:val="0"/>
                <w:sz w:val="28"/>
                <w:szCs w:val="28"/>
                <w:lang w:val="uk-UA"/>
                <w14:ligatures w14:val="none"/>
              </w:rPr>
              <w:t>доктор</w:t>
            </w:r>
            <w:r w:rsidR="00E31F29" w:rsidRPr="006761DF">
              <w:rPr>
                <w:rFonts w:ascii="Times New Roman" w:eastAsia="Times New Roman" w:hAnsi="Times New Roman" w:cs="Times New Roman"/>
                <w:kern w:val="0"/>
                <w:sz w:val="28"/>
                <w:szCs w:val="28"/>
                <w:lang w:val="uk-UA"/>
                <w14:ligatures w14:val="none"/>
              </w:rPr>
              <w:t xml:space="preserve"> політичних</w:t>
            </w:r>
            <w:r w:rsidR="00E31F29" w:rsidRPr="006761DF">
              <w:rPr>
                <w:rFonts w:ascii="Times New Roman" w:eastAsia="Times New Roman" w:hAnsi="Times New Roman" w:cs="Times New Roman"/>
                <w:kern w:val="0"/>
                <w:sz w:val="28"/>
                <w:szCs w:val="28"/>
                <w:lang w:val="ru-RU"/>
                <w14:ligatures w14:val="none"/>
              </w:rPr>
              <w:t xml:space="preserve"> наук, </w:t>
            </w:r>
            <w:r w:rsidRPr="006761DF">
              <w:rPr>
                <w:rFonts w:ascii="Times New Roman" w:eastAsia="Times New Roman" w:hAnsi="Times New Roman" w:cs="Times New Roman"/>
                <w:kern w:val="0"/>
                <w:sz w:val="28"/>
                <w:szCs w:val="28"/>
                <w:lang w:val="uk-UA" w:eastAsia="ru-RU"/>
                <w14:ligatures w14:val="none"/>
              </w:rPr>
              <w:t>професор</w:t>
            </w:r>
            <w:r w:rsidR="00E31F29" w:rsidRPr="006761DF">
              <w:rPr>
                <w:rFonts w:ascii="Times New Roman" w:eastAsia="Times New Roman" w:hAnsi="Times New Roman" w:cs="Times New Roman"/>
                <w:kern w:val="0"/>
                <w:sz w:val="28"/>
                <w:szCs w:val="28"/>
                <w:lang w:val="ru-RU" w:eastAsia="ru-RU"/>
                <w14:ligatures w14:val="none"/>
              </w:rPr>
              <w:t xml:space="preserve"> </w:t>
            </w:r>
          </w:p>
        </w:tc>
      </w:tr>
      <w:tr w:rsidR="00E31F29" w:rsidRPr="006761DF" w14:paraId="3E2434A9" w14:textId="77777777" w:rsidTr="00AE61FD">
        <w:trPr>
          <w:trHeight w:val="593"/>
          <w:jc w:val="center"/>
        </w:trPr>
        <w:tc>
          <w:tcPr>
            <w:tcW w:w="3063" w:type="dxa"/>
            <w:hideMark/>
          </w:tcPr>
          <w:p w14:paraId="747177C9" w14:textId="77777777" w:rsidR="00E31F29" w:rsidRPr="006761DF" w:rsidRDefault="00E31F29" w:rsidP="00E31F29">
            <w:pPr>
              <w:widowControl w:val="0"/>
              <w:spacing w:after="0" w:line="240" w:lineRule="auto"/>
              <w:rPr>
                <w:rFonts w:ascii="Times New Roman" w:eastAsia="Times New Roman" w:hAnsi="Times New Roman" w:cs="Times New Roman"/>
                <w:kern w:val="0"/>
                <w:sz w:val="28"/>
                <w:szCs w:val="28"/>
                <w:lang w:val="ru-RU"/>
                <w14:ligatures w14:val="none"/>
              </w:rPr>
            </w:pPr>
            <w:r w:rsidRPr="006761DF">
              <w:rPr>
                <w:rFonts w:ascii="Times New Roman" w:eastAsia="Times New Roman" w:hAnsi="Times New Roman" w:cs="Times New Roman"/>
                <w:kern w:val="0"/>
                <w:sz w:val="28"/>
                <w:szCs w:val="28"/>
                <w:lang w:val="ru-RU"/>
                <w14:ligatures w14:val="none"/>
              </w:rPr>
              <w:t>Завідувач кафедри –</w:t>
            </w:r>
          </w:p>
        </w:tc>
        <w:tc>
          <w:tcPr>
            <w:tcW w:w="1746" w:type="dxa"/>
            <w:hideMark/>
          </w:tcPr>
          <w:p w14:paraId="400D5BB9" w14:textId="77777777" w:rsidR="00E31F29" w:rsidRPr="006761DF" w:rsidRDefault="00E31F29" w:rsidP="00E31F29">
            <w:pPr>
              <w:widowControl w:val="0"/>
              <w:spacing w:after="0" w:line="240" w:lineRule="auto"/>
              <w:jc w:val="both"/>
              <w:rPr>
                <w:rFonts w:ascii="Times New Roman" w:eastAsia="Times New Roman" w:hAnsi="Times New Roman" w:cs="Times New Roman"/>
                <w:kern w:val="0"/>
                <w:sz w:val="28"/>
                <w:szCs w:val="28"/>
                <w:lang w:val="ru-RU"/>
                <w14:ligatures w14:val="none"/>
              </w:rPr>
            </w:pPr>
            <w:r w:rsidRPr="006761DF">
              <w:rPr>
                <w:rFonts w:ascii="Times New Roman" w:eastAsia="Times New Roman" w:hAnsi="Times New Roman" w:cs="Times New Roman"/>
                <w:kern w:val="0"/>
                <w:sz w:val="28"/>
                <w:szCs w:val="28"/>
                <w:lang w:val="ru-RU"/>
                <w14:ligatures w14:val="none"/>
              </w:rPr>
              <w:t>__________</w:t>
            </w:r>
          </w:p>
        </w:tc>
        <w:tc>
          <w:tcPr>
            <w:tcW w:w="3540" w:type="dxa"/>
            <w:vAlign w:val="center"/>
          </w:tcPr>
          <w:p w14:paraId="5B848BDE" w14:textId="77777777" w:rsidR="00E31F29" w:rsidRPr="006761DF" w:rsidRDefault="00E31F29" w:rsidP="00E31F29">
            <w:pPr>
              <w:widowControl w:val="0"/>
              <w:spacing w:after="0" w:line="240" w:lineRule="auto"/>
              <w:rPr>
                <w:rFonts w:ascii="Times New Roman" w:eastAsia="Times New Roman" w:hAnsi="Times New Roman" w:cs="Times New Roman"/>
                <w:kern w:val="0"/>
                <w:sz w:val="28"/>
                <w:szCs w:val="28"/>
                <w:lang w:val="ru-RU"/>
                <w14:ligatures w14:val="none"/>
              </w:rPr>
            </w:pPr>
            <w:r w:rsidRPr="006761DF">
              <w:rPr>
                <w:rFonts w:ascii="Times New Roman" w:eastAsia="Times New Roman" w:hAnsi="Times New Roman" w:cs="Times New Roman"/>
                <w:kern w:val="0"/>
                <w:sz w:val="28"/>
                <w:szCs w:val="28"/>
                <w:lang w:val="uk-UA"/>
                <w14:ligatures w14:val="none"/>
              </w:rPr>
              <w:t>Л. О. Новоскольцева</w:t>
            </w:r>
            <w:r w:rsidRPr="006761DF">
              <w:rPr>
                <w:rFonts w:ascii="Times New Roman" w:eastAsia="Times New Roman" w:hAnsi="Times New Roman" w:cs="Times New Roman"/>
                <w:kern w:val="0"/>
                <w:sz w:val="28"/>
                <w:szCs w:val="28"/>
                <w:lang w:val="ru-RU"/>
                <w14:ligatures w14:val="none"/>
              </w:rPr>
              <w:t>,</w:t>
            </w:r>
            <w:r w:rsidRPr="006761DF">
              <w:rPr>
                <w:rFonts w:ascii="Times New Roman" w:eastAsia="Times New Roman" w:hAnsi="Times New Roman" w:cs="Times New Roman"/>
                <w:kern w:val="0"/>
                <w:sz w:val="28"/>
                <w:szCs w:val="28"/>
                <w:lang w:val="uk-UA"/>
                <w14:ligatures w14:val="none"/>
              </w:rPr>
              <w:t xml:space="preserve"> </w:t>
            </w:r>
            <w:r w:rsidRPr="006761DF">
              <w:rPr>
                <w:rFonts w:ascii="Times New Roman" w:eastAsia="Times New Roman" w:hAnsi="Times New Roman" w:cs="Times New Roman"/>
                <w:kern w:val="0"/>
                <w:sz w:val="28"/>
                <w:szCs w:val="28"/>
                <w:lang w:val="ru-RU"/>
                <w14:ligatures w14:val="none"/>
              </w:rPr>
              <w:t xml:space="preserve">кандидат </w:t>
            </w:r>
            <w:r w:rsidRPr="006761DF">
              <w:rPr>
                <w:rFonts w:ascii="Times New Roman" w:eastAsia="Times New Roman" w:hAnsi="Times New Roman" w:cs="Times New Roman"/>
                <w:kern w:val="0"/>
                <w:sz w:val="28"/>
                <w:szCs w:val="28"/>
                <w:lang w:val="uk-UA"/>
                <w14:ligatures w14:val="none"/>
              </w:rPr>
              <w:t>політичних</w:t>
            </w:r>
            <w:r w:rsidRPr="006761DF">
              <w:rPr>
                <w:rFonts w:ascii="Times New Roman" w:eastAsia="Times New Roman" w:hAnsi="Times New Roman" w:cs="Times New Roman"/>
                <w:kern w:val="0"/>
                <w:sz w:val="28"/>
                <w:szCs w:val="28"/>
                <w:lang w:val="ru-RU"/>
                <w14:ligatures w14:val="none"/>
              </w:rPr>
              <w:t xml:space="preserve"> наук, доцент</w:t>
            </w:r>
          </w:p>
          <w:p w14:paraId="06F69E51" w14:textId="77777777" w:rsidR="00E31F29" w:rsidRPr="006761DF" w:rsidRDefault="00E31F29" w:rsidP="00E31F29">
            <w:pPr>
              <w:widowControl w:val="0"/>
              <w:spacing w:after="0" w:line="240" w:lineRule="auto"/>
              <w:rPr>
                <w:rFonts w:ascii="Times New Roman" w:eastAsia="Times New Roman" w:hAnsi="Times New Roman" w:cs="Times New Roman"/>
                <w:kern w:val="0"/>
                <w:sz w:val="28"/>
                <w:szCs w:val="28"/>
                <w:lang w:val="ru-RU"/>
                <w14:ligatures w14:val="none"/>
              </w:rPr>
            </w:pPr>
          </w:p>
        </w:tc>
      </w:tr>
    </w:tbl>
    <w:p w14:paraId="0E0509D2" w14:textId="77777777" w:rsidR="00E31F29" w:rsidRPr="006761DF" w:rsidRDefault="00E31F29" w:rsidP="00E31F29">
      <w:pPr>
        <w:spacing w:after="0" w:line="360" w:lineRule="auto"/>
        <w:rPr>
          <w:rFonts w:ascii="Times New Roman" w:eastAsia="Times New Roman" w:hAnsi="Times New Roman" w:cs="Times New Roman"/>
          <w:kern w:val="0"/>
          <w:sz w:val="28"/>
          <w:szCs w:val="28"/>
          <w:lang w:val="uk-UA" w:eastAsia="ru-RU"/>
          <w14:ligatures w14:val="none"/>
        </w:rPr>
      </w:pPr>
    </w:p>
    <w:p w14:paraId="72566945" w14:textId="77777777" w:rsidR="00E31F29" w:rsidRPr="006761DF" w:rsidRDefault="00E31F29" w:rsidP="00E31F29">
      <w:pPr>
        <w:spacing w:after="0" w:line="360" w:lineRule="auto"/>
        <w:rPr>
          <w:rFonts w:ascii="Times New Roman" w:eastAsia="Times New Roman" w:hAnsi="Times New Roman" w:cs="Times New Roman"/>
          <w:kern w:val="0"/>
          <w:sz w:val="28"/>
          <w:szCs w:val="28"/>
          <w:lang w:val="uk-UA" w:eastAsia="ru-RU"/>
          <w14:ligatures w14:val="none"/>
        </w:rPr>
      </w:pPr>
    </w:p>
    <w:p w14:paraId="78116DCE" w14:textId="77777777" w:rsidR="00E31F29" w:rsidRPr="006761DF" w:rsidRDefault="00E31F29" w:rsidP="00E31F29">
      <w:pPr>
        <w:spacing w:after="0" w:line="360" w:lineRule="auto"/>
        <w:rPr>
          <w:rFonts w:ascii="Times New Roman" w:eastAsia="Times New Roman" w:hAnsi="Times New Roman" w:cs="Times New Roman"/>
          <w:kern w:val="0"/>
          <w:sz w:val="28"/>
          <w:szCs w:val="28"/>
          <w:lang w:val="ru-RU" w:eastAsia="ru-RU"/>
          <w14:ligatures w14:val="none"/>
        </w:rPr>
      </w:pPr>
    </w:p>
    <w:p w14:paraId="4FAE6DD9" w14:textId="77777777" w:rsidR="00E31F29" w:rsidRPr="006761DF" w:rsidRDefault="00E31F29" w:rsidP="00E31F29">
      <w:pPr>
        <w:spacing w:after="0" w:line="360" w:lineRule="auto"/>
        <w:jc w:val="center"/>
        <w:rPr>
          <w:rFonts w:ascii="Times New Roman" w:eastAsia="Times New Roman" w:hAnsi="Times New Roman" w:cs="Times New Roman"/>
          <w:kern w:val="0"/>
          <w:sz w:val="28"/>
          <w:szCs w:val="28"/>
          <w:lang w:val="uk-UA" w:eastAsia="ru-RU"/>
          <w14:ligatures w14:val="none"/>
        </w:rPr>
      </w:pPr>
      <w:r w:rsidRPr="006761DF">
        <w:rPr>
          <w:rFonts w:ascii="Times New Roman" w:eastAsia="Times New Roman" w:hAnsi="Times New Roman" w:cs="Times New Roman"/>
          <w:kern w:val="0"/>
          <w:sz w:val="28"/>
          <w:szCs w:val="28"/>
          <w:lang w:val="ru-RU" w:eastAsia="ru-RU"/>
          <w14:ligatures w14:val="none"/>
        </w:rPr>
        <w:t>Полтава – 202</w:t>
      </w:r>
      <w:r w:rsidRPr="006761DF">
        <w:rPr>
          <w:rFonts w:ascii="Times New Roman" w:eastAsia="Times New Roman" w:hAnsi="Times New Roman" w:cs="Times New Roman"/>
          <w:kern w:val="0"/>
          <w:sz w:val="28"/>
          <w:szCs w:val="28"/>
          <w:lang w:val="uk-UA" w:eastAsia="ru-RU"/>
          <w14:ligatures w14:val="none"/>
        </w:rPr>
        <w:t xml:space="preserve">6     </w:t>
      </w:r>
    </w:p>
    <w:p w14:paraId="71B8FAF7" w14:textId="77777777" w:rsidR="00E31F29" w:rsidRPr="006761DF" w:rsidRDefault="00E31F29" w:rsidP="00E31F29">
      <w:pPr>
        <w:spacing w:line="259" w:lineRule="auto"/>
        <w:rPr>
          <w:rFonts w:ascii="Times New Roman" w:eastAsia="Times New Roman" w:hAnsi="Times New Roman" w:cs="Times New Roman"/>
          <w:kern w:val="0"/>
          <w:sz w:val="28"/>
          <w:szCs w:val="28"/>
          <w:lang w:val="uk-UA" w:eastAsia="ru-RU"/>
          <w14:ligatures w14:val="none"/>
        </w:rPr>
      </w:pPr>
      <w:r w:rsidRPr="006761DF">
        <w:rPr>
          <w:rFonts w:ascii="Times New Roman" w:eastAsia="Times New Roman" w:hAnsi="Times New Roman" w:cs="Times New Roman"/>
          <w:kern w:val="0"/>
          <w:sz w:val="28"/>
          <w:szCs w:val="28"/>
          <w:lang w:val="uk-UA" w:eastAsia="ru-RU"/>
          <w14:ligatures w14:val="none"/>
        </w:rPr>
        <w:br w:type="page"/>
      </w:r>
    </w:p>
    <w:p w14:paraId="6080CD77" w14:textId="77777777" w:rsidR="00E31F29" w:rsidRPr="006761DF" w:rsidRDefault="00E31F29" w:rsidP="00E31F29">
      <w:pPr>
        <w:spacing w:after="0" w:line="360" w:lineRule="auto"/>
        <w:jc w:val="center"/>
        <w:rPr>
          <w:rFonts w:ascii="Times New Roman" w:eastAsia="Times New Roman" w:hAnsi="Times New Roman" w:cs="Times New Roman"/>
          <w:b/>
          <w:kern w:val="0"/>
          <w:sz w:val="28"/>
          <w:szCs w:val="28"/>
          <w:lang w:val="uk-UA" w:eastAsia="ru-RU"/>
          <w14:ligatures w14:val="none"/>
        </w:rPr>
      </w:pPr>
      <w:r w:rsidRPr="006761DF">
        <w:rPr>
          <w:rFonts w:ascii="Times New Roman" w:eastAsia="Times New Roman" w:hAnsi="Times New Roman" w:cs="Times New Roman"/>
          <w:b/>
          <w:kern w:val="0"/>
          <w:sz w:val="28"/>
          <w:szCs w:val="28"/>
          <w:lang w:val="uk-UA" w:eastAsia="ru-RU"/>
          <w14:ligatures w14:val="none"/>
        </w:rPr>
        <w:lastRenderedPageBreak/>
        <w:t>ЗМІСТ</w:t>
      </w:r>
    </w:p>
    <w:tbl>
      <w:tblPr>
        <w:tblStyle w:val="ae"/>
        <w:tblW w:w="10065" w:type="dxa"/>
        <w:tblInd w:w="-431" w:type="dxa"/>
        <w:tblLook w:val="04A0" w:firstRow="1" w:lastRow="0" w:firstColumn="1" w:lastColumn="0" w:noHBand="0" w:noVBand="1"/>
      </w:tblPr>
      <w:tblGrid>
        <w:gridCol w:w="9489"/>
        <w:gridCol w:w="576"/>
      </w:tblGrid>
      <w:tr w:rsidR="00E31F29" w:rsidRPr="006761DF" w14:paraId="4FAE8E23" w14:textId="77777777" w:rsidTr="00AE61FD">
        <w:tc>
          <w:tcPr>
            <w:tcW w:w="9489" w:type="dxa"/>
          </w:tcPr>
          <w:p w14:paraId="48573242" w14:textId="77777777" w:rsidR="00E31F29" w:rsidRPr="006761DF" w:rsidRDefault="00E31F29" w:rsidP="00E31F29">
            <w:pPr>
              <w:spacing w:line="360" w:lineRule="auto"/>
              <w:jc w:val="both"/>
              <w:rPr>
                <w:rFonts w:eastAsia="Times New Roman" w:cs="Times New Roman"/>
                <w:szCs w:val="28"/>
                <w:lang w:val="uk-UA" w:eastAsia="ru-RU"/>
              </w:rPr>
            </w:pPr>
            <w:r w:rsidRPr="006761DF">
              <w:rPr>
                <w:rFonts w:eastAsia="Times New Roman" w:cs="Times New Roman"/>
                <w:szCs w:val="28"/>
                <w:lang w:val="uk-UA" w:eastAsia="ru-RU"/>
              </w:rPr>
              <w:t>ВСТУП ………………………………………………………………………….…</w:t>
            </w:r>
          </w:p>
        </w:tc>
        <w:tc>
          <w:tcPr>
            <w:tcW w:w="576" w:type="dxa"/>
            <w:vAlign w:val="bottom"/>
          </w:tcPr>
          <w:p w14:paraId="542FFA9F" w14:textId="5FFD02B6" w:rsidR="00E31F29" w:rsidRPr="006761DF" w:rsidRDefault="00AA12FE" w:rsidP="00E31F29">
            <w:pPr>
              <w:spacing w:line="360" w:lineRule="auto"/>
              <w:jc w:val="center"/>
              <w:rPr>
                <w:rFonts w:eastAsia="Times New Roman" w:cs="Times New Roman"/>
                <w:szCs w:val="28"/>
                <w:lang w:val="uk-UA" w:eastAsia="ru-RU"/>
              </w:rPr>
            </w:pPr>
            <w:r>
              <w:rPr>
                <w:rFonts w:eastAsia="Times New Roman" w:cs="Times New Roman"/>
                <w:szCs w:val="28"/>
                <w:lang w:val="uk-UA" w:eastAsia="ru-RU"/>
              </w:rPr>
              <w:t>3</w:t>
            </w:r>
          </w:p>
        </w:tc>
      </w:tr>
      <w:tr w:rsidR="00E31F29" w:rsidRPr="006761DF" w14:paraId="1C08D106" w14:textId="77777777" w:rsidTr="00AE61FD">
        <w:tc>
          <w:tcPr>
            <w:tcW w:w="9489" w:type="dxa"/>
          </w:tcPr>
          <w:p w14:paraId="768FAF86" w14:textId="4CAF4FC9" w:rsidR="00E31F29" w:rsidRPr="006761DF" w:rsidRDefault="00E31F29" w:rsidP="0002184F">
            <w:pPr>
              <w:tabs>
                <w:tab w:val="left" w:pos="1590"/>
              </w:tabs>
              <w:spacing w:line="360" w:lineRule="auto"/>
              <w:jc w:val="both"/>
              <w:rPr>
                <w:rFonts w:cs="Times New Roman"/>
                <w:szCs w:val="28"/>
              </w:rPr>
            </w:pPr>
            <w:r w:rsidRPr="006761DF">
              <w:rPr>
                <w:rFonts w:eastAsia="Times New Roman" w:cs="Times New Roman"/>
                <w:szCs w:val="28"/>
                <w:lang w:val="uk-UA" w:eastAsia="ru-RU"/>
              </w:rPr>
              <w:t>РОЗДІЛ 1. </w:t>
            </w:r>
            <w:r w:rsidR="0002184F" w:rsidRPr="006761DF">
              <w:rPr>
                <w:rFonts w:cs="Times New Roman"/>
                <w:szCs w:val="28"/>
              </w:rPr>
              <w:t>ТЕОРЕТИКО-МЕТОДОЛОГІЧНІ ЗАСАДИ СУЧАСНОГО РОЗВ’ЯЗАННЯ ПОЛІТИЧНИХ КОНФЛІКТІВ ………………………………..</w:t>
            </w:r>
          </w:p>
        </w:tc>
        <w:tc>
          <w:tcPr>
            <w:tcW w:w="576" w:type="dxa"/>
            <w:vAlign w:val="bottom"/>
          </w:tcPr>
          <w:p w14:paraId="014DAD95" w14:textId="77777777" w:rsidR="00E31F29" w:rsidRPr="006761DF" w:rsidRDefault="00E31F29" w:rsidP="00E31F29">
            <w:pPr>
              <w:spacing w:line="360" w:lineRule="auto"/>
              <w:jc w:val="center"/>
              <w:rPr>
                <w:rFonts w:eastAsia="Times New Roman" w:cs="Times New Roman"/>
                <w:szCs w:val="28"/>
                <w:lang w:val="uk-UA" w:eastAsia="ru-RU"/>
              </w:rPr>
            </w:pPr>
            <w:r w:rsidRPr="006761DF">
              <w:rPr>
                <w:rFonts w:eastAsia="Times New Roman" w:cs="Times New Roman"/>
                <w:szCs w:val="28"/>
                <w:lang w:val="uk-UA" w:eastAsia="ru-RU"/>
              </w:rPr>
              <w:t>7</w:t>
            </w:r>
          </w:p>
        </w:tc>
      </w:tr>
      <w:tr w:rsidR="00E31F29" w:rsidRPr="006761DF" w14:paraId="094BC89B" w14:textId="77777777" w:rsidTr="00AE61FD">
        <w:tc>
          <w:tcPr>
            <w:tcW w:w="9489" w:type="dxa"/>
          </w:tcPr>
          <w:p w14:paraId="194786E2" w14:textId="0B67CA61" w:rsidR="00E31F29" w:rsidRPr="006761DF" w:rsidRDefault="00E31F29" w:rsidP="00E31F29">
            <w:pPr>
              <w:spacing w:line="360" w:lineRule="auto"/>
              <w:jc w:val="both"/>
              <w:rPr>
                <w:rFonts w:eastAsia="Times New Roman" w:cs="Times New Roman"/>
                <w:szCs w:val="28"/>
                <w:lang w:val="uk-UA" w:eastAsia="ru-RU"/>
              </w:rPr>
            </w:pPr>
            <w:r w:rsidRPr="006761DF">
              <w:rPr>
                <w:rFonts w:eastAsia="Times New Roman" w:cs="Times New Roman"/>
                <w:szCs w:val="28"/>
                <w:lang w:val="uk-UA" w:eastAsia="ru-RU"/>
              </w:rPr>
              <w:t>1.1. </w:t>
            </w:r>
            <w:r w:rsidR="0003342F" w:rsidRPr="006761DF">
              <w:rPr>
                <w:rFonts w:cs="Times New Roman"/>
                <w:szCs w:val="28"/>
              </w:rPr>
              <w:t>Політичний конфлікт у структурі політичного процесу …..</w:t>
            </w:r>
            <w:r w:rsidR="00723841" w:rsidRPr="006761DF">
              <w:rPr>
                <w:rFonts w:cs="Times New Roman"/>
                <w:szCs w:val="28"/>
              </w:rPr>
              <w:t xml:space="preserve"> …………….</w:t>
            </w:r>
            <w:r w:rsidR="00723841" w:rsidRPr="006761DF">
              <w:rPr>
                <w:rFonts w:eastAsia="Times New Roman" w:cs="Times New Roman"/>
                <w:szCs w:val="28"/>
                <w:lang w:val="uk-UA" w:eastAsia="ru-RU"/>
              </w:rPr>
              <w:t xml:space="preserve"> </w:t>
            </w:r>
          </w:p>
        </w:tc>
        <w:tc>
          <w:tcPr>
            <w:tcW w:w="576" w:type="dxa"/>
            <w:vAlign w:val="bottom"/>
          </w:tcPr>
          <w:p w14:paraId="680E57D1" w14:textId="77777777" w:rsidR="00E31F29" w:rsidRPr="006761DF" w:rsidRDefault="00E31F29" w:rsidP="00E31F29">
            <w:pPr>
              <w:spacing w:line="360" w:lineRule="auto"/>
              <w:jc w:val="center"/>
              <w:rPr>
                <w:rFonts w:eastAsia="Times New Roman" w:cs="Times New Roman"/>
                <w:szCs w:val="28"/>
                <w:lang w:val="uk-UA" w:eastAsia="ru-RU"/>
              </w:rPr>
            </w:pPr>
            <w:r w:rsidRPr="006761DF">
              <w:rPr>
                <w:rFonts w:eastAsia="Times New Roman" w:cs="Times New Roman"/>
                <w:szCs w:val="28"/>
                <w:lang w:val="uk-UA" w:eastAsia="ru-RU"/>
              </w:rPr>
              <w:t>7</w:t>
            </w:r>
          </w:p>
        </w:tc>
      </w:tr>
      <w:tr w:rsidR="00E31F29" w:rsidRPr="006761DF" w14:paraId="1527B574" w14:textId="77777777" w:rsidTr="00AE61FD">
        <w:tc>
          <w:tcPr>
            <w:tcW w:w="9489" w:type="dxa"/>
          </w:tcPr>
          <w:p w14:paraId="3B5B8BAB" w14:textId="1F8E5102" w:rsidR="00E31F29" w:rsidRPr="006761DF" w:rsidRDefault="00E31F29" w:rsidP="00E31F29">
            <w:pPr>
              <w:spacing w:line="360" w:lineRule="auto"/>
              <w:jc w:val="both"/>
              <w:rPr>
                <w:rFonts w:eastAsia="Times New Roman" w:cs="Times New Roman"/>
                <w:szCs w:val="28"/>
                <w:lang w:val="uk-UA" w:eastAsia="ru-RU"/>
              </w:rPr>
            </w:pPr>
            <w:r w:rsidRPr="006761DF">
              <w:rPr>
                <w:rFonts w:eastAsia="Times New Roman" w:cs="Times New Roman"/>
                <w:szCs w:val="28"/>
                <w:lang w:val="uk-UA" w:eastAsia="ru-RU"/>
              </w:rPr>
              <w:t>1.2. </w:t>
            </w:r>
            <w:r w:rsidR="0003342F" w:rsidRPr="006761DF">
              <w:rPr>
                <w:rFonts w:cs="Times New Roman"/>
                <w:szCs w:val="28"/>
              </w:rPr>
              <w:t>Теоретичні підходи до управління та розв’язання конфліктів</w:t>
            </w:r>
            <w:r w:rsidR="0003342F" w:rsidRPr="006761DF">
              <w:rPr>
                <w:rFonts w:eastAsia="Times New Roman" w:cs="Times New Roman"/>
                <w:szCs w:val="28"/>
                <w:lang w:val="uk-UA" w:eastAsia="ru-RU"/>
              </w:rPr>
              <w:t xml:space="preserve"> ..</w:t>
            </w:r>
            <w:r w:rsidR="00723841" w:rsidRPr="006761DF">
              <w:rPr>
                <w:rFonts w:eastAsia="Times New Roman" w:cs="Times New Roman"/>
                <w:szCs w:val="28"/>
                <w:lang w:val="uk-UA" w:eastAsia="ru-RU"/>
              </w:rPr>
              <w:t>………….</w:t>
            </w:r>
          </w:p>
        </w:tc>
        <w:tc>
          <w:tcPr>
            <w:tcW w:w="576" w:type="dxa"/>
            <w:vAlign w:val="bottom"/>
          </w:tcPr>
          <w:p w14:paraId="420A0327" w14:textId="77777777" w:rsidR="00E31F29" w:rsidRPr="006761DF" w:rsidRDefault="00E31F29" w:rsidP="00E31F29">
            <w:pPr>
              <w:spacing w:line="360" w:lineRule="auto"/>
              <w:jc w:val="center"/>
              <w:rPr>
                <w:rFonts w:eastAsia="Times New Roman" w:cs="Times New Roman"/>
                <w:szCs w:val="28"/>
                <w:lang w:val="uk-UA" w:eastAsia="ru-RU"/>
              </w:rPr>
            </w:pPr>
            <w:r w:rsidRPr="006761DF">
              <w:rPr>
                <w:rFonts w:eastAsia="Times New Roman" w:cs="Times New Roman"/>
                <w:szCs w:val="28"/>
                <w:lang w:val="uk-UA" w:eastAsia="ru-RU"/>
              </w:rPr>
              <w:t>12</w:t>
            </w:r>
          </w:p>
        </w:tc>
      </w:tr>
      <w:tr w:rsidR="00E31F29" w:rsidRPr="006761DF" w14:paraId="3CD5F3B8" w14:textId="77777777" w:rsidTr="00AE61FD">
        <w:tc>
          <w:tcPr>
            <w:tcW w:w="9489" w:type="dxa"/>
          </w:tcPr>
          <w:p w14:paraId="2F68E527" w14:textId="2F480ACC" w:rsidR="00E31F29" w:rsidRPr="006761DF" w:rsidRDefault="00E31F29" w:rsidP="00E31F29">
            <w:pPr>
              <w:spacing w:line="360" w:lineRule="auto"/>
              <w:jc w:val="both"/>
              <w:rPr>
                <w:rFonts w:eastAsia="Times New Roman" w:cs="Times New Roman"/>
                <w:szCs w:val="28"/>
                <w:lang w:val="uk-UA" w:eastAsia="ru-RU"/>
              </w:rPr>
            </w:pPr>
            <w:r w:rsidRPr="006761DF">
              <w:rPr>
                <w:rFonts w:eastAsia="Times New Roman" w:cs="Times New Roman"/>
                <w:szCs w:val="28"/>
                <w:lang w:val="uk-UA" w:eastAsia="ru-RU"/>
              </w:rPr>
              <w:t>1.3. </w:t>
            </w:r>
            <w:r w:rsidR="0003342F" w:rsidRPr="006761DF">
              <w:rPr>
                <w:rFonts w:cs="Times New Roman"/>
                <w:szCs w:val="28"/>
              </w:rPr>
              <w:t>Методи дослідження політичних конфліктів</w:t>
            </w:r>
            <w:r w:rsidR="0003342F" w:rsidRPr="006761DF">
              <w:rPr>
                <w:rFonts w:eastAsia="Times New Roman" w:cs="Times New Roman"/>
                <w:szCs w:val="28"/>
                <w:lang w:val="uk-UA" w:eastAsia="ru-RU"/>
              </w:rPr>
              <w:t xml:space="preserve"> ………………..</w:t>
            </w:r>
            <w:r w:rsidR="00723841" w:rsidRPr="006761DF">
              <w:rPr>
                <w:rFonts w:eastAsia="Times New Roman" w:cs="Times New Roman"/>
                <w:szCs w:val="28"/>
                <w:lang w:val="uk-UA" w:eastAsia="ru-RU"/>
              </w:rPr>
              <w:t>…………….</w:t>
            </w:r>
          </w:p>
        </w:tc>
        <w:tc>
          <w:tcPr>
            <w:tcW w:w="576" w:type="dxa"/>
            <w:vAlign w:val="bottom"/>
          </w:tcPr>
          <w:p w14:paraId="662BE3FB" w14:textId="2A549D86" w:rsidR="00E31F29" w:rsidRPr="006761DF" w:rsidRDefault="00E31F29" w:rsidP="00E31F29">
            <w:pPr>
              <w:spacing w:line="360" w:lineRule="auto"/>
              <w:jc w:val="center"/>
              <w:rPr>
                <w:rFonts w:eastAsia="Times New Roman" w:cs="Times New Roman"/>
                <w:szCs w:val="28"/>
                <w:lang w:val="uk-UA" w:eastAsia="ru-RU"/>
              </w:rPr>
            </w:pPr>
            <w:r w:rsidRPr="006761DF">
              <w:rPr>
                <w:rFonts w:eastAsia="Times New Roman" w:cs="Times New Roman"/>
                <w:szCs w:val="28"/>
                <w:lang w:val="uk-UA" w:eastAsia="ru-RU"/>
              </w:rPr>
              <w:t>1</w:t>
            </w:r>
            <w:r w:rsidR="00E435A8">
              <w:rPr>
                <w:rFonts w:eastAsia="Times New Roman" w:cs="Times New Roman"/>
                <w:szCs w:val="28"/>
                <w:lang w:val="uk-UA" w:eastAsia="ru-RU"/>
              </w:rPr>
              <w:t>3</w:t>
            </w:r>
          </w:p>
        </w:tc>
      </w:tr>
      <w:tr w:rsidR="00E65889" w:rsidRPr="006761DF" w14:paraId="61B2B818" w14:textId="77777777" w:rsidTr="00AE61FD">
        <w:tc>
          <w:tcPr>
            <w:tcW w:w="9489" w:type="dxa"/>
          </w:tcPr>
          <w:p w14:paraId="5ADE2373" w14:textId="1B955A2D" w:rsidR="00E65889" w:rsidRPr="006761DF" w:rsidRDefault="00E435A8" w:rsidP="00E31F29">
            <w:pPr>
              <w:spacing w:line="360" w:lineRule="auto"/>
              <w:jc w:val="both"/>
              <w:rPr>
                <w:rFonts w:eastAsia="Times New Roman" w:cs="Times New Roman"/>
                <w:szCs w:val="28"/>
                <w:lang w:val="uk-UA" w:eastAsia="ru-RU"/>
              </w:rPr>
            </w:pPr>
            <w:r w:rsidRPr="006761DF">
              <w:rPr>
                <w:rFonts w:eastAsia="Times New Roman" w:cs="Times New Roman"/>
                <w:szCs w:val="28"/>
                <w:lang w:val="uk-UA" w:eastAsia="ru-RU"/>
              </w:rPr>
              <w:t xml:space="preserve">Висновок за розділом </w:t>
            </w:r>
            <w:r>
              <w:rPr>
                <w:rFonts w:eastAsia="Times New Roman" w:cs="Times New Roman"/>
                <w:szCs w:val="28"/>
                <w:lang w:val="uk-UA" w:eastAsia="ru-RU"/>
              </w:rPr>
              <w:t>1 ……………………………………………………………</w:t>
            </w:r>
          </w:p>
        </w:tc>
        <w:tc>
          <w:tcPr>
            <w:tcW w:w="576" w:type="dxa"/>
            <w:vAlign w:val="bottom"/>
          </w:tcPr>
          <w:p w14:paraId="1702CE58" w14:textId="2BC4548A" w:rsidR="00E65889" w:rsidRPr="006761DF" w:rsidRDefault="00E435A8" w:rsidP="00E31F29">
            <w:pPr>
              <w:spacing w:line="360" w:lineRule="auto"/>
              <w:jc w:val="center"/>
              <w:rPr>
                <w:rFonts w:eastAsia="Times New Roman" w:cs="Times New Roman"/>
                <w:szCs w:val="28"/>
                <w:lang w:val="uk-UA" w:eastAsia="ru-RU"/>
              </w:rPr>
            </w:pPr>
            <w:r>
              <w:rPr>
                <w:rFonts w:eastAsia="Times New Roman" w:cs="Times New Roman"/>
                <w:szCs w:val="28"/>
                <w:lang w:val="uk-UA" w:eastAsia="ru-RU"/>
              </w:rPr>
              <w:t>20</w:t>
            </w:r>
          </w:p>
        </w:tc>
      </w:tr>
      <w:tr w:rsidR="00E31F29" w:rsidRPr="006761DF" w14:paraId="6564D4CC" w14:textId="77777777" w:rsidTr="00AE61FD">
        <w:tc>
          <w:tcPr>
            <w:tcW w:w="9489" w:type="dxa"/>
          </w:tcPr>
          <w:p w14:paraId="27850BA1" w14:textId="00CAA099" w:rsidR="00E31F29" w:rsidRPr="006761DF" w:rsidRDefault="00E31F29" w:rsidP="00E31F29">
            <w:pPr>
              <w:spacing w:line="360" w:lineRule="auto"/>
              <w:jc w:val="both"/>
              <w:rPr>
                <w:rFonts w:eastAsia="Times New Roman" w:cs="Times New Roman"/>
                <w:szCs w:val="28"/>
                <w:lang w:val="uk-UA" w:eastAsia="ru-RU"/>
              </w:rPr>
            </w:pPr>
            <w:r w:rsidRPr="006761DF">
              <w:rPr>
                <w:rFonts w:eastAsia="Times New Roman" w:cs="Times New Roman"/>
                <w:szCs w:val="28"/>
                <w:lang w:val="uk-UA" w:eastAsia="ru-RU"/>
              </w:rPr>
              <w:t>РОЗДІЛ 2. </w:t>
            </w:r>
            <w:r w:rsidR="0003342F" w:rsidRPr="006761DF">
              <w:rPr>
                <w:rFonts w:cs="Times New Roman"/>
                <w:szCs w:val="28"/>
              </w:rPr>
              <w:t>ТЕХНОЛОГІЇ ПЕРЕГОВОРНОГО ПРОЦЕСУ У ВРЕГУЛЮВАННІ ПОЛІТИЧНИХ КОНФЛІКТІВ</w:t>
            </w:r>
            <w:r w:rsidR="0003342F" w:rsidRPr="006761DF">
              <w:rPr>
                <w:rFonts w:eastAsia="Times New Roman" w:cs="Times New Roman"/>
                <w:szCs w:val="28"/>
                <w:lang w:val="uk-UA" w:eastAsia="ru-RU"/>
              </w:rPr>
              <w:t xml:space="preserve"> ……………………</w:t>
            </w:r>
            <w:r w:rsidR="00723841" w:rsidRPr="006761DF">
              <w:rPr>
                <w:rFonts w:eastAsia="Times New Roman" w:cs="Times New Roman"/>
                <w:szCs w:val="28"/>
                <w:lang w:val="uk-UA" w:eastAsia="ru-RU"/>
              </w:rPr>
              <w:t>……….</w:t>
            </w:r>
          </w:p>
        </w:tc>
        <w:tc>
          <w:tcPr>
            <w:tcW w:w="576" w:type="dxa"/>
            <w:vAlign w:val="bottom"/>
          </w:tcPr>
          <w:p w14:paraId="361BD91C" w14:textId="7FA41E21" w:rsidR="00E31F29" w:rsidRPr="006761DF" w:rsidRDefault="00E31F29" w:rsidP="00E31F29">
            <w:pPr>
              <w:spacing w:line="360" w:lineRule="auto"/>
              <w:jc w:val="center"/>
              <w:rPr>
                <w:rFonts w:eastAsia="Times New Roman" w:cs="Times New Roman"/>
                <w:szCs w:val="28"/>
                <w:lang w:val="uk-UA" w:eastAsia="ru-RU"/>
              </w:rPr>
            </w:pPr>
            <w:r w:rsidRPr="006761DF">
              <w:rPr>
                <w:rFonts w:eastAsia="Times New Roman" w:cs="Times New Roman"/>
                <w:szCs w:val="28"/>
                <w:lang w:val="uk-UA" w:eastAsia="ru-RU"/>
              </w:rPr>
              <w:t>2</w:t>
            </w:r>
            <w:r w:rsidR="00A23077">
              <w:rPr>
                <w:rFonts w:eastAsia="Times New Roman" w:cs="Times New Roman"/>
                <w:szCs w:val="28"/>
                <w:lang w:val="uk-UA" w:eastAsia="ru-RU"/>
              </w:rPr>
              <w:t>2</w:t>
            </w:r>
          </w:p>
        </w:tc>
      </w:tr>
      <w:tr w:rsidR="00E31F29" w:rsidRPr="006761DF" w14:paraId="20D1E79C" w14:textId="77777777" w:rsidTr="00AE61FD">
        <w:tc>
          <w:tcPr>
            <w:tcW w:w="9489" w:type="dxa"/>
          </w:tcPr>
          <w:p w14:paraId="684476D7" w14:textId="0157AB6A" w:rsidR="00E31F29" w:rsidRPr="006761DF" w:rsidRDefault="00E31F29" w:rsidP="00E31F29">
            <w:pPr>
              <w:spacing w:line="360" w:lineRule="auto"/>
              <w:jc w:val="both"/>
              <w:rPr>
                <w:rFonts w:eastAsia="Times New Roman" w:cs="Times New Roman"/>
                <w:szCs w:val="28"/>
                <w:lang w:val="uk-UA" w:eastAsia="ru-RU"/>
              </w:rPr>
            </w:pPr>
            <w:r w:rsidRPr="006761DF">
              <w:rPr>
                <w:rFonts w:eastAsia="Times New Roman" w:cs="Times New Roman"/>
                <w:szCs w:val="28"/>
                <w:lang w:val="uk-UA" w:eastAsia="ru-RU"/>
              </w:rPr>
              <w:t>2.1. </w:t>
            </w:r>
            <w:r w:rsidR="0003342F" w:rsidRPr="006761DF">
              <w:rPr>
                <w:rFonts w:cs="Times New Roman"/>
                <w:szCs w:val="28"/>
              </w:rPr>
              <w:t xml:space="preserve">Моделі переговорів у сучасній політиці </w:t>
            </w:r>
            <w:r w:rsidR="0003342F" w:rsidRPr="006761DF">
              <w:rPr>
                <w:rFonts w:eastAsia="Times New Roman" w:cs="Times New Roman"/>
                <w:szCs w:val="28"/>
                <w:lang w:val="uk-UA" w:eastAsia="ru-RU"/>
              </w:rPr>
              <w:t>……………….</w:t>
            </w:r>
            <w:r w:rsidRPr="006761DF">
              <w:rPr>
                <w:rFonts w:eastAsia="Times New Roman" w:cs="Times New Roman"/>
                <w:szCs w:val="28"/>
                <w:lang w:val="uk-UA" w:eastAsia="ru-RU"/>
              </w:rPr>
              <w:t>…………………..</w:t>
            </w:r>
          </w:p>
        </w:tc>
        <w:tc>
          <w:tcPr>
            <w:tcW w:w="576" w:type="dxa"/>
            <w:vAlign w:val="bottom"/>
          </w:tcPr>
          <w:p w14:paraId="2590030E" w14:textId="60BFC7F0" w:rsidR="00E31F29" w:rsidRPr="006761DF" w:rsidRDefault="00E31F29" w:rsidP="00E31F29">
            <w:pPr>
              <w:spacing w:line="360" w:lineRule="auto"/>
              <w:jc w:val="center"/>
              <w:rPr>
                <w:rFonts w:eastAsia="Times New Roman" w:cs="Times New Roman"/>
                <w:szCs w:val="28"/>
                <w:lang w:val="uk-UA" w:eastAsia="ru-RU"/>
              </w:rPr>
            </w:pPr>
            <w:r w:rsidRPr="006761DF">
              <w:rPr>
                <w:rFonts w:eastAsia="Times New Roman" w:cs="Times New Roman"/>
                <w:szCs w:val="28"/>
                <w:lang w:val="uk-UA" w:eastAsia="ru-RU"/>
              </w:rPr>
              <w:t>2</w:t>
            </w:r>
            <w:r w:rsidR="00A23077">
              <w:rPr>
                <w:rFonts w:eastAsia="Times New Roman" w:cs="Times New Roman"/>
                <w:szCs w:val="28"/>
                <w:lang w:val="uk-UA" w:eastAsia="ru-RU"/>
              </w:rPr>
              <w:t>2</w:t>
            </w:r>
          </w:p>
        </w:tc>
      </w:tr>
      <w:tr w:rsidR="00E31F29" w:rsidRPr="006761DF" w14:paraId="75D8185C" w14:textId="77777777" w:rsidTr="00AE61FD">
        <w:tc>
          <w:tcPr>
            <w:tcW w:w="9489" w:type="dxa"/>
          </w:tcPr>
          <w:p w14:paraId="2FAF1601" w14:textId="5894A8BC" w:rsidR="00E31F29" w:rsidRPr="006761DF" w:rsidRDefault="00E31F29" w:rsidP="00E31F29">
            <w:pPr>
              <w:spacing w:line="360" w:lineRule="auto"/>
              <w:jc w:val="both"/>
              <w:rPr>
                <w:rFonts w:eastAsia="Times New Roman" w:cs="Times New Roman"/>
                <w:szCs w:val="28"/>
                <w:lang w:val="uk-UA" w:eastAsia="ru-RU"/>
              </w:rPr>
            </w:pPr>
            <w:r w:rsidRPr="006761DF">
              <w:rPr>
                <w:rFonts w:eastAsia="Times New Roman" w:cs="Times New Roman"/>
                <w:szCs w:val="28"/>
                <w:lang w:val="uk-UA" w:eastAsia="ru-RU"/>
              </w:rPr>
              <w:t>2.2. </w:t>
            </w:r>
            <w:r w:rsidR="0003342F" w:rsidRPr="006761DF">
              <w:rPr>
                <w:rFonts w:cs="Times New Roman"/>
                <w:szCs w:val="28"/>
                <w:lang w:val="ru-UA"/>
              </w:rPr>
              <w:t>Фасилітація і медіація як ключові технології врегулювання конфліктів</w:t>
            </w:r>
            <w:r w:rsidR="0003342F" w:rsidRPr="006761DF">
              <w:rPr>
                <w:rFonts w:eastAsia="Calibri" w:cs="Times New Roman"/>
                <w:szCs w:val="28"/>
                <w:lang w:val="uk-UA"/>
              </w:rPr>
              <w:t xml:space="preserve"> …</w:t>
            </w:r>
          </w:p>
        </w:tc>
        <w:tc>
          <w:tcPr>
            <w:tcW w:w="576" w:type="dxa"/>
            <w:vAlign w:val="bottom"/>
          </w:tcPr>
          <w:p w14:paraId="6AEBDF08" w14:textId="77777777" w:rsidR="00E31F29" w:rsidRPr="006761DF" w:rsidRDefault="00E31F29" w:rsidP="00E31F29">
            <w:pPr>
              <w:spacing w:line="360" w:lineRule="auto"/>
              <w:jc w:val="center"/>
              <w:rPr>
                <w:rFonts w:eastAsia="Times New Roman" w:cs="Times New Roman"/>
                <w:szCs w:val="28"/>
                <w:lang w:val="uk-UA" w:eastAsia="ru-RU"/>
              </w:rPr>
            </w:pPr>
            <w:r w:rsidRPr="006761DF">
              <w:rPr>
                <w:rFonts w:eastAsia="Times New Roman" w:cs="Times New Roman"/>
                <w:szCs w:val="28"/>
                <w:lang w:val="uk-UA" w:eastAsia="ru-RU"/>
              </w:rPr>
              <w:t>27</w:t>
            </w:r>
          </w:p>
        </w:tc>
      </w:tr>
      <w:tr w:rsidR="00E31F29" w:rsidRPr="006761DF" w14:paraId="35F77D60" w14:textId="77777777" w:rsidTr="00AE61FD">
        <w:tc>
          <w:tcPr>
            <w:tcW w:w="9489" w:type="dxa"/>
          </w:tcPr>
          <w:p w14:paraId="7E2B7555" w14:textId="5AE89E1F" w:rsidR="00E31F29" w:rsidRPr="006761DF" w:rsidRDefault="00E31F29" w:rsidP="00E31F29">
            <w:pPr>
              <w:spacing w:line="360" w:lineRule="auto"/>
              <w:jc w:val="both"/>
              <w:rPr>
                <w:rFonts w:eastAsia="Times New Roman" w:cs="Times New Roman"/>
                <w:szCs w:val="28"/>
                <w:lang w:val="uk-UA" w:eastAsia="ru-RU"/>
              </w:rPr>
            </w:pPr>
            <w:r w:rsidRPr="006761DF">
              <w:rPr>
                <w:rFonts w:eastAsia="Times New Roman" w:cs="Times New Roman"/>
                <w:szCs w:val="28"/>
                <w:lang w:val="uk-UA" w:eastAsia="ru-RU"/>
              </w:rPr>
              <w:t xml:space="preserve">2.3. </w:t>
            </w:r>
            <w:r w:rsidR="002B690E" w:rsidRPr="006761DF">
              <w:rPr>
                <w:rFonts w:eastAsia="Calibri" w:cs="Times New Roman"/>
                <w:szCs w:val="28"/>
                <w:lang w:val="uk-UA"/>
              </w:rPr>
              <w:t xml:space="preserve">Технології багаторівневих переговорів у міжнародних політичних конфліктах </w:t>
            </w:r>
            <w:r w:rsidR="002B690E" w:rsidRPr="006761DF">
              <w:rPr>
                <w:rFonts w:eastAsia="Calibri" w:cs="Times New Roman"/>
                <w:szCs w:val="28"/>
              </w:rPr>
              <w:t>…………………………………………….</w:t>
            </w:r>
            <w:r w:rsidRPr="006761DF">
              <w:rPr>
                <w:rFonts w:eastAsia="Times New Roman" w:cs="Times New Roman"/>
                <w:szCs w:val="28"/>
                <w:lang w:val="uk-UA" w:eastAsia="ru-RU"/>
              </w:rPr>
              <w:t>……</w:t>
            </w:r>
            <w:r w:rsidRPr="006761DF">
              <w:rPr>
                <w:rFonts w:eastAsia="Times New Roman" w:cs="Times New Roman"/>
                <w:szCs w:val="28"/>
                <w:lang w:eastAsia="ru-RU"/>
              </w:rPr>
              <w:t>…</w:t>
            </w:r>
            <w:r w:rsidRPr="006761DF">
              <w:rPr>
                <w:rFonts w:eastAsia="Times New Roman" w:cs="Times New Roman"/>
                <w:szCs w:val="28"/>
                <w:lang w:val="uk-UA" w:eastAsia="ru-RU"/>
              </w:rPr>
              <w:t>…………..............</w:t>
            </w:r>
          </w:p>
        </w:tc>
        <w:tc>
          <w:tcPr>
            <w:tcW w:w="576" w:type="dxa"/>
            <w:vAlign w:val="bottom"/>
          </w:tcPr>
          <w:p w14:paraId="64413E14" w14:textId="457B2E98" w:rsidR="00E31F29" w:rsidRPr="006761DF" w:rsidRDefault="00E31F29" w:rsidP="00E31F29">
            <w:pPr>
              <w:spacing w:line="360" w:lineRule="auto"/>
              <w:jc w:val="center"/>
              <w:rPr>
                <w:rFonts w:eastAsia="Times New Roman" w:cs="Times New Roman"/>
                <w:szCs w:val="28"/>
                <w:lang w:val="uk-UA" w:eastAsia="ru-RU"/>
              </w:rPr>
            </w:pPr>
            <w:r w:rsidRPr="006761DF">
              <w:rPr>
                <w:rFonts w:eastAsia="Times New Roman" w:cs="Times New Roman"/>
                <w:szCs w:val="28"/>
                <w:lang w:val="uk-UA" w:eastAsia="ru-RU"/>
              </w:rPr>
              <w:t>3</w:t>
            </w:r>
            <w:r w:rsidR="00A23077">
              <w:rPr>
                <w:rFonts w:eastAsia="Times New Roman" w:cs="Times New Roman"/>
                <w:szCs w:val="28"/>
                <w:lang w:val="uk-UA" w:eastAsia="ru-RU"/>
              </w:rPr>
              <w:t>4</w:t>
            </w:r>
          </w:p>
        </w:tc>
      </w:tr>
      <w:tr w:rsidR="00E435A8" w:rsidRPr="006761DF" w14:paraId="581E7E4D" w14:textId="77777777" w:rsidTr="00AE61FD">
        <w:tc>
          <w:tcPr>
            <w:tcW w:w="9489" w:type="dxa"/>
          </w:tcPr>
          <w:p w14:paraId="76F91022" w14:textId="0ADB4CD3" w:rsidR="00E435A8" w:rsidRPr="006761DF" w:rsidRDefault="00E435A8" w:rsidP="00E31F29">
            <w:pPr>
              <w:spacing w:line="360" w:lineRule="auto"/>
              <w:jc w:val="both"/>
              <w:rPr>
                <w:rFonts w:eastAsia="Times New Roman" w:cs="Times New Roman"/>
                <w:szCs w:val="28"/>
                <w:lang w:val="uk-UA" w:eastAsia="ru-RU"/>
              </w:rPr>
            </w:pPr>
            <w:r w:rsidRPr="006761DF">
              <w:rPr>
                <w:rFonts w:eastAsia="Times New Roman" w:cs="Times New Roman"/>
                <w:szCs w:val="28"/>
                <w:lang w:val="uk-UA" w:eastAsia="ru-RU"/>
              </w:rPr>
              <w:t xml:space="preserve">Висновок за розділом </w:t>
            </w:r>
            <w:r>
              <w:rPr>
                <w:rFonts w:eastAsia="Times New Roman" w:cs="Times New Roman"/>
                <w:szCs w:val="28"/>
                <w:lang w:val="uk-UA" w:eastAsia="ru-RU"/>
              </w:rPr>
              <w:t>2 …………………………………………………………..</w:t>
            </w:r>
          </w:p>
        </w:tc>
        <w:tc>
          <w:tcPr>
            <w:tcW w:w="576" w:type="dxa"/>
            <w:vAlign w:val="bottom"/>
          </w:tcPr>
          <w:p w14:paraId="4BECD7C5" w14:textId="1442AD37" w:rsidR="00E435A8" w:rsidRPr="006761DF" w:rsidRDefault="00A23077" w:rsidP="00E31F29">
            <w:pPr>
              <w:spacing w:line="360" w:lineRule="auto"/>
              <w:jc w:val="center"/>
              <w:rPr>
                <w:rFonts w:eastAsia="Times New Roman" w:cs="Times New Roman"/>
                <w:szCs w:val="28"/>
                <w:lang w:val="uk-UA" w:eastAsia="ru-RU"/>
              </w:rPr>
            </w:pPr>
            <w:r>
              <w:rPr>
                <w:rFonts w:eastAsia="Times New Roman" w:cs="Times New Roman"/>
                <w:szCs w:val="28"/>
                <w:lang w:val="uk-UA" w:eastAsia="ru-RU"/>
              </w:rPr>
              <w:t>39</w:t>
            </w:r>
          </w:p>
        </w:tc>
      </w:tr>
      <w:tr w:rsidR="00E31F29" w:rsidRPr="006761DF" w14:paraId="1B53E77E" w14:textId="77777777" w:rsidTr="00AE61FD">
        <w:tc>
          <w:tcPr>
            <w:tcW w:w="9489" w:type="dxa"/>
          </w:tcPr>
          <w:p w14:paraId="254391B0" w14:textId="0220A7E6" w:rsidR="00E31F29" w:rsidRPr="006761DF" w:rsidRDefault="00E31F29" w:rsidP="00E31F29">
            <w:pPr>
              <w:spacing w:line="360" w:lineRule="auto"/>
              <w:jc w:val="both"/>
              <w:rPr>
                <w:rFonts w:eastAsia="Times New Roman" w:cs="Times New Roman"/>
                <w:szCs w:val="28"/>
                <w:lang w:val="uk-UA" w:eastAsia="ru-RU"/>
              </w:rPr>
            </w:pPr>
            <w:r w:rsidRPr="006761DF">
              <w:rPr>
                <w:rFonts w:eastAsia="Times New Roman" w:cs="Times New Roman"/>
                <w:szCs w:val="28"/>
                <w:lang w:val="uk-UA" w:eastAsia="ru-RU"/>
              </w:rPr>
              <w:t>РОЗДІЛ 3. </w:t>
            </w:r>
            <w:r w:rsidR="002B690E" w:rsidRPr="006761DF">
              <w:rPr>
                <w:rFonts w:cs="Times New Roman"/>
                <w:szCs w:val="28"/>
              </w:rPr>
              <w:t>ІНСТИТУЦІЙНО-ПРАВОВІ ТЕХНОЛОГІЇ ВРЕГУЛЮВАННЯ ПОЛІТИЧНИХ КОНФЛІКТІВ</w:t>
            </w:r>
            <w:r w:rsidR="002B690E" w:rsidRPr="006761DF">
              <w:rPr>
                <w:rFonts w:eastAsia="Calibri" w:cs="Times New Roman"/>
                <w:szCs w:val="28"/>
                <w:lang w:val="uk-UA"/>
              </w:rPr>
              <w:t xml:space="preserve"> ………………………………………………….</w:t>
            </w:r>
          </w:p>
        </w:tc>
        <w:tc>
          <w:tcPr>
            <w:tcW w:w="576" w:type="dxa"/>
            <w:vAlign w:val="bottom"/>
          </w:tcPr>
          <w:p w14:paraId="2C38D519" w14:textId="4461875B" w:rsidR="00E31F29" w:rsidRPr="006761DF" w:rsidRDefault="00E31F29" w:rsidP="00E31F29">
            <w:pPr>
              <w:spacing w:line="360" w:lineRule="auto"/>
              <w:jc w:val="center"/>
              <w:rPr>
                <w:rFonts w:eastAsia="Times New Roman" w:cs="Times New Roman"/>
                <w:szCs w:val="28"/>
                <w:lang w:val="uk-UA" w:eastAsia="ru-RU"/>
              </w:rPr>
            </w:pPr>
            <w:r w:rsidRPr="006761DF">
              <w:rPr>
                <w:rFonts w:eastAsia="Times New Roman" w:cs="Times New Roman"/>
                <w:szCs w:val="28"/>
                <w:lang w:val="uk-UA" w:eastAsia="ru-RU"/>
              </w:rPr>
              <w:t>4</w:t>
            </w:r>
            <w:r w:rsidR="00A23077">
              <w:rPr>
                <w:rFonts w:eastAsia="Times New Roman" w:cs="Times New Roman"/>
                <w:szCs w:val="28"/>
                <w:lang w:val="uk-UA" w:eastAsia="ru-RU"/>
              </w:rPr>
              <w:t>1</w:t>
            </w:r>
          </w:p>
        </w:tc>
      </w:tr>
      <w:tr w:rsidR="00E31F29" w:rsidRPr="006761DF" w14:paraId="5C406B67" w14:textId="77777777" w:rsidTr="00AE61FD">
        <w:tc>
          <w:tcPr>
            <w:tcW w:w="9489" w:type="dxa"/>
          </w:tcPr>
          <w:p w14:paraId="7CE48438" w14:textId="7EB126ED" w:rsidR="00E31F29" w:rsidRPr="006761DF" w:rsidRDefault="00E31F29" w:rsidP="00E31F29">
            <w:pPr>
              <w:spacing w:line="360" w:lineRule="auto"/>
              <w:jc w:val="both"/>
              <w:rPr>
                <w:rFonts w:eastAsia="Times New Roman" w:cs="Times New Roman"/>
                <w:szCs w:val="28"/>
                <w:lang w:val="uk-UA" w:eastAsia="ru-RU"/>
              </w:rPr>
            </w:pPr>
            <w:r w:rsidRPr="006761DF">
              <w:rPr>
                <w:rFonts w:eastAsia="Times New Roman" w:cs="Times New Roman"/>
                <w:szCs w:val="28"/>
                <w:lang w:eastAsia="ru-RU"/>
              </w:rPr>
              <w:t xml:space="preserve">3.1. </w:t>
            </w:r>
            <w:r w:rsidR="002B690E" w:rsidRPr="006761DF">
              <w:rPr>
                <w:rFonts w:cs="Times New Roman"/>
                <w:szCs w:val="28"/>
              </w:rPr>
              <w:t>Механізми конституційного та законодавчого врегулювання</w:t>
            </w:r>
            <w:r w:rsidR="002B690E" w:rsidRPr="006761DF">
              <w:rPr>
                <w:rFonts w:eastAsia="Times New Roman" w:cs="Times New Roman"/>
                <w:szCs w:val="28"/>
                <w:lang w:val="uk-UA" w:eastAsia="ru-RU"/>
              </w:rPr>
              <w:t xml:space="preserve"> ……………</w:t>
            </w:r>
          </w:p>
        </w:tc>
        <w:tc>
          <w:tcPr>
            <w:tcW w:w="576" w:type="dxa"/>
            <w:vAlign w:val="bottom"/>
          </w:tcPr>
          <w:p w14:paraId="65B14211" w14:textId="4AB10888" w:rsidR="00E31F29" w:rsidRPr="006761DF" w:rsidRDefault="00E31F29" w:rsidP="00E31F29">
            <w:pPr>
              <w:spacing w:line="360" w:lineRule="auto"/>
              <w:jc w:val="center"/>
              <w:rPr>
                <w:rFonts w:eastAsia="Times New Roman" w:cs="Times New Roman"/>
                <w:szCs w:val="28"/>
                <w:lang w:val="uk-UA" w:eastAsia="ru-RU"/>
              </w:rPr>
            </w:pPr>
            <w:r w:rsidRPr="006761DF">
              <w:rPr>
                <w:rFonts w:eastAsia="Times New Roman" w:cs="Times New Roman"/>
                <w:szCs w:val="28"/>
                <w:lang w:val="uk-UA" w:eastAsia="ru-RU"/>
              </w:rPr>
              <w:t>4</w:t>
            </w:r>
            <w:r w:rsidR="00A23077">
              <w:rPr>
                <w:rFonts w:eastAsia="Times New Roman" w:cs="Times New Roman"/>
                <w:szCs w:val="28"/>
                <w:lang w:val="uk-UA" w:eastAsia="ru-RU"/>
              </w:rPr>
              <w:t>1</w:t>
            </w:r>
          </w:p>
        </w:tc>
      </w:tr>
      <w:tr w:rsidR="00E31F29" w:rsidRPr="006761DF" w14:paraId="370DDA80" w14:textId="77777777" w:rsidTr="00AE61FD">
        <w:tc>
          <w:tcPr>
            <w:tcW w:w="9489" w:type="dxa"/>
          </w:tcPr>
          <w:p w14:paraId="2E653778" w14:textId="5C98B02E" w:rsidR="00E31F29" w:rsidRPr="006761DF" w:rsidRDefault="00E31F29" w:rsidP="00E31F29">
            <w:pPr>
              <w:spacing w:line="276" w:lineRule="auto"/>
              <w:jc w:val="both"/>
              <w:rPr>
                <w:rFonts w:eastAsia="Times New Roman" w:cs="Times New Roman"/>
                <w:szCs w:val="28"/>
                <w:lang w:val="uk-UA" w:eastAsia="ru-RU"/>
              </w:rPr>
            </w:pPr>
            <w:r w:rsidRPr="006761DF">
              <w:rPr>
                <w:rFonts w:eastAsia="Times New Roman" w:cs="Times New Roman"/>
                <w:szCs w:val="28"/>
                <w:lang w:eastAsia="ru-RU"/>
              </w:rPr>
              <w:t>3.2.</w:t>
            </w:r>
            <w:r w:rsidRPr="006761DF">
              <w:rPr>
                <w:rFonts w:eastAsia="Times New Roman" w:cs="Times New Roman"/>
                <w:szCs w:val="28"/>
                <w:lang w:val="uk-UA" w:eastAsia="ru-RU"/>
              </w:rPr>
              <w:t> </w:t>
            </w:r>
            <w:r w:rsidR="002B690E" w:rsidRPr="006761DF">
              <w:rPr>
                <w:rFonts w:eastAsia="Calibri" w:cs="Times New Roman"/>
                <w:szCs w:val="28"/>
                <w:lang w:val="uk-UA"/>
              </w:rPr>
              <w:t>Інституційні конфліктні технології демократичних країн ………………..</w:t>
            </w:r>
          </w:p>
        </w:tc>
        <w:tc>
          <w:tcPr>
            <w:tcW w:w="576" w:type="dxa"/>
            <w:vAlign w:val="bottom"/>
          </w:tcPr>
          <w:p w14:paraId="7C0DC364" w14:textId="77777777" w:rsidR="00E31F29" w:rsidRPr="006761DF" w:rsidRDefault="00E31F29" w:rsidP="00E31F29">
            <w:pPr>
              <w:spacing w:line="360" w:lineRule="auto"/>
              <w:jc w:val="center"/>
              <w:rPr>
                <w:rFonts w:eastAsia="Times New Roman" w:cs="Times New Roman"/>
                <w:szCs w:val="28"/>
                <w:lang w:val="uk-UA" w:eastAsia="ru-RU"/>
              </w:rPr>
            </w:pPr>
            <w:r w:rsidRPr="006761DF">
              <w:rPr>
                <w:rFonts w:eastAsia="Times New Roman" w:cs="Times New Roman"/>
                <w:szCs w:val="28"/>
                <w:lang w:val="uk-UA" w:eastAsia="ru-RU"/>
              </w:rPr>
              <w:t>45</w:t>
            </w:r>
          </w:p>
        </w:tc>
      </w:tr>
      <w:tr w:rsidR="00E31F29" w:rsidRPr="006761DF" w14:paraId="2285C01E" w14:textId="77777777" w:rsidTr="00AE61FD">
        <w:tc>
          <w:tcPr>
            <w:tcW w:w="9489" w:type="dxa"/>
          </w:tcPr>
          <w:p w14:paraId="29842E0D" w14:textId="58CE52A4" w:rsidR="00E31F29" w:rsidRPr="006761DF" w:rsidRDefault="00E31F29" w:rsidP="00E31F29">
            <w:pPr>
              <w:spacing w:line="276" w:lineRule="auto"/>
              <w:jc w:val="both"/>
              <w:rPr>
                <w:rFonts w:eastAsia="Times New Roman" w:cs="Times New Roman"/>
                <w:szCs w:val="28"/>
                <w:lang w:val="uk-UA" w:eastAsia="ru-RU"/>
              </w:rPr>
            </w:pPr>
            <w:r w:rsidRPr="006761DF">
              <w:rPr>
                <w:rFonts w:eastAsia="Times New Roman" w:cs="Times New Roman"/>
                <w:szCs w:val="28"/>
                <w:lang w:eastAsia="ru-RU"/>
              </w:rPr>
              <w:t xml:space="preserve">3.3. </w:t>
            </w:r>
            <w:r w:rsidR="002B690E" w:rsidRPr="006761DF">
              <w:rPr>
                <w:rFonts w:cs="Times New Roman"/>
                <w:szCs w:val="28"/>
              </w:rPr>
              <w:t>Роль громадянського суспільства у технологіях розв’язання політичних конфліктів</w:t>
            </w:r>
            <w:r w:rsidR="002B690E" w:rsidRPr="006761DF">
              <w:rPr>
                <w:rFonts w:eastAsia="Times New Roman" w:cs="Times New Roman"/>
                <w:szCs w:val="28"/>
                <w:lang w:val="uk-UA" w:eastAsia="ru-RU"/>
              </w:rPr>
              <w:t xml:space="preserve"> …………………………………..</w:t>
            </w:r>
            <w:r w:rsidRPr="006761DF">
              <w:rPr>
                <w:rFonts w:eastAsia="Times New Roman" w:cs="Times New Roman"/>
                <w:szCs w:val="28"/>
                <w:lang w:val="uk-UA" w:eastAsia="ru-RU"/>
              </w:rPr>
              <w:t>…………………………………….</w:t>
            </w:r>
          </w:p>
        </w:tc>
        <w:tc>
          <w:tcPr>
            <w:tcW w:w="576" w:type="dxa"/>
            <w:vAlign w:val="bottom"/>
          </w:tcPr>
          <w:p w14:paraId="4EE7827C" w14:textId="1605206F" w:rsidR="00E31F29" w:rsidRPr="006761DF" w:rsidRDefault="00A23077" w:rsidP="00E31F29">
            <w:pPr>
              <w:spacing w:line="360" w:lineRule="auto"/>
              <w:jc w:val="center"/>
              <w:rPr>
                <w:rFonts w:eastAsia="Times New Roman" w:cs="Times New Roman"/>
                <w:szCs w:val="28"/>
                <w:lang w:val="uk-UA" w:eastAsia="ru-RU"/>
              </w:rPr>
            </w:pPr>
            <w:r>
              <w:rPr>
                <w:rFonts w:eastAsia="Times New Roman" w:cs="Times New Roman"/>
                <w:szCs w:val="28"/>
                <w:lang w:val="uk-UA" w:eastAsia="ru-RU"/>
              </w:rPr>
              <w:t>50</w:t>
            </w:r>
          </w:p>
        </w:tc>
      </w:tr>
      <w:tr w:rsidR="00E435A8" w:rsidRPr="006761DF" w14:paraId="0611011B" w14:textId="77777777" w:rsidTr="00AE61FD">
        <w:tc>
          <w:tcPr>
            <w:tcW w:w="9489" w:type="dxa"/>
          </w:tcPr>
          <w:p w14:paraId="02808496" w14:textId="76CCB596" w:rsidR="00E435A8" w:rsidRPr="006761DF" w:rsidRDefault="00E435A8" w:rsidP="00E31F29">
            <w:pPr>
              <w:spacing w:line="276" w:lineRule="auto"/>
              <w:jc w:val="both"/>
              <w:rPr>
                <w:rFonts w:eastAsia="Times New Roman" w:cs="Times New Roman"/>
                <w:szCs w:val="28"/>
                <w:lang w:eastAsia="ru-RU"/>
              </w:rPr>
            </w:pPr>
            <w:r w:rsidRPr="006761DF">
              <w:rPr>
                <w:rFonts w:eastAsia="Times New Roman" w:cs="Times New Roman"/>
                <w:szCs w:val="28"/>
                <w:lang w:val="uk-UA" w:eastAsia="ru-RU"/>
              </w:rPr>
              <w:t xml:space="preserve">Висновок за розділом </w:t>
            </w:r>
            <w:r>
              <w:rPr>
                <w:rFonts w:eastAsia="Times New Roman" w:cs="Times New Roman"/>
                <w:szCs w:val="28"/>
                <w:lang w:val="uk-UA" w:eastAsia="ru-RU"/>
              </w:rPr>
              <w:t>3 …………………………………………………………..</w:t>
            </w:r>
          </w:p>
        </w:tc>
        <w:tc>
          <w:tcPr>
            <w:tcW w:w="576" w:type="dxa"/>
            <w:vAlign w:val="bottom"/>
          </w:tcPr>
          <w:p w14:paraId="176B2FAF" w14:textId="41F22CD3" w:rsidR="00E435A8" w:rsidRPr="006761DF" w:rsidRDefault="00A23077" w:rsidP="00E31F29">
            <w:pPr>
              <w:spacing w:line="360" w:lineRule="auto"/>
              <w:jc w:val="center"/>
              <w:rPr>
                <w:rFonts w:eastAsia="Times New Roman" w:cs="Times New Roman"/>
                <w:szCs w:val="28"/>
                <w:lang w:val="uk-UA" w:eastAsia="ru-RU"/>
              </w:rPr>
            </w:pPr>
            <w:r>
              <w:rPr>
                <w:rFonts w:eastAsia="Times New Roman" w:cs="Times New Roman"/>
                <w:szCs w:val="28"/>
                <w:lang w:val="uk-UA" w:eastAsia="ru-RU"/>
              </w:rPr>
              <w:t>54</w:t>
            </w:r>
          </w:p>
        </w:tc>
      </w:tr>
      <w:tr w:rsidR="00E31F29" w:rsidRPr="006761DF" w14:paraId="77AE96E3" w14:textId="77777777" w:rsidTr="00AE61FD">
        <w:tc>
          <w:tcPr>
            <w:tcW w:w="9489" w:type="dxa"/>
          </w:tcPr>
          <w:p w14:paraId="7240268E" w14:textId="748C69B3" w:rsidR="00E31F29" w:rsidRPr="006761DF" w:rsidRDefault="00E31F29" w:rsidP="00E31F29">
            <w:pPr>
              <w:spacing w:line="276" w:lineRule="auto"/>
              <w:jc w:val="both"/>
              <w:rPr>
                <w:rFonts w:eastAsia="Times New Roman" w:cs="Times New Roman"/>
                <w:szCs w:val="28"/>
                <w:lang w:val="ru-UA" w:eastAsia="ru-RU"/>
              </w:rPr>
            </w:pPr>
            <w:r w:rsidRPr="006761DF">
              <w:rPr>
                <w:rFonts w:eastAsia="Times New Roman" w:cs="Times New Roman"/>
                <w:szCs w:val="28"/>
                <w:lang w:val="ru-UA" w:eastAsia="ru-RU"/>
              </w:rPr>
              <w:t xml:space="preserve">РОЗДІЛ </w:t>
            </w:r>
            <w:r w:rsidRPr="006761DF">
              <w:rPr>
                <w:rFonts w:eastAsia="Times New Roman" w:cs="Times New Roman"/>
                <w:szCs w:val="28"/>
                <w:lang w:val="uk-UA" w:eastAsia="ru-RU"/>
              </w:rPr>
              <w:t>4</w:t>
            </w:r>
            <w:r w:rsidRPr="006761DF">
              <w:rPr>
                <w:rFonts w:eastAsia="Times New Roman" w:cs="Times New Roman"/>
                <w:szCs w:val="28"/>
                <w:lang w:val="ru-UA" w:eastAsia="ru-RU"/>
              </w:rPr>
              <w:t xml:space="preserve">. </w:t>
            </w:r>
            <w:r w:rsidR="002B690E" w:rsidRPr="00AA12FE">
              <w:rPr>
                <w:rFonts w:cs="Times New Roman"/>
                <w:szCs w:val="28"/>
                <w:lang w:val="ru-UA"/>
              </w:rPr>
              <w:t>Інформаційно-комунікаційні технології у врегулюванні політичних конфліктів</w:t>
            </w:r>
            <w:r w:rsidR="002B690E" w:rsidRPr="006761DF">
              <w:rPr>
                <w:rFonts w:eastAsia="Calibri" w:cs="Times New Roman"/>
                <w:szCs w:val="28"/>
                <w:lang w:val="uk-UA"/>
              </w:rPr>
              <w:t xml:space="preserve"> …………………………………………………………..</w:t>
            </w:r>
          </w:p>
        </w:tc>
        <w:tc>
          <w:tcPr>
            <w:tcW w:w="576" w:type="dxa"/>
            <w:vAlign w:val="bottom"/>
          </w:tcPr>
          <w:p w14:paraId="22141677" w14:textId="7BEE1DF7" w:rsidR="00E31F29" w:rsidRPr="006761DF" w:rsidRDefault="00E31F29" w:rsidP="00E31F29">
            <w:pPr>
              <w:spacing w:line="360" w:lineRule="auto"/>
              <w:jc w:val="center"/>
              <w:rPr>
                <w:rFonts w:eastAsia="Times New Roman" w:cs="Times New Roman"/>
                <w:szCs w:val="28"/>
                <w:lang w:val="uk-UA" w:eastAsia="ru-RU"/>
              </w:rPr>
            </w:pPr>
            <w:r w:rsidRPr="006761DF">
              <w:rPr>
                <w:rFonts w:eastAsia="Times New Roman" w:cs="Times New Roman"/>
                <w:szCs w:val="28"/>
                <w:lang w:val="uk-UA" w:eastAsia="ru-RU"/>
              </w:rPr>
              <w:t>5</w:t>
            </w:r>
            <w:r w:rsidR="00A23077">
              <w:rPr>
                <w:rFonts w:eastAsia="Times New Roman" w:cs="Times New Roman"/>
                <w:szCs w:val="28"/>
                <w:lang w:val="uk-UA" w:eastAsia="ru-RU"/>
              </w:rPr>
              <w:t>6</w:t>
            </w:r>
          </w:p>
        </w:tc>
      </w:tr>
      <w:tr w:rsidR="00E31F29" w:rsidRPr="006761DF" w14:paraId="516BB0C0" w14:textId="77777777" w:rsidTr="00AE61FD">
        <w:tc>
          <w:tcPr>
            <w:tcW w:w="9489" w:type="dxa"/>
          </w:tcPr>
          <w:p w14:paraId="7FDF837D" w14:textId="77777777" w:rsidR="00E31F29" w:rsidRPr="006761DF" w:rsidRDefault="00E31F29" w:rsidP="00E31F29">
            <w:pPr>
              <w:spacing w:line="276" w:lineRule="auto"/>
              <w:jc w:val="both"/>
              <w:rPr>
                <w:rFonts w:eastAsia="Times New Roman" w:cs="Times New Roman"/>
                <w:szCs w:val="28"/>
                <w:lang w:val="uk-UA" w:eastAsia="ru-RU"/>
              </w:rPr>
            </w:pPr>
            <w:r w:rsidRPr="006761DF">
              <w:rPr>
                <w:rFonts w:eastAsia="Times New Roman" w:cs="Times New Roman"/>
                <w:szCs w:val="28"/>
                <w:lang w:val="uk-UA" w:eastAsia="ru-RU"/>
              </w:rPr>
              <w:t>4</w:t>
            </w:r>
            <w:r w:rsidRPr="006761DF">
              <w:rPr>
                <w:rFonts w:eastAsia="Times New Roman" w:cs="Times New Roman"/>
                <w:szCs w:val="28"/>
                <w:lang w:eastAsia="ru-RU"/>
              </w:rPr>
              <w:t xml:space="preserve">.1. </w:t>
            </w:r>
            <w:r w:rsidRPr="006761DF">
              <w:rPr>
                <w:rFonts w:eastAsia="Calibri" w:cs="Times New Roman"/>
                <w:szCs w:val="28"/>
                <w:lang w:val="uk-UA"/>
              </w:rPr>
              <w:t>Індикатори ефективності</w:t>
            </w:r>
            <w:r w:rsidRPr="006761DF">
              <w:rPr>
                <w:rFonts w:eastAsia="Times New Roman" w:cs="Times New Roman"/>
                <w:szCs w:val="28"/>
                <w:lang w:eastAsia="ru-RU"/>
              </w:rPr>
              <w:t xml:space="preserve"> </w:t>
            </w:r>
            <w:r w:rsidRPr="006761DF">
              <w:rPr>
                <w:rFonts w:eastAsia="Times New Roman" w:cs="Times New Roman"/>
                <w:szCs w:val="28"/>
                <w:lang w:val="uk-UA" w:eastAsia="ru-RU"/>
              </w:rPr>
              <w:t>……………………………………………………</w:t>
            </w:r>
          </w:p>
        </w:tc>
        <w:tc>
          <w:tcPr>
            <w:tcW w:w="576" w:type="dxa"/>
            <w:vAlign w:val="bottom"/>
          </w:tcPr>
          <w:p w14:paraId="3CC44A85" w14:textId="242BC116" w:rsidR="00E31F29" w:rsidRPr="006761DF" w:rsidRDefault="00E31F29" w:rsidP="00E31F29">
            <w:pPr>
              <w:spacing w:line="360" w:lineRule="auto"/>
              <w:jc w:val="center"/>
              <w:rPr>
                <w:rFonts w:eastAsia="Times New Roman" w:cs="Times New Roman"/>
                <w:szCs w:val="28"/>
                <w:lang w:val="uk-UA" w:eastAsia="ru-RU"/>
              </w:rPr>
            </w:pPr>
            <w:r w:rsidRPr="006761DF">
              <w:rPr>
                <w:rFonts w:eastAsia="Times New Roman" w:cs="Times New Roman"/>
                <w:szCs w:val="28"/>
                <w:lang w:val="uk-UA" w:eastAsia="ru-RU"/>
              </w:rPr>
              <w:t>5</w:t>
            </w:r>
            <w:r w:rsidR="00A23077">
              <w:rPr>
                <w:rFonts w:eastAsia="Times New Roman" w:cs="Times New Roman"/>
                <w:szCs w:val="28"/>
                <w:lang w:val="uk-UA" w:eastAsia="ru-RU"/>
              </w:rPr>
              <w:t>6</w:t>
            </w:r>
          </w:p>
        </w:tc>
      </w:tr>
      <w:tr w:rsidR="00E31F29" w:rsidRPr="006761DF" w14:paraId="4B6A6039" w14:textId="77777777" w:rsidTr="00AE61FD">
        <w:tc>
          <w:tcPr>
            <w:tcW w:w="9489" w:type="dxa"/>
          </w:tcPr>
          <w:p w14:paraId="2B6886D3" w14:textId="77777777" w:rsidR="00E31F29" w:rsidRPr="006761DF" w:rsidRDefault="00E31F29" w:rsidP="00E31F29">
            <w:pPr>
              <w:spacing w:line="276" w:lineRule="auto"/>
              <w:jc w:val="both"/>
              <w:rPr>
                <w:rFonts w:eastAsia="Times New Roman" w:cs="Times New Roman"/>
                <w:szCs w:val="28"/>
                <w:lang w:val="uk-UA" w:eastAsia="ru-RU"/>
              </w:rPr>
            </w:pPr>
            <w:r w:rsidRPr="006761DF">
              <w:rPr>
                <w:rFonts w:eastAsia="Times New Roman" w:cs="Times New Roman"/>
                <w:szCs w:val="28"/>
                <w:lang w:val="uk-UA" w:eastAsia="ru-RU"/>
              </w:rPr>
              <w:t>4</w:t>
            </w:r>
            <w:r w:rsidRPr="006761DF">
              <w:rPr>
                <w:rFonts w:eastAsia="Times New Roman" w:cs="Times New Roman"/>
                <w:szCs w:val="28"/>
                <w:lang w:eastAsia="ru-RU"/>
              </w:rPr>
              <w:t xml:space="preserve">.2. </w:t>
            </w:r>
            <w:r w:rsidRPr="006761DF">
              <w:rPr>
                <w:rFonts w:eastAsia="Calibri" w:cs="Times New Roman"/>
                <w:szCs w:val="28"/>
                <w:lang w:val="uk-UA"/>
              </w:rPr>
              <w:t>Опозиція і політична стабільність………………………………..</w:t>
            </w:r>
            <w:r w:rsidRPr="006761DF">
              <w:rPr>
                <w:rFonts w:eastAsia="Times New Roman" w:cs="Times New Roman"/>
                <w:szCs w:val="28"/>
                <w:lang w:eastAsia="ru-RU"/>
              </w:rPr>
              <w:t>.</w:t>
            </w:r>
            <w:r w:rsidRPr="006761DF">
              <w:rPr>
                <w:rFonts w:eastAsia="Times New Roman" w:cs="Times New Roman"/>
                <w:szCs w:val="28"/>
                <w:lang w:val="uk-UA" w:eastAsia="ru-RU"/>
              </w:rPr>
              <w:t>.……….</w:t>
            </w:r>
          </w:p>
        </w:tc>
        <w:tc>
          <w:tcPr>
            <w:tcW w:w="576" w:type="dxa"/>
            <w:vAlign w:val="bottom"/>
          </w:tcPr>
          <w:p w14:paraId="640914A8" w14:textId="057A186C" w:rsidR="00E31F29" w:rsidRPr="006761DF" w:rsidRDefault="00E31F29" w:rsidP="00E31F29">
            <w:pPr>
              <w:spacing w:line="360" w:lineRule="auto"/>
              <w:jc w:val="center"/>
              <w:rPr>
                <w:rFonts w:eastAsia="Times New Roman" w:cs="Times New Roman"/>
                <w:szCs w:val="28"/>
                <w:lang w:val="uk-UA" w:eastAsia="ru-RU"/>
              </w:rPr>
            </w:pPr>
            <w:r w:rsidRPr="006761DF">
              <w:rPr>
                <w:rFonts w:eastAsia="Times New Roman" w:cs="Times New Roman"/>
                <w:szCs w:val="28"/>
                <w:lang w:val="uk-UA" w:eastAsia="ru-RU"/>
              </w:rPr>
              <w:t>6</w:t>
            </w:r>
            <w:r w:rsidR="00A23077">
              <w:rPr>
                <w:rFonts w:eastAsia="Times New Roman" w:cs="Times New Roman"/>
                <w:szCs w:val="28"/>
                <w:lang w:val="uk-UA" w:eastAsia="ru-RU"/>
              </w:rPr>
              <w:t>2</w:t>
            </w:r>
          </w:p>
        </w:tc>
      </w:tr>
      <w:tr w:rsidR="00E31F29" w:rsidRPr="006761DF" w14:paraId="2F8133BF" w14:textId="77777777" w:rsidTr="00AE61FD">
        <w:tc>
          <w:tcPr>
            <w:tcW w:w="9489" w:type="dxa"/>
          </w:tcPr>
          <w:p w14:paraId="4AFA59D3" w14:textId="77777777" w:rsidR="00E31F29" w:rsidRPr="006761DF" w:rsidRDefault="00E31F29" w:rsidP="00E31F29">
            <w:pPr>
              <w:spacing w:line="276" w:lineRule="auto"/>
              <w:jc w:val="both"/>
              <w:rPr>
                <w:rFonts w:eastAsia="Times New Roman" w:cs="Times New Roman"/>
                <w:szCs w:val="28"/>
                <w:lang w:val="uk-UA" w:eastAsia="ru-RU"/>
              </w:rPr>
            </w:pPr>
            <w:r w:rsidRPr="006761DF">
              <w:rPr>
                <w:rFonts w:eastAsia="Times New Roman" w:cs="Times New Roman"/>
                <w:szCs w:val="28"/>
                <w:lang w:val="uk-UA" w:eastAsia="ru-RU"/>
              </w:rPr>
              <w:t>4</w:t>
            </w:r>
            <w:r w:rsidRPr="006761DF">
              <w:rPr>
                <w:rFonts w:eastAsia="Times New Roman" w:cs="Times New Roman"/>
                <w:szCs w:val="28"/>
                <w:lang w:eastAsia="ru-RU"/>
              </w:rPr>
              <w:t xml:space="preserve">.3. </w:t>
            </w:r>
            <w:r w:rsidRPr="006761DF">
              <w:rPr>
                <w:rFonts w:eastAsia="Calibri" w:cs="Times New Roman"/>
                <w:szCs w:val="28"/>
                <w:lang w:val="uk-UA"/>
              </w:rPr>
              <w:t>Опозиція в умовах криз……………………</w:t>
            </w:r>
            <w:r w:rsidRPr="006761DF">
              <w:rPr>
                <w:rFonts w:eastAsia="Times New Roman" w:cs="Times New Roman"/>
                <w:szCs w:val="28"/>
                <w:lang w:val="uk-UA" w:eastAsia="ru-RU"/>
              </w:rPr>
              <w:t>.…………………………….......</w:t>
            </w:r>
          </w:p>
        </w:tc>
        <w:tc>
          <w:tcPr>
            <w:tcW w:w="576" w:type="dxa"/>
            <w:vAlign w:val="bottom"/>
          </w:tcPr>
          <w:p w14:paraId="0154DBCF" w14:textId="15121D73" w:rsidR="00E31F29" w:rsidRPr="006761DF" w:rsidRDefault="00E31F29" w:rsidP="00E31F29">
            <w:pPr>
              <w:spacing w:line="360" w:lineRule="auto"/>
              <w:jc w:val="center"/>
              <w:rPr>
                <w:rFonts w:eastAsia="Times New Roman" w:cs="Times New Roman"/>
                <w:szCs w:val="28"/>
                <w:lang w:val="uk-UA" w:eastAsia="ru-RU"/>
              </w:rPr>
            </w:pPr>
            <w:r w:rsidRPr="006761DF">
              <w:rPr>
                <w:rFonts w:eastAsia="Times New Roman" w:cs="Times New Roman"/>
                <w:szCs w:val="28"/>
                <w:lang w:val="uk-UA" w:eastAsia="ru-RU"/>
              </w:rPr>
              <w:t>6</w:t>
            </w:r>
            <w:r w:rsidR="00A23077">
              <w:rPr>
                <w:rFonts w:eastAsia="Times New Roman" w:cs="Times New Roman"/>
                <w:szCs w:val="28"/>
                <w:lang w:val="uk-UA" w:eastAsia="ru-RU"/>
              </w:rPr>
              <w:t>5</w:t>
            </w:r>
          </w:p>
        </w:tc>
      </w:tr>
      <w:tr w:rsidR="00E31F29" w:rsidRPr="006761DF" w14:paraId="07B7B032" w14:textId="77777777" w:rsidTr="00AE61FD">
        <w:tc>
          <w:tcPr>
            <w:tcW w:w="9489" w:type="dxa"/>
          </w:tcPr>
          <w:p w14:paraId="0AAAEBED" w14:textId="77777777" w:rsidR="00E31F29" w:rsidRPr="006761DF" w:rsidRDefault="00E31F29" w:rsidP="00E31F29">
            <w:pPr>
              <w:spacing w:line="276" w:lineRule="auto"/>
              <w:jc w:val="both"/>
              <w:rPr>
                <w:rFonts w:eastAsia="Times New Roman" w:cs="Times New Roman"/>
                <w:szCs w:val="28"/>
                <w:lang w:val="uk-UA" w:eastAsia="ru-RU"/>
              </w:rPr>
            </w:pPr>
            <w:r w:rsidRPr="006761DF">
              <w:rPr>
                <w:rFonts w:eastAsia="Times New Roman" w:cs="Times New Roman"/>
                <w:szCs w:val="28"/>
                <w:lang w:val="uk-UA" w:eastAsia="ru-RU"/>
              </w:rPr>
              <w:t>Висновок за розділом 4 ………………………………………………………….</w:t>
            </w:r>
          </w:p>
        </w:tc>
        <w:tc>
          <w:tcPr>
            <w:tcW w:w="576" w:type="dxa"/>
            <w:vAlign w:val="bottom"/>
          </w:tcPr>
          <w:p w14:paraId="5A29914A" w14:textId="75E3D255" w:rsidR="00E31F29" w:rsidRPr="006761DF" w:rsidRDefault="00E31F29" w:rsidP="00E31F29">
            <w:pPr>
              <w:spacing w:line="360" w:lineRule="auto"/>
              <w:jc w:val="center"/>
              <w:rPr>
                <w:rFonts w:eastAsia="Times New Roman" w:cs="Times New Roman"/>
                <w:szCs w:val="28"/>
                <w:lang w:val="uk-UA" w:eastAsia="ru-RU"/>
              </w:rPr>
            </w:pPr>
            <w:r w:rsidRPr="006761DF">
              <w:rPr>
                <w:rFonts w:eastAsia="Times New Roman" w:cs="Times New Roman"/>
                <w:szCs w:val="28"/>
                <w:lang w:val="uk-UA" w:eastAsia="ru-RU"/>
              </w:rPr>
              <w:t>7</w:t>
            </w:r>
            <w:r w:rsidR="00A23077">
              <w:rPr>
                <w:rFonts w:eastAsia="Times New Roman" w:cs="Times New Roman"/>
                <w:szCs w:val="28"/>
                <w:lang w:val="uk-UA" w:eastAsia="ru-RU"/>
              </w:rPr>
              <w:t>0</w:t>
            </w:r>
          </w:p>
        </w:tc>
      </w:tr>
      <w:tr w:rsidR="00164003" w:rsidRPr="006761DF" w14:paraId="3DBBB091" w14:textId="77777777" w:rsidTr="00AE61FD">
        <w:tc>
          <w:tcPr>
            <w:tcW w:w="9489" w:type="dxa"/>
          </w:tcPr>
          <w:p w14:paraId="674C0529" w14:textId="381F5F34" w:rsidR="00164003" w:rsidRPr="006761DF" w:rsidRDefault="00164003" w:rsidP="00164003">
            <w:pPr>
              <w:spacing w:line="276" w:lineRule="auto"/>
              <w:jc w:val="both"/>
              <w:rPr>
                <w:rFonts w:eastAsia="Times New Roman" w:cs="Times New Roman"/>
                <w:szCs w:val="28"/>
                <w:lang w:val="uk-UA" w:eastAsia="ru-RU"/>
              </w:rPr>
            </w:pPr>
            <w:r w:rsidRPr="009D4ADA">
              <w:rPr>
                <w:szCs w:val="28"/>
                <w:lang w:val="uk-UA"/>
              </w:rPr>
              <w:t>ВИСНОВКИ ………………………………………………………………………</w:t>
            </w:r>
          </w:p>
        </w:tc>
        <w:tc>
          <w:tcPr>
            <w:tcW w:w="576" w:type="dxa"/>
            <w:vAlign w:val="bottom"/>
          </w:tcPr>
          <w:p w14:paraId="6A6EF50C" w14:textId="33001DCB" w:rsidR="00164003" w:rsidRPr="006761DF" w:rsidRDefault="00164003" w:rsidP="00164003">
            <w:pPr>
              <w:spacing w:line="360" w:lineRule="auto"/>
              <w:jc w:val="center"/>
              <w:rPr>
                <w:rFonts w:eastAsia="Times New Roman" w:cs="Times New Roman"/>
                <w:szCs w:val="28"/>
                <w:lang w:val="uk-UA" w:eastAsia="ru-RU"/>
              </w:rPr>
            </w:pPr>
            <w:r w:rsidRPr="009D4ADA">
              <w:rPr>
                <w:szCs w:val="28"/>
                <w:lang w:val="uk-UA"/>
              </w:rPr>
              <w:t>7</w:t>
            </w:r>
            <w:r w:rsidR="00A23077">
              <w:rPr>
                <w:szCs w:val="28"/>
                <w:lang w:val="uk-UA"/>
              </w:rPr>
              <w:t>1</w:t>
            </w:r>
          </w:p>
        </w:tc>
      </w:tr>
      <w:tr w:rsidR="00164003" w:rsidRPr="006761DF" w14:paraId="447ABE78" w14:textId="77777777" w:rsidTr="00AE61FD">
        <w:tc>
          <w:tcPr>
            <w:tcW w:w="9489" w:type="dxa"/>
          </w:tcPr>
          <w:p w14:paraId="74C380F0" w14:textId="1D6BBB1B" w:rsidR="00164003" w:rsidRPr="006761DF" w:rsidRDefault="00164003" w:rsidP="00164003">
            <w:pPr>
              <w:spacing w:line="276" w:lineRule="auto"/>
              <w:jc w:val="both"/>
              <w:rPr>
                <w:rFonts w:eastAsia="Times New Roman" w:cs="Times New Roman"/>
                <w:szCs w:val="28"/>
                <w:lang w:val="uk-UA" w:eastAsia="ru-RU"/>
              </w:rPr>
            </w:pPr>
            <w:r w:rsidRPr="009D4ADA">
              <w:rPr>
                <w:szCs w:val="28"/>
                <w:lang w:val="uk-UA"/>
              </w:rPr>
              <w:t>СПИСОК ВИКОРИСТАНИХ ДЖЕРЕЛ ……………………………………….</w:t>
            </w:r>
          </w:p>
        </w:tc>
        <w:tc>
          <w:tcPr>
            <w:tcW w:w="576" w:type="dxa"/>
            <w:vAlign w:val="bottom"/>
          </w:tcPr>
          <w:p w14:paraId="0B367D8A" w14:textId="2945C5EB" w:rsidR="00164003" w:rsidRPr="006761DF" w:rsidRDefault="00164003" w:rsidP="00164003">
            <w:pPr>
              <w:spacing w:line="360" w:lineRule="auto"/>
              <w:jc w:val="center"/>
              <w:rPr>
                <w:rFonts w:eastAsia="Times New Roman" w:cs="Times New Roman"/>
                <w:szCs w:val="28"/>
                <w:lang w:val="uk-UA" w:eastAsia="ru-RU"/>
              </w:rPr>
            </w:pPr>
            <w:r w:rsidRPr="009D4ADA">
              <w:rPr>
                <w:szCs w:val="28"/>
                <w:lang w:val="uk-UA"/>
              </w:rPr>
              <w:t>7</w:t>
            </w:r>
            <w:r w:rsidR="00A23077">
              <w:rPr>
                <w:szCs w:val="28"/>
                <w:lang w:val="uk-UA"/>
              </w:rPr>
              <w:t>3</w:t>
            </w:r>
          </w:p>
        </w:tc>
      </w:tr>
    </w:tbl>
    <w:p w14:paraId="7F97D6EE" w14:textId="77777777" w:rsidR="00920556" w:rsidRPr="00920556" w:rsidRDefault="00920556" w:rsidP="00920556">
      <w:pPr>
        <w:spacing w:after="0" w:line="360" w:lineRule="auto"/>
        <w:ind w:firstLine="567"/>
        <w:jc w:val="center"/>
        <w:rPr>
          <w:rFonts w:ascii="Times New Roman" w:eastAsia="Calibri" w:hAnsi="Times New Roman" w:cs="Times New Roman"/>
          <w:b/>
          <w:bCs/>
          <w:sz w:val="28"/>
          <w:szCs w:val="28"/>
          <w:lang w:val="uk-UA"/>
        </w:rPr>
      </w:pPr>
      <w:r w:rsidRPr="00920556">
        <w:rPr>
          <w:rFonts w:ascii="Times New Roman" w:eastAsia="Calibri" w:hAnsi="Times New Roman" w:cs="Times New Roman"/>
          <w:b/>
          <w:bCs/>
          <w:sz w:val="28"/>
          <w:szCs w:val="28"/>
          <w:lang w:val="uk-UA"/>
        </w:rPr>
        <w:lastRenderedPageBreak/>
        <w:t>ВСТУП</w:t>
      </w:r>
    </w:p>
    <w:p w14:paraId="7F1D613E" w14:textId="77777777" w:rsidR="00920556" w:rsidRPr="00920556" w:rsidRDefault="00920556" w:rsidP="00920556">
      <w:pPr>
        <w:spacing w:after="0" w:line="360" w:lineRule="auto"/>
        <w:ind w:firstLine="567"/>
        <w:jc w:val="center"/>
        <w:rPr>
          <w:rFonts w:ascii="Times New Roman" w:eastAsia="Calibri" w:hAnsi="Times New Roman" w:cs="Times New Roman"/>
          <w:b/>
          <w:bCs/>
          <w:sz w:val="28"/>
          <w:szCs w:val="28"/>
          <w:lang w:val="uk-UA"/>
        </w:rPr>
      </w:pPr>
    </w:p>
    <w:p w14:paraId="2528803C" w14:textId="77777777" w:rsidR="00920556" w:rsidRPr="00920556" w:rsidRDefault="00920556" w:rsidP="00920556">
      <w:pPr>
        <w:spacing w:after="0" w:line="360" w:lineRule="auto"/>
        <w:ind w:firstLine="567"/>
        <w:jc w:val="both"/>
        <w:rPr>
          <w:rFonts w:ascii="Times New Roman" w:eastAsia="Calibri" w:hAnsi="Times New Roman" w:cs="Times New Roman"/>
          <w:sz w:val="28"/>
          <w:szCs w:val="28"/>
          <w:lang w:val="uk-UA"/>
        </w:rPr>
      </w:pPr>
      <w:r w:rsidRPr="00920556">
        <w:rPr>
          <w:rFonts w:ascii="Times New Roman" w:eastAsia="Calibri" w:hAnsi="Times New Roman" w:cs="Times New Roman"/>
          <w:sz w:val="28"/>
          <w:szCs w:val="28"/>
          <w:lang w:val="uk-UA"/>
        </w:rPr>
        <w:t>Актуальність дослідження теми сучасних технологій розв’язання політичних конфліктів зумовлена низкою чинників, що характеризують глобальні політичні процеси ХХІ ст. Зростання кількості внутрішніх і міжнародних конфліктів, викликане впливом глобалізаційних процесів, соціально-економічною нерівністю, геополітичними протистояннями та екологічними загрозами, потребує нових ефективних підходів до їх врегулювання. Традиційні методи дипломатії дедалі частіше поєднуються із сучасними технологічними інструментами, серед яких особливе місце займають цифрова дипломатія, онлайн-платформи для перемовин, використання великих масивів даних (Big Data) для прогнозування розвитку конфліктів. Вагоме значення мають і соціальні медіа, що здатні як провокувати, так і запобігати ескалації конфліктів, а тому потребують глибокого вивчення з метою їхнього конструктивного застосування в миротворчих процесах. На тлі загроз міжнародній безпеці технології відіграють ключову роль у забезпеченні стабільності та запобіганні гуманітарним катастрофам. Новітні інструменти, такі як: штучний інтелект, блокчейн, алгоритми автоматизованої медіації,  відкривають нові можливості для швидкого та об’єктивного реагування на конфліктні ситуації. Окремо слід зазначити зростаючу роль молоді та громадянського суспільства, які завдяки цифровим технологіям отримують більше можливостей для участі у процесах вирішення конфліктів, що підвищує рівень демократичності та прозорості миротворчих зусиль.</w:t>
      </w:r>
    </w:p>
    <w:p w14:paraId="1DCC4941" w14:textId="77777777" w:rsidR="00920556" w:rsidRPr="00920556" w:rsidRDefault="00920556" w:rsidP="00920556">
      <w:pPr>
        <w:spacing w:after="0" w:line="360" w:lineRule="auto"/>
        <w:ind w:firstLine="567"/>
        <w:jc w:val="both"/>
        <w:rPr>
          <w:rFonts w:ascii="Times New Roman" w:eastAsia="Calibri" w:hAnsi="Times New Roman" w:cs="Times New Roman"/>
          <w:sz w:val="28"/>
          <w:szCs w:val="28"/>
          <w:lang w:val="uk-UA"/>
        </w:rPr>
      </w:pPr>
      <w:r w:rsidRPr="00920556">
        <w:rPr>
          <w:rFonts w:ascii="Times New Roman" w:eastAsia="Calibri" w:hAnsi="Times New Roman" w:cs="Times New Roman"/>
          <w:sz w:val="28"/>
          <w:szCs w:val="28"/>
          <w:lang w:val="uk-UA"/>
        </w:rPr>
        <w:t xml:space="preserve"> Отже, дослідження сучасних технологій у сфері політичного  врегулювання конфліктів є вкрай важливим для формування ефективної моделі підтримання миру, міжнародної стабільності та безпеки.</w:t>
      </w:r>
    </w:p>
    <w:p w14:paraId="4122F2B8" w14:textId="77777777" w:rsidR="00920556" w:rsidRPr="00920556" w:rsidRDefault="00920556" w:rsidP="00920556">
      <w:pPr>
        <w:spacing w:after="0" w:line="360" w:lineRule="auto"/>
        <w:ind w:firstLine="567"/>
        <w:jc w:val="both"/>
        <w:rPr>
          <w:rFonts w:ascii="Times New Roman" w:eastAsia="Calibri" w:hAnsi="Times New Roman" w:cs="Times New Roman"/>
          <w:sz w:val="28"/>
          <w:szCs w:val="28"/>
          <w:lang w:val="uk-UA"/>
        </w:rPr>
      </w:pPr>
      <w:r w:rsidRPr="00920556">
        <w:rPr>
          <w:rFonts w:ascii="Times New Roman" w:eastAsia="Calibri" w:hAnsi="Times New Roman" w:cs="Times New Roman"/>
          <w:sz w:val="28"/>
          <w:szCs w:val="28"/>
          <w:lang w:val="uk-UA"/>
        </w:rPr>
        <w:t>Метою магістерської роботи є комплексне дослідження сучасних технологій розв’язання політичних конфліктів, аналіз їхньої ефективності, умов застосування та потенціалу до деескалації конфліктних ситуацій у різних типах політичних систем.</w:t>
      </w:r>
    </w:p>
    <w:p w14:paraId="74C647D8" w14:textId="77777777" w:rsidR="00920556" w:rsidRPr="00920556" w:rsidRDefault="00920556" w:rsidP="00920556">
      <w:pPr>
        <w:spacing w:after="0" w:line="360" w:lineRule="auto"/>
        <w:ind w:firstLine="567"/>
        <w:jc w:val="both"/>
        <w:rPr>
          <w:rFonts w:ascii="Times New Roman" w:eastAsia="Calibri" w:hAnsi="Times New Roman" w:cs="Times New Roman"/>
          <w:sz w:val="28"/>
          <w:szCs w:val="28"/>
          <w:lang w:val="uk-UA"/>
        </w:rPr>
      </w:pPr>
      <w:r w:rsidRPr="00920556">
        <w:rPr>
          <w:rFonts w:ascii="Times New Roman" w:eastAsia="Calibri" w:hAnsi="Times New Roman" w:cs="Times New Roman"/>
          <w:sz w:val="28"/>
          <w:szCs w:val="28"/>
          <w:lang w:val="uk-UA"/>
        </w:rPr>
        <w:lastRenderedPageBreak/>
        <w:t xml:space="preserve">Для досягнення цієї </w:t>
      </w:r>
      <w:r w:rsidRPr="00920556">
        <w:rPr>
          <w:rFonts w:ascii="Times New Roman" w:eastAsia="Calibri" w:hAnsi="Times New Roman" w:cs="Times New Roman"/>
          <w:b/>
          <w:bCs/>
          <w:sz w:val="28"/>
          <w:szCs w:val="28"/>
          <w:lang w:val="uk-UA"/>
        </w:rPr>
        <w:t>мети</w:t>
      </w:r>
      <w:r w:rsidRPr="00920556">
        <w:rPr>
          <w:rFonts w:ascii="Times New Roman" w:eastAsia="Calibri" w:hAnsi="Times New Roman" w:cs="Times New Roman"/>
          <w:sz w:val="28"/>
          <w:szCs w:val="28"/>
          <w:lang w:val="uk-UA"/>
        </w:rPr>
        <w:t xml:space="preserve"> в роботі поставлено такі завдання:</w:t>
      </w:r>
    </w:p>
    <w:p w14:paraId="75BF22DA" w14:textId="77777777" w:rsidR="00920556" w:rsidRPr="00920556" w:rsidRDefault="00920556" w:rsidP="00920556">
      <w:pPr>
        <w:numPr>
          <w:ilvl w:val="0"/>
          <w:numId w:val="1"/>
        </w:numPr>
        <w:spacing w:after="0" w:line="360" w:lineRule="auto"/>
        <w:jc w:val="both"/>
        <w:rPr>
          <w:rFonts w:ascii="Times New Roman" w:eastAsia="Calibri" w:hAnsi="Times New Roman" w:cs="Times New Roman"/>
          <w:sz w:val="28"/>
          <w:szCs w:val="28"/>
          <w:lang w:val="uk-UA"/>
        </w:rPr>
      </w:pPr>
      <w:r w:rsidRPr="00920556">
        <w:rPr>
          <w:rFonts w:ascii="Times New Roman" w:eastAsia="Calibri" w:hAnsi="Times New Roman" w:cs="Times New Roman"/>
          <w:sz w:val="28"/>
          <w:szCs w:val="28"/>
          <w:lang w:val="uk-UA"/>
        </w:rPr>
        <w:t>визначити теоретико-методологічні підходи до аналізу політичних конфліктів і механізмів їх врегулювання;</w:t>
      </w:r>
    </w:p>
    <w:p w14:paraId="40A8E8ED" w14:textId="77777777" w:rsidR="00920556" w:rsidRPr="00920556" w:rsidRDefault="00920556" w:rsidP="00920556">
      <w:pPr>
        <w:numPr>
          <w:ilvl w:val="0"/>
          <w:numId w:val="1"/>
        </w:numPr>
        <w:spacing w:after="0" w:line="360" w:lineRule="auto"/>
        <w:jc w:val="both"/>
        <w:rPr>
          <w:rFonts w:ascii="Times New Roman" w:eastAsia="Calibri" w:hAnsi="Times New Roman" w:cs="Times New Roman"/>
          <w:sz w:val="28"/>
          <w:szCs w:val="28"/>
          <w:lang w:val="uk-UA"/>
        </w:rPr>
      </w:pPr>
      <w:r w:rsidRPr="00920556">
        <w:rPr>
          <w:rFonts w:ascii="Times New Roman" w:eastAsia="Calibri" w:hAnsi="Times New Roman" w:cs="Times New Roman"/>
          <w:sz w:val="28"/>
          <w:szCs w:val="28"/>
          <w:lang w:val="uk-UA"/>
        </w:rPr>
        <w:t>проаналізувати базові правові та інституційні механізми врегулювання політичних конфліктів;</w:t>
      </w:r>
    </w:p>
    <w:p w14:paraId="2AFC9CF2" w14:textId="77777777" w:rsidR="00920556" w:rsidRPr="00920556" w:rsidRDefault="00920556" w:rsidP="00920556">
      <w:pPr>
        <w:numPr>
          <w:ilvl w:val="0"/>
          <w:numId w:val="1"/>
        </w:numPr>
        <w:spacing w:after="0" w:line="360" w:lineRule="auto"/>
        <w:jc w:val="both"/>
        <w:rPr>
          <w:rFonts w:ascii="Times New Roman" w:eastAsia="Calibri" w:hAnsi="Times New Roman" w:cs="Times New Roman"/>
          <w:sz w:val="28"/>
          <w:szCs w:val="28"/>
          <w:lang w:val="uk-UA"/>
        </w:rPr>
      </w:pPr>
      <w:r w:rsidRPr="00920556">
        <w:rPr>
          <w:rFonts w:ascii="Times New Roman" w:eastAsia="Calibri" w:hAnsi="Times New Roman" w:cs="Times New Roman"/>
          <w:sz w:val="28"/>
          <w:szCs w:val="28"/>
          <w:lang w:val="uk-UA"/>
        </w:rPr>
        <w:t>дослідити інституційні конфліктні технології, характерні для демократичних країн;</w:t>
      </w:r>
    </w:p>
    <w:p w14:paraId="381DC961" w14:textId="77777777" w:rsidR="00920556" w:rsidRPr="00920556" w:rsidRDefault="00920556" w:rsidP="00920556">
      <w:pPr>
        <w:numPr>
          <w:ilvl w:val="0"/>
          <w:numId w:val="1"/>
        </w:numPr>
        <w:spacing w:after="0" w:line="360" w:lineRule="auto"/>
        <w:jc w:val="both"/>
        <w:rPr>
          <w:rFonts w:ascii="Times New Roman" w:eastAsia="Calibri" w:hAnsi="Times New Roman" w:cs="Times New Roman"/>
          <w:sz w:val="28"/>
          <w:szCs w:val="28"/>
          <w:lang w:val="uk-UA"/>
        </w:rPr>
      </w:pPr>
      <w:r w:rsidRPr="00920556">
        <w:rPr>
          <w:rFonts w:ascii="Times New Roman" w:eastAsia="Calibri" w:hAnsi="Times New Roman" w:cs="Times New Roman"/>
          <w:sz w:val="28"/>
          <w:szCs w:val="28"/>
          <w:lang w:val="uk-UA"/>
        </w:rPr>
        <w:t>охарактеризувати роль громадянського суспільства та цифрової дипломатії в деескалації політичних конфліктів;</w:t>
      </w:r>
    </w:p>
    <w:p w14:paraId="69C3636E" w14:textId="77777777" w:rsidR="00920556" w:rsidRPr="00920556" w:rsidRDefault="00920556" w:rsidP="00920556">
      <w:pPr>
        <w:numPr>
          <w:ilvl w:val="0"/>
          <w:numId w:val="1"/>
        </w:numPr>
        <w:spacing w:after="0" w:line="360" w:lineRule="auto"/>
        <w:jc w:val="both"/>
        <w:rPr>
          <w:rFonts w:ascii="Times New Roman" w:eastAsia="Calibri" w:hAnsi="Times New Roman" w:cs="Times New Roman"/>
          <w:sz w:val="28"/>
          <w:szCs w:val="28"/>
          <w:lang w:val="uk-UA"/>
        </w:rPr>
      </w:pPr>
      <w:r w:rsidRPr="00920556">
        <w:rPr>
          <w:rFonts w:ascii="Times New Roman" w:eastAsia="Calibri" w:hAnsi="Times New Roman" w:cs="Times New Roman"/>
          <w:sz w:val="28"/>
          <w:szCs w:val="28"/>
          <w:lang w:val="uk-UA"/>
        </w:rPr>
        <w:t>виявити потенціал цифрових платформ у мирному врегулюванні суперечностей і формуванні нових каналів політичної комунікації.</w:t>
      </w:r>
    </w:p>
    <w:p w14:paraId="07CA60F6" w14:textId="77777777" w:rsidR="00920556" w:rsidRPr="00920556" w:rsidRDefault="00920556" w:rsidP="00920556">
      <w:pPr>
        <w:spacing w:after="0" w:line="360" w:lineRule="auto"/>
        <w:ind w:firstLine="567"/>
        <w:jc w:val="both"/>
        <w:rPr>
          <w:rFonts w:ascii="Times New Roman" w:eastAsia="Calibri" w:hAnsi="Times New Roman" w:cs="Times New Roman"/>
          <w:sz w:val="28"/>
          <w:szCs w:val="28"/>
          <w:lang w:val="uk-UA"/>
        </w:rPr>
      </w:pPr>
      <w:r w:rsidRPr="00920556">
        <w:rPr>
          <w:rFonts w:ascii="Times New Roman" w:eastAsia="Calibri" w:hAnsi="Times New Roman" w:cs="Times New Roman"/>
          <w:b/>
          <w:bCs/>
          <w:sz w:val="28"/>
          <w:szCs w:val="28"/>
          <w:lang w:val="uk-UA"/>
        </w:rPr>
        <w:t>Об’єктом дослідження</w:t>
      </w:r>
      <w:r w:rsidRPr="00920556">
        <w:rPr>
          <w:rFonts w:ascii="Times New Roman" w:eastAsia="Calibri" w:hAnsi="Times New Roman" w:cs="Times New Roman"/>
          <w:sz w:val="28"/>
          <w:szCs w:val="28"/>
          <w:lang w:val="uk-UA"/>
        </w:rPr>
        <w:t xml:space="preserve"> є політичні конфлікти як структурна складова політичного процесу в сучасному суспільстві.</w:t>
      </w:r>
    </w:p>
    <w:p w14:paraId="79F6635A" w14:textId="77777777" w:rsidR="00920556" w:rsidRPr="00920556" w:rsidRDefault="00920556" w:rsidP="00920556">
      <w:pPr>
        <w:spacing w:after="0" w:line="360" w:lineRule="auto"/>
        <w:ind w:firstLine="567"/>
        <w:jc w:val="both"/>
        <w:rPr>
          <w:rFonts w:ascii="Times New Roman" w:eastAsia="Calibri" w:hAnsi="Times New Roman" w:cs="Times New Roman"/>
          <w:sz w:val="28"/>
          <w:szCs w:val="28"/>
          <w:lang w:val="uk-UA"/>
        </w:rPr>
      </w:pPr>
      <w:r w:rsidRPr="00920556">
        <w:rPr>
          <w:rFonts w:ascii="Times New Roman" w:eastAsia="Calibri" w:hAnsi="Times New Roman" w:cs="Times New Roman"/>
          <w:b/>
          <w:bCs/>
          <w:sz w:val="28"/>
          <w:szCs w:val="28"/>
          <w:lang w:val="uk-UA"/>
        </w:rPr>
        <w:t>Предметом дослідження</w:t>
      </w:r>
      <w:r w:rsidRPr="00920556">
        <w:rPr>
          <w:rFonts w:ascii="Times New Roman" w:eastAsia="Calibri" w:hAnsi="Times New Roman" w:cs="Times New Roman"/>
          <w:sz w:val="28"/>
          <w:szCs w:val="28"/>
          <w:lang w:val="uk-UA"/>
        </w:rPr>
        <w:t xml:space="preserve"> виступають сучасні технології врегулювання політичних конфліктів, їхні моделі, функції та ефективність у контексті демократичних трансформацій і зростаючої конфліктності.</w:t>
      </w:r>
    </w:p>
    <w:p w14:paraId="7C4E776A" w14:textId="77777777" w:rsidR="00920556" w:rsidRPr="00920556" w:rsidRDefault="00920556" w:rsidP="00920556">
      <w:pPr>
        <w:spacing w:after="0" w:line="360" w:lineRule="auto"/>
        <w:ind w:firstLine="567"/>
        <w:jc w:val="both"/>
        <w:rPr>
          <w:rFonts w:ascii="Times New Roman" w:eastAsia="Calibri" w:hAnsi="Times New Roman" w:cs="Times New Roman"/>
          <w:sz w:val="28"/>
          <w:szCs w:val="28"/>
          <w:lang w:val="uk-UA"/>
        </w:rPr>
      </w:pPr>
      <w:r w:rsidRPr="00920556">
        <w:rPr>
          <w:rFonts w:ascii="Times New Roman" w:eastAsia="Calibri" w:hAnsi="Times New Roman" w:cs="Times New Roman"/>
          <w:b/>
          <w:bCs/>
          <w:sz w:val="28"/>
          <w:szCs w:val="28"/>
          <w:lang w:val="uk-UA"/>
        </w:rPr>
        <w:t>Методологічну основу</w:t>
      </w:r>
      <w:r w:rsidRPr="00920556">
        <w:rPr>
          <w:rFonts w:ascii="Times New Roman" w:eastAsia="Calibri" w:hAnsi="Times New Roman" w:cs="Times New Roman"/>
          <w:sz w:val="28"/>
          <w:szCs w:val="28"/>
          <w:lang w:val="uk-UA"/>
        </w:rPr>
        <w:t xml:space="preserve"> магістерської роботи становлять структурно-функціональний, інституційний, системний, компаративний та конструктивістський підходи, що дозволяють здійснити комплексний аналіз конфліктів як динамічного явища політичного життя та дослідити інструменти їх конструктивного розв’язання. Структурно-функціональний підхід надає змогу розглядати політичний конфлікт як невід’ємну частину функціонування політичної системи, яка виконує не лише деструктивну, але й адаптивну роль, сприяючи оновленню інституцій і коригуванню політичного курсу.</w:t>
      </w:r>
    </w:p>
    <w:p w14:paraId="69482A4C" w14:textId="77777777" w:rsidR="00920556" w:rsidRPr="00920556" w:rsidRDefault="00920556" w:rsidP="00920556">
      <w:pPr>
        <w:spacing w:after="0" w:line="360" w:lineRule="auto"/>
        <w:ind w:firstLine="567"/>
        <w:jc w:val="both"/>
        <w:rPr>
          <w:rFonts w:ascii="Times New Roman" w:eastAsia="Calibri" w:hAnsi="Times New Roman" w:cs="Times New Roman"/>
          <w:sz w:val="28"/>
          <w:szCs w:val="28"/>
          <w:lang w:val="uk-UA"/>
        </w:rPr>
      </w:pPr>
      <w:r w:rsidRPr="00920556">
        <w:rPr>
          <w:rFonts w:ascii="Times New Roman" w:eastAsia="Calibri" w:hAnsi="Times New Roman" w:cs="Times New Roman"/>
          <w:sz w:val="28"/>
          <w:szCs w:val="28"/>
          <w:lang w:val="uk-UA"/>
        </w:rPr>
        <w:t>Інституційний підхід дозволяє акцентувати увагу на формальних і неформальних правилах, механізмах та організаціях, що регулюють поведінку політичних акторів у конфліктних ситуаціях. Він спрямований на дослідження ефективності конституційних, законодавчих, судових та адміністративних процедур у запобіганні ескалації протистоянь. Системний підхід забезпечує цілісне бачення політичного конфлікту як елементу взаємозв’язаної соціально-</w:t>
      </w:r>
      <w:r w:rsidRPr="00920556">
        <w:rPr>
          <w:rFonts w:ascii="Times New Roman" w:eastAsia="Calibri" w:hAnsi="Times New Roman" w:cs="Times New Roman"/>
          <w:sz w:val="28"/>
          <w:szCs w:val="28"/>
          <w:lang w:val="uk-UA"/>
        </w:rPr>
        <w:lastRenderedPageBreak/>
        <w:t>політичної структури, враховуючи вплив зовнішніх і внутрішніх чинників, а також можливість саморегуляції та зворотного зв’язку в межах політичної системи.</w:t>
      </w:r>
    </w:p>
    <w:p w14:paraId="108B8B24" w14:textId="77777777" w:rsidR="00920556" w:rsidRPr="00920556" w:rsidRDefault="00920556" w:rsidP="00920556">
      <w:pPr>
        <w:spacing w:after="0" w:line="360" w:lineRule="auto"/>
        <w:ind w:firstLine="567"/>
        <w:jc w:val="both"/>
        <w:rPr>
          <w:rFonts w:ascii="Times New Roman" w:eastAsia="Calibri" w:hAnsi="Times New Roman" w:cs="Times New Roman"/>
          <w:sz w:val="28"/>
          <w:szCs w:val="28"/>
          <w:lang w:val="uk-UA"/>
        </w:rPr>
      </w:pPr>
      <w:r w:rsidRPr="00920556">
        <w:rPr>
          <w:rFonts w:ascii="Times New Roman" w:eastAsia="Calibri" w:hAnsi="Times New Roman" w:cs="Times New Roman"/>
          <w:sz w:val="28"/>
          <w:szCs w:val="28"/>
          <w:lang w:val="uk-UA"/>
        </w:rPr>
        <w:t>Компаративний підхід використовується для порівняння різних моделей і практик врегулювання політичних конфліктів у демократичних країнах, що дозволяє виявити ефективні технології, адаптовані до національних умов. Конструктивістський підхід фокусується на соціальних конструкціях, ідентичностях, символах та дискурсах, що формують сприйняття конфлікту та впливають на його розвиток. Особливо важливим є розуміння ролі комунікації, інформаційних стратегій і цифрових технологій у трансформації конфліктів та формуванні умов для їх мирного розв’язання.</w:t>
      </w:r>
    </w:p>
    <w:p w14:paraId="54659C46" w14:textId="77777777" w:rsidR="00920556" w:rsidRPr="00920556" w:rsidRDefault="00920556" w:rsidP="00920556">
      <w:pPr>
        <w:spacing w:after="0" w:line="360" w:lineRule="auto"/>
        <w:ind w:firstLine="567"/>
        <w:jc w:val="both"/>
        <w:rPr>
          <w:rFonts w:ascii="Times New Roman" w:eastAsia="Calibri" w:hAnsi="Times New Roman" w:cs="Times New Roman"/>
          <w:sz w:val="28"/>
          <w:szCs w:val="28"/>
          <w:lang w:val="uk-UA"/>
        </w:rPr>
      </w:pPr>
      <w:r w:rsidRPr="00920556">
        <w:rPr>
          <w:rFonts w:ascii="Times New Roman" w:eastAsia="Calibri" w:hAnsi="Times New Roman" w:cs="Times New Roman"/>
          <w:sz w:val="28"/>
          <w:szCs w:val="28"/>
          <w:lang w:val="uk-UA"/>
        </w:rPr>
        <w:t>Таким чином, сукупність цих методологічних підходів забезпечує міждисциплінарний, багаторівневий аналіз проблеми, дозволяючи враховувати як структурні, так і ціннісно-смислові аспекти політичних конфліктів і визначати сучасні технології їх врегулювання в умовах глобалізації, цифровізації та посилення ролі громадянського суспільства.</w:t>
      </w:r>
    </w:p>
    <w:p w14:paraId="59290C1C" w14:textId="77777777" w:rsidR="00920556" w:rsidRPr="00920556" w:rsidRDefault="00920556" w:rsidP="00920556">
      <w:pPr>
        <w:spacing w:after="0" w:line="360" w:lineRule="auto"/>
        <w:ind w:firstLine="567"/>
        <w:jc w:val="both"/>
        <w:rPr>
          <w:rFonts w:ascii="Times New Roman" w:eastAsia="Calibri" w:hAnsi="Times New Roman" w:cs="Times New Roman"/>
          <w:sz w:val="28"/>
          <w:szCs w:val="28"/>
          <w:lang w:val="uk-UA"/>
        </w:rPr>
      </w:pPr>
      <w:r w:rsidRPr="00920556">
        <w:rPr>
          <w:rFonts w:ascii="Times New Roman" w:eastAsia="Calibri" w:hAnsi="Times New Roman" w:cs="Times New Roman"/>
          <w:sz w:val="28"/>
          <w:szCs w:val="28"/>
          <w:lang w:val="uk-UA"/>
        </w:rPr>
        <w:t>Практичне значення дослідження полягає у можливості використання його результатів у сфері політичного консультування, державного управління, розробки стратегій мирного врегулювання конфліктів, а також у навчальному процесі при вивченні політологічних і конфліктологічних дисциплін. Одержані висновки та узагальнення можуть бути корисними для аналітиків, політичних консультантів, державних службовців, дипломатів, фахівців з медіації та представників громадянського суспільства, які беруть участь у розробці та реалізації політики запобігання та трансформації конфліктів.</w:t>
      </w:r>
    </w:p>
    <w:p w14:paraId="16C2707B" w14:textId="77777777" w:rsidR="00920556" w:rsidRPr="00920556" w:rsidRDefault="00920556" w:rsidP="00920556">
      <w:pPr>
        <w:spacing w:after="0" w:line="360" w:lineRule="auto"/>
        <w:ind w:firstLine="567"/>
        <w:jc w:val="both"/>
        <w:rPr>
          <w:rFonts w:ascii="Times New Roman" w:eastAsia="Calibri" w:hAnsi="Times New Roman" w:cs="Times New Roman"/>
          <w:sz w:val="28"/>
          <w:szCs w:val="28"/>
          <w:lang w:val="uk-UA"/>
        </w:rPr>
      </w:pPr>
      <w:r w:rsidRPr="00920556">
        <w:rPr>
          <w:rFonts w:ascii="Times New Roman" w:eastAsia="Calibri" w:hAnsi="Times New Roman" w:cs="Times New Roman"/>
          <w:sz w:val="28"/>
          <w:szCs w:val="28"/>
          <w:lang w:val="uk-UA"/>
        </w:rPr>
        <w:t xml:space="preserve">Матеріали роботи можуть застосовуватись при формуванні національних програм зміцнення політичної стабільності, розвитку механізмів цифрової дипломатії, вдосконалення правових інструментів розв’язання конфліктів. Особливу актуальність має використання дослідження у процесі підготовки кадрів для органів державної влади, закладів дипломатичної служби, структур </w:t>
      </w:r>
      <w:r w:rsidRPr="00920556">
        <w:rPr>
          <w:rFonts w:ascii="Times New Roman" w:eastAsia="Calibri" w:hAnsi="Times New Roman" w:cs="Times New Roman"/>
          <w:sz w:val="28"/>
          <w:szCs w:val="28"/>
          <w:lang w:val="uk-UA"/>
        </w:rPr>
        <w:lastRenderedPageBreak/>
        <w:t>безпеки та правопорядку, зокрема в умовах гібридних загроз і зростання ролі інформаційних технологій у політичній боротьбі.</w:t>
      </w:r>
    </w:p>
    <w:p w14:paraId="3C61DE26" w14:textId="77777777" w:rsidR="00920556" w:rsidRPr="00920556" w:rsidRDefault="00920556" w:rsidP="00920556">
      <w:pPr>
        <w:spacing w:after="0" w:line="360" w:lineRule="auto"/>
        <w:ind w:firstLine="567"/>
        <w:jc w:val="both"/>
        <w:rPr>
          <w:rFonts w:ascii="Times New Roman" w:eastAsia="Calibri" w:hAnsi="Times New Roman" w:cs="Times New Roman"/>
          <w:sz w:val="28"/>
          <w:szCs w:val="28"/>
          <w:lang w:val="uk-UA"/>
        </w:rPr>
      </w:pPr>
      <w:r w:rsidRPr="00920556">
        <w:rPr>
          <w:rFonts w:ascii="Times New Roman" w:eastAsia="Calibri" w:hAnsi="Times New Roman" w:cs="Times New Roman"/>
          <w:b/>
          <w:bCs/>
          <w:sz w:val="28"/>
          <w:szCs w:val="28"/>
          <w:lang w:val="uk-UA"/>
        </w:rPr>
        <w:t>Структура магістерської роботи</w:t>
      </w:r>
      <w:r w:rsidRPr="00920556">
        <w:rPr>
          <w:rFonts w:ascii="Times New Roman" w:eastAsia="Calibri" w:hAnsi="Times New Roman" w:cs="Times New Roman"/>
          <w:sz w:val="28"/>
          <w:szCs w:val="28"/>
          <w:lang w:val="uk-UA"/>
        </w:rPr>
        <w:t xml:space="preserve"> зумовлена логікою дослідження. Вона складається зі вступу, чотирьох розділів, висновків і списку використаних джерел. У першому розділі висвітлено теоретичні засади аналізу політичних конфліктів. У другому розділі розглянуто правові й інституційні механізми врегулювання. У третьому розділі проаналізовано практики інституціоналізації конфліктів у демократичних країнах. Четвертий розділ присвячено сучасним інноваційним технологіям, зокрема цифровій дипломатії, як засобу деескалації політичних суперечностей.</w:t>
      </w:r>
    </w:p>
    <w:p w14:paraId="11942BE1" w14:textId="77777777" w:rsidR="00920556" w:rsidRPr="00920556" w:rsidRDefault="00920556" w:rsidP="00920556">
      <w:pPr>
        <w:spacing w:after="0" w:line="360" w:lineRule="auto"/>
        <w:ind w:firstLine="567"/>
        <w:jc w:val="both"/>
        <w:rPr>
          <w:rFonts w:ascii="Times New Roman" w:eastAsia="Calibri" w:hAnsi="Times New Roman" w:cs="Times New Roman"/>
          <w:sz w:val="28"/>
          <w:szCs w:val="28"/>
          <w:lang w:val="uk-UA"/>
        </w:rPr>
      </w:pPr>
    </w:p>
    <w:p w14:paraId="58B7391D" w14:textId="77777777" w:rsidR="00920556" w:rsidRPr="006761DF" w:rsidRDefault="00920556">
      <w:pPr>
        <w:rPr>
          <w:rFonts w:ascii="Times New Roman" w:hAnsi="Times New Roman" w:cs="Times New Roman"/>
          <w:sz w:val="28"/>
          <w:szCs w:val="28"/>
          <w:lang w:val="uk-UA"/>
        </w:rPr>
      </w:pPr>
    </w:p>
    <w:p w14:paraId="0F72C9FA" w14:textId="77777777" w:rsidR="00920556" w:rsidRPr="006761DF" w:rsidRDefault="00920556">
      <w:pPr>
        <w:rPr>
          <w:rFonts w:ascii="Times New Roman" w:hAnsi="Times New Roman" w:cs="Times New Roman"/>
          <w:sz w:val="28"/>
          <w:szCs w:val="28"/>
          <w:lang w:val="uk-UA"/>
        </w:rPr>
      </w:pPr>
    </w:p>
    <w:p w14:paraId="4848634B" w14:textId="77777777" w:rsidR="00920556" w:rsidRPr="006761DF" w:rsidRDefault="00920556">
      <w:pPr>
        <w:rPr>
          <w:rFonts w:ascii="Times New Roman" w:hAnsi="Times New Roman" w:cs="Times New Roman"/>
          <w:sz w:val="28"/>
          <w:szCs w:val="28"/>
          <w:lang w:val="uk-UA"/>
        </w:rPr>
      </w:pPr>
    </w:p>
    <w:p w14:paraId="16AE2214" w14:textId="77777777" w:rsidR="00920556" w:rsidRPr="006761DF" w:rsidRDefault="00920556">
      <w:pPr>
        <w:rPr>
          <w:rFonts w:ascii="Times New Roman" w:hAnsi="Times New Roman" w:cs="Times New Roman"/>
          <w:sz w:val="28"/>
          <w:szCs w:val="28"/>
          <w:lang w:val="uk-UA"/>
        </w:rPr>
      </w:pPr>
    </w:p>
    <w:p w14:paraId="02494D9C" w14:textId="77777777" w:rsidR="00920556" w:rsidRPr="006761DF" w:rsidRDefault="00920556">
      <w:pPr>
        <w:rPr>
          <w:rFonts w:ascii="Times New Roman" w:hAnsi="Times New Roman" w:cs="Times New Roman"/>
          <w:sz w:val="28"/>
          <w:szCs w:val="28"/>
          <w:lang w:val="uk-UA"/>
        </w:rPr>
      </w:pPr>
    </w:p>
    <w:p w14:paraId="2F66B2A7" w14:textId="77777777" w:rsidR="00920556" w:rsidRPr="006761DF" w:rsidRDefault="00920556">
      <w:pPr>
        <w:rPr>
          <w:rFonts w:ascii="Times New Roman" w:hAnsi="Times New Roman" w:cs="Times New Roman"/>
          <w:sz w:val="28"/>
          <w:szCs w:val="28"/>
          <w:lang w:val="uk-UA"/>
        </w:rPr>
      </w:pPr>
    </w:p>
    <w:p w14:paraId="6ADE750C" w14:textId="77777777" w:rsidR="00920556" w:rsidRPr="006761DF" w:rsidRDefault="00920556">
      <w:pPr>
        <w:rPr>
          <w:rFonts w:ascii="Times New Roman" w:hAnsi="Times New Roman" w:cs="Times New Roman"/>
          <w:sz w:val="28"/>
          <w:szCs w:val="28"/>
          <w:lang w:val="uk-UA"/>
        </w:rPr>
      </w:pPr>
    </w:p>
    <w:p w14:paraId="0FFB147A" w14:textId="77777777" w:rsidR="00920556" w:rsidRPr="006761DF" w:rsidRDefault="00920556">
      <w:pPr>
        <w:rPr>
          <w:rFonts w:ascii="Times New Roman" w:hAnsi="Times New Roman" w:cs="Times New Roman"/>
          <w:sz w:val="28"/>
          <w:szCs w:val="28"/>
          <w:lang w:val="uk-UA"/>
        </w:rPr>
      </w:pPr>
    </w:p>
    <w:p w14:paraId="6508419B" w14:textId="77777777" w:rsidR="00920556" w:rsidRPr="006761DF" w:rsidRDefault="00920556">
      <w:pPr>
        <w:rPr>
          <w:rFonts w:ascii="Times New Roman" w:hAnsi="Times New Roman" w:cs="Times New Roman"/>
          <w:sz w:val="28"/>
          <w:szCs w:val="28"/>
          <w:lang w:val="uk-UA"/>
        </w:rPr>
      </w:pPr>
    </w:p>
    <w:p w14:paraId="409762B2" w14:textId="77777777" w:rsidR="00920556" w:rsidRPr="006761DF" w:rsidRDefault="00920556">
      <w:pPr>
        <w:rPr>
          <w:rFonts w:ascii="Times New Roman" w:hAnsi="Times New Roman" w:cs="Times New Roman"/>
          <w:sz w:val="28"/>
          <w:szCs w:val="28"/>
          <w:lang w:val="uk-UA"/>
        </w:rPr>
      </w:pPr>
    </w:p>
    <w:p w14:paraId="6E5C491E" w14:textId="77777777" w:rsidR="00920556" w:rsidRPr="006761DF" w:rsidRDefault="00920556">
      <w:pPr>
        <w:rPr>
          <w:rFonts w:ascii="Times New Roman" w:hAnsi="Times New Roman" w:cs="Times New Roman"/>
          <w:sz w:val="28"/>
          <w:szCs w:val="28"/>
          <w:lang w:val="uk-UA"/>
        </w:rPr>
      </w:pPr>
    </w:p>
    <w:p w14:paraId="49696224" w14:textId="77777777" w:rsidR="00920556" w:rsidRPr="006761DF" w:rsidRDefault="00920556">
      <w:pPr>
        <w:rPr>
          <w:rFonts w:ascii="Times New Roman" w:hAnsi="Times New Roman" w:cs="Times New Roman"/>
          <w:sz w:val="28"/>
          <w:szCs w:val="28"/>
          <w:lang w:val="uk-UA"/>
        </w:rPr>
      </w:pPr>
    </w:p>
    <w:p w14:paraId="3319F832" w14:textId="77777777" w:rsidR="00920556" w:rsidRPr="006761DF" w:rsidRDefault="00920556">
      <w:pPr>
        <w:rPr>
          <w:rFonts w:ascii="Times New Roman" w:hAnsi="Times New Roman" w:cs="Times New Roman"/>
          <w:sz w:val="28"/>
          <w:szCs w:val="28"/>
          <w:lang w:val="uk-UA"/>
        </w:rPr>
      </w:pPr>
    </w:p>
    <w:p w14:paraId="457EDBC4" w14:textId="77777777" w:rsidR="00920556" w:rsidRPr="006761DF" w:rsidRDefault="00920556">
      <w:pPr>
        <w:rPr>
          <w:rFonts w:ascii="Times New Roman" w:hAnsi="Times New Roman" w:cs="Times New Roman"/>
          <w:sz w:val="28"/>
          <w:szCs w:val="28"/>
          <w:lang w:val="uk-UA"/>
        </w:rPr>
      </w:pPr>
    </w:p>
    <w:p w14:paraId="5AE4E283" w14:textId="77777777" w:rsidR="00920556" w:rsidRPr="006761DF" w:rsidRDefault="00920556">
      <w:pPr>
        <w:rPr>
          <w:rFonts w:ascii="Times New Roman" w:hAnsi="Times New Roman" w:cs="Times New Roman"/>
          <w:sz w:val="28"/>
          <w:szCs w:val="28"/>
          <w:lang w:val="uk-UA"/>
        </w:rPr>
      </w:pPr>
    </w:p>
    <w:p w14:paraId="40C0D75B" w14:textId="77777777" w:rsidR="00920556" w:rsidRPr="006761DF" w:rsidRDefault="00920556">
      <w:pPr>
        <w:rPr>
          <w:rFonts w:ascii="Times New Roman" w:hAnsi="Times New Roman" w:cs="Times New Roman"/>
          <w:sz w:val="28"/>
          <w:szCs w:val="28"/>
          <w:lang w:val="uk-UA"/>
        </w:rPr>
      </w:pPr>
    </w:p>
    <w:p w14:paraId="7F5A7B3E" w14:textId="77777777" w:rsidR="00920556" w:rsidRPr="006761DF" w:rsidRDefault="00920556">
      <w:pPr>
        <w:rPr>
          <w:rFonts w:ascii="Times New Roman" w:hAnsi="Times New Roman" w:cs="Times New Roman"/>
          <w:sz w:val="28"/>
          <w:szCs w:val="28"/>
          <w:lang w:val="uk-UA"/>
        </w:rPr>
      </w:pPr>
    </w:p>
    <w:p w14:paraId="0A4974A5" w14:textId="77777777" w:rsidR="00687125" w:rsidRPr="00687125" w:rsidRDefault="00687125" w:rsidP="00687125">
      <w:pPr>
        <w:tabs>
          <w:tab w:val="left" w:pos="1590"/>
        </w:tabs>
        <w:spacing w:after="0" w:line="360" w:lineRule="auto"/>
        <w:jc w:val="center"/>
        <w:rPr>
          <w:rFonts w:ascii="Times New Roman" w:eastAsia="Calibri" w:hAnsi="Times New Roman" w:cs="Times New Roman"/>
          <w:b/>
          <w:bCs/>
          <w:sz w:val="28"/>
          <w:szCs w:val="28"/>
          <w:lang w:val="uk-UA"/>
        </w:rPr>
      </w:pPr>
      <w:r w:rsidRPr="00687125">
        <w:rPr>
          <w:rFonts w:ascii="Times New Roman" w:eastAsia="Calibri" w:hAnsi="Times New Roman" w:cs="Times New Roman"/>
          <w:b/>
          <w:bCs/>
          <w:sz w:val="28"/>
          <w:szCs w:val="28"/>
          <w:lang w:val="uk-UA"/>
        </w:rPr>
        <w:lastRenderedPageBreak/>
        <w:t>Розділ 1</w:t>
      </w:r>
    </w:p>
    <w:p w14:paraId="3F0C8222" w14:textId="77777777" w:rsidR="00687125" w:rsidRPr="00687125" w:rsidRDefault="00687125" w:rsidP="00687125">
      <w:pPr>
        <w:tabs>
          <w:tab w:val="left" w:pos="1590"/>
        </w:tabs>
        <w:spacing w:after="0" w:line="360" w:lineRule="auto"/>
        <w:jc w:val="center"/>
        <w:rPr>
          <w:rFonts w:ascii="Times New Roman" w:eastAsia="Calibri" w:hAnsi="Times New Roman" w:cs="Times New Roman"/>
          <w:b/>
          <w:bCs/>
          <w:sz w:val="28"/>
          <w:szCs w:val="28"/>
          <w:lang w:val="uk-UA"/>
        </w:rPr>
      </w:pPr>
      <w:r w:rsidRPr="00687125">
        <w:rPr>
          <w:rFonts w:ascii="Times New Roman" w:eastAsia="Calibri" w:hAnsi="Times New Roman" w:cs="Times New Roman"/>
          <w:b/>
          <w:bCs/>
          <w:sz w:val="28"/>
          <w:szCs w:val="28"/>
          <w:lang w:val="uk-UA"/>
        </w:rPr>
        <w:t xml:space="preserve">Теоретико-методологічні засади сучасного розв’язання політичних </w:t>
      </w:r>
    </w:p>
    <w:p w14:paraId="5DE921ED" w14:textId="77777777" w:rsidR="00687125" w:rsidRPr="00687125" w:rsidRDefault="00687125" w:rsidP="00687125">
      <w:pPr>
        <w:tabs>
          <w:tab w:val="left" w:pos="1590"/>
        </w:tabs>
        <w:spacing w:after="0" w:line="360" w:lineRule="auto"/>
        <w:jc w:val="center"/>
        <w:rPr>
          <w:rFonts w:ascii="Times New Roman" w:eastAsia="Calibri" w:hAnsi="Times New Roman" w:cs="Times New Roman"/>
          <w:b/>
          <w:bCs/>
          <w:sz w:val="28"/>
          <w:szCs w:val="28"/>
          <w:lang w:val="uk-UA"/>
        </w:rPr>
      </w:pPr>
      <w:r w:rsidRPr="00687125">
        <w:rPr>
          <w:rFonts w:ascii="Times New Roman" w:eastAsia="Calibri" w:hAnsi="Times New Roman" w:cs="Times New Roman"/>
          <w:b/>
          <w:bCs/>
          <w:sz w:val="28"/>
          <w:szCs w:val="28"/>
          <w:lang w:val="uk-UA"/>
        </w:rPr>
        <w:t>конфліктів</w:t>
      </w:r>
    </w:p>
    <w:p w14:paraId="53C75730" w14:textId="77777777" w:rsidR="00687125" w:rsidRPr="00687125" w:rsidRDefault="00687125" w:rsidP="00687125">
      <w:pPr>
        <w:tabs>
          <w:tab w:val="left" w:pos="1590"/>
        </w:tabs>
        <w:spacing w:after="0" w:line="360" w:lineRule="auto"/>
        <w:jc w:val="center"/>
        <w:rPr>
          <w:rFonts w:ascii="Times New Roman" w:eastAsia="Calibri" w:hAnsi="Times New Roman" w:cs="Times New Roman"/>
          <w:b/>
          <w:bCs/>
          <w:sz w:val="28"/>
          <w:szCs w:val="28"/>
          <w:lang w:val="uk-UA"/>
        </w:rPr>
      </w:pPr>
    </w:p>
    <w:p w14:paraId="2168C154" w14:textId="77777777" w:rsidR="00687125" w:rsidRPr="00687125" w:rsidRDefault="00687125" w:rsidP="00687125">
      <w:pPr>
        <w:tabs>
          <w:tab w:val="left" w:pos="1590"/>
        </w:tabs>
        <w:spacing w:after="0" w:line="360" w:lineRule="auto"/>
        <w:jc w:val="both"/>
        <w:rPr>
          <w:rFonts w:ascii="Times New Roman" w:eastAsia="Calibri" w:hAnsi="Times New Roman" w:cs="Times New Roman"/>
          <w:b/>
          <w:bCs/>
          <w:sz w:val="28"/>
          <w:szCs w:val="28"/>
          <w:lang w:val="uk-UA"/>
        </w:rPr>
      </w:pPr>
      <w:r w:rsidRPr="00687125">
        <w:rPr>
          <w:rFonts w:ascii="Times New Roman" w:eastAsia="Calibri" w:hAnsi="Times New Roman" w:cs="Times New Roman"/>
          <w:b/>
          <w:bCs/>
          <w:sz w:val="28"/>
          <w:szCs w:val="28"/>
          <w:lang w:val="uk-UA"/>
        </w:rPr>
        <w:t>1.1. Політичний конфлікт у структурі політичного процесу</w:t>
      </w:r>
    </w:p>
    <w:p w14:paraId="4ACD74C7"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p>
    <w:p w14:paraId="4705D826"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Політичний конфлікт є невід’ємним і структуроутворювальним елементом політичного процесу, що відображає суперечливу природу політики як сфери боротьби за владу, ресурси, статуси та символічне домінування. У межах сучасної політичної науки конфлікт розглядається як: </w:t>
      </w:r>
    </w:p>
    <w:p w14:paraId="46420C2F"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«..протиборство різних соціально-політичних сил, суб’єктів політики в їх прагненні реалізувати свої інтереси і цілі, пов’язані, насамперед, із боротьбою за здобуття влади, її перерозподіл, зміну свого політичного статусу, а також з політичними перспективами подальшого розвитку суспільства» (Ващенко&amp;Корнієнко);</w:t>
      </w:r>
    </w:p>
    <w:p w14:paraId="6EDA53DE"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«…зіткнення протилежних сил і поглядів, яке зумовлене взаємодією політичних інтересів і цілей. Кожен конфлікт виникає лише за наявності його об’єкта. Зіткнення між індивідами або соціальними групами не буває безпідставним, а відбувається лише в тому разі, якщо його учасники не можуть «поділити» щось між собою» (Ф. Кирилюк, М. Обушний, М. Хилько); </w:t>
      </w:r>
    </w:p>
    <w:p w14:paraId="48D061F6"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«…особливою формою взаємодії суб’єктів соціальних відносин та проявляється у кожному сучасному суспільстві. По своїй суті він являє собою активне зіткнення протиборствуючи сил в сфері політики, найбільш жорстоку форму їх взаємодії з приводу політичного впливу в країні чи на міжнародній арені» (Завгородня, 2016);</w:t>
      </w:r>
    </w:p>
    <w:p w14:paraId="7D4AED02"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Тобто, політичний конфлікт не випадкове чи аномальне явище, а закономірний результат взаємодії політичних акторів, інтереси яких є асиметричними, конкурентними або взаємовиключними. Саме тому політичний конфлікт постає важливим аналітичним інструментом для </w:t>
      </w:r>
      <w:r w:rsidRPr="00687125">
        <w:rPr>
          <w:rFonts w:ascii="Times New Roman" w:eastAsia="Calibri" w:hAnsi="Times New Roman" w:cs="Times New Roman"/>
          <w:sz w:val="28"/>
          <w:szCs w:val="28"/>
          <w:lang w:val="uk-UA"/>
        </w:rPr>
        <w:lastRenderedPageBreak/>
        <w:t>розуміння динаміки політичних процесів, механізмів трансформації політичних систем та еволюції інституційної архітектури влади.</w:t>
      </w:r>
    </w:p>
    <w:p w14:paraId="3E737357"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До основних рис політичного конфлікту відносять, те, що  «…в основі політичного конфлікту лежить суперечність, зіткнення інтересів, принципів, норм, які торкаються політичних відносин задля досягнення певної цілі…, …</w:t>
      </w:r>
      <w:r w:rsidRPr="00687125">
        <w:rPr>
          <w:rFonts w:ascii="Times New Roman" w:eastAsia="Calibri" w:hAnsi="Times New Roman" w:cs="Times New Roman"/>
          <w:lang w:val="uk-UA"/>
        </w:rPr>
        <w:t xml:space="preserve"> </w:t>
      </w:r>
      <w:r w:rsidRPr="00687125">
        <w:rPr>
          <w:rFonts w:ascii="Times New Roman" w:eastAsia="Calibri" w:hAnsi="Times New Roman" w:cs="Times New Roman"/>
          <w:sz w:val="28"/>
          <w:szCs w:val="28"/>
          <w:lang w:val="uk-UA"/>
        </w:rPr>
        <w:t>виникає з приводу влади, володіння та розпорядження нею…, …</w:t>
      </w:r>
      <w:r w:rsidRPr="00687125">
        <w:rPr>
          <w:rFonts w:ascii="Times New Roman" w:eastAsia="Calibri" w:hAnsi="Times New Roman" w:cs="Times New Roman"/>
          <w:lang w:val="uk-UA"/>
        </w:rPr>
        <w:t xml:space="preserve"> </w:t>
      </w:r>
      <w:r w:rsidRPr="00687125">
        <w:rPr>
          <w:rFonts w:ascii="Times New Roman" w:eastAsia="Calibri" w:hAnsi="Times New Roman" w:cs="Times New Roman"/>
          <w:sz w:val="28"/>
          <w:szCs w:val="28"/>
          <w:lang w:val="uk-UA"/>
        </w:rPr>
        <w:t>має зачіпати інтереси великої частини суспільства…» (Жекало, 2015); «…може переходити з однієї сфери в іншу, а також водночас торкатися як політичного поля, так й економічного; як релігійного, так і політичного; як міжнародного, так і політичного тощо…, ….</w:t>
      </w:r>
      <w:r w:rsidRPr="00687125">
        <w:rPr>
          <w:rFonts w:ascii="Times New Roman" w:eastAsia="Calibri" w:hAnsi="Times New Roman" w:cs="Times New Roman"/>
          <w:lang w:val="uk-UA"/>
        </w:rPr>
        <w:t xml:space="preserve"> </w:t>
      </w:r>
      <w:r w:rsidRPr="00687125">
        <w:rPr>
          <w:rFonts w:ascii="Times New Roman" w:eastAsia="Calibri" w:hAnsi="Times New Roman" w:cs="Times New Roman"/>
          <w:sz w:val="28"/>
          <w:szCs w:val="28"/>
          <w:lang w:val="uk-UA"/>
        </w:rPr>
        <w:t>виникає з приводу влади, володіння та розпорядження нею» (Конотопенко</w:t>
      </w:r>
      <w:r w:rsidRPr="00687125">
        <w:rPr>
          <w:rFonts w:ascii="Times New Roman" w:eastAsia="Calibri" w:hAnsi="Times New Roman" w:cs="Times New Roman"/>
          <w:sz w:val="28"/>
          <w:szCs w:val="28"/>
          <w:lang w:val="ru-RU"/>
        </w:rPr>
        <w:t>&amp;</w:t>
      </w:r>
      <w:r w:rsidRPr="00687125">
        <w:rPr>
          <w:rFonts w:ascii="Times New Roman" w:eastAsia="Calibri" w:hAnsi="Times New Roman" w:cs="Times New Roman"/>
          <w:sz w:val="28"/>
          <w:szCs w:val="28"/>
          <w:lang w:val="uk-UA"/>
        </w:rPr>
        <w:t>Гриб</w:t>
      </w:r>
      <w:r w:rsidRPr="00687125">
        <w:rPr>
          <w:rFonts w:ascii="Times New Roman" w:eastAsia="Calibri" w:hAnsi="Times New Roman" w:cs="Times New Roman"/>
          <w:sz w:val="28"/>
          <w:szCs w:val="28"/>
          <w:lang w:val="ru-RU"/>
        </w:rPr>
        <w:t>&amp;</w:t>
      </w:r>
      <w:r w:rsidRPr="00687125">
        <w:rPr>
          <w:rFonts w:ascii="Times New Roman" w:eastAsia="Calibri" w:hAnsi="Times New Roman" w:cs="Times New Roman"/>
          <w:sz w:val="28"/>
          <w:szCs w:val="28"/>
          <w:lang w:val="uk-UA"/>
        </w:rPr>
        <w:t>Лапшин).</w:t>
      </w:r>
    </w:p>
    <w:p w14:paraId="6E1CB621"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У структурі політичного процесу конфлікт виконує низку ключових функцій. По-перше, він виступає індикатором напруженості між соціальними групами, елітами та інститутами, сигналізуючи про дисбаланс інтересів або кризу легітимності влади. По-друге, політичний конфлікт є механізмом артикуляції та агрегації інтересів, оскільки саме в умовах конфронтації відбувається чітке формулювання вимог, позицій і ціннісних орієнтацій учасників політичної взаємодії. По-третє, конфлікт може виконувати інноваційну функцію, сприяючи оновленню політичних правил, норм і практик, а також модернізації інститутів у відповідь на виклики соціального розвитку.</w:t>
      </w:r>
    </w:p>
    <w:p w14:paraId="5E8414E9"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Більш розширено функції політичного конфлікту надають Ю. Лисенко та Ю. Манелюк (Лисенко</w:t>
      </w:r>
      <w:r w:rsidRPr="00687125">
        <w:rPr>
          <w:rFonts w:ascii="Times New Roman" w:eastAsia="Calibri" w:hAnsi="Times New Roman" w:cs="Times New Roman"/>
          <w:sz w:val="28"/>
          <w:szCs w:val="28"/>
          <w:lang w:val="ru-RU"/>
        </w:rPr>
        <w:t>&amp;</w:t>
      </w:r>
      <w:r w:rsidRPr="00687125">
        <w:rPr>
          <w:rFonts w:ascii="Times New Roman" w:eastAsia="Calibri" w:hAnsi="Times New Roman" w:cs="Times New Roman"/>
          <w:sz w:val="28"/>
          <w:szCs w:val="28"/>
          <w:lang w:val="uk-UA"/>
        </w:rPr>
        <w:t>Манелюк, 2022)</w:t>
      </w:r>
    </w:p>
    <w:p w14:paraId="0C23117A"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9"/>
        <w:gridCol w:w="4406"/>
      </w:tblGrid>
      <w:tr w:rsidR="00687125" w:rsidRPr="00687125" w14:paraId="4B76DE5B" w14:textId="77777777">
        <w:trPr>
          <w:tblHeade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hideMark/>
          </w:tcPr>
          <w:p w14:paraId="38623F33" w14:textId="77777777" w:rsidR="00687125" w:rsidRPr="00687125" w:rsidRDefault="00687125" w:rsidP="00687125">
            <w:pPr>
              <w:spacing w:after="0" w:line="360" w:lineRule="auto"/>
              <w:ind w:firstLine="567"/>
              <w:jc w:val="both"/>
              <w:rPr>
                <w:rFonts w:ascii="Times New Roman" w:eastAsia="Calibri" w:hAnsi="Times New Roman" w:cs="Times New Roman"/>
                <w:b/>
                <w:bCs/>
                <w:sz w:val="28"/>
                <w:szCs w:val="28"/>
                <w:lang w:val="uk-UA"/>
              </w:rPr>
            </w:pPr>
            <w:r w:rsidRPr="00687125">
              <w:rPr>
                <w:rFonts w:ascii="Times New Roman" w:eastAsia="Calibri" w:hAnsi="Times New Roman" w:cs="Times New Roman"/>
                <w:b/>
                <w:bCs/>
                <w:sz w:val="28"/>
                <w:szCs w:val="28"/>
                <w:lang w:val="uk-UA"/>
              </w:rPr>
              <w:t>Позитивні функції конфлікту</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hideMark/>
          </w:tcPr>
          <w:p w14:paraId="2C1F651D" w14:textId="77777777" w:rsidR="00687125" w:rsidRPr="00687125" w:rsidRDefault="00687125" w:rsidP="00687125">
            <w:pPr>
              <w:spacing w:after="0" w:line="360" w:lineRule="auto"/>
              <w:ind w:firstLine="567"/>
              <w:jc w:val="both"/>
              <w:rPr>
                <w:rFonts w:ascii="Times New Roman" w:eastAsia="Calibri" w:hAnsi="Times New Roman" w:cs="Times New Roman"/>
                <w:b/>
                <w:bCs/>
                <w:sz w:val="28"/>
                <w:szCs w:val="28"/>
                <w:lang w:val="uk-UA"/>
              </w:rPr>
            </w:pPr>
            <w:r w:rsidRPr="00687125">
              <w:rPr>
                <w:rFonts w:ascii="Times New Roman" w:eastAsia="Calibri" w:hAnsi="Times New Roman" w:cs="Times New Roman"/>
                <w:b/>
                <w:bCs/>
                <w:sz w:val="28"/>
                <w:szCs w:val="28"/>
                <w:lang w:val="uk-UA"/>
              </w:rPr>
              <w:t>Негативні функції конфлікту</w:t>
            </w:r>
          </w:p>
        </w:tc>
      </w:tr>
      <w:tr w:rsidR="00687125" w:rsidRPr="00687125" w14:paraId="3C49AEE4" w14:textId="77777777">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hideMark/>
          </w:tcPr>
          <w:p w14:paraId="2A3D1437" w14:textId="77777777" w:rsidR="00687125" w:rsidRPr="00687125" w:rsidRDefault="00687125" w:rsidP="00687125">
            <w:pPr>
              <w:spacing w:after="0" w:line="360" w:lineRule="auto"/>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стимулююча функція. Конфлікт у такому випадку є поштовхом до соціальних змін у суспільстві;</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hideMark/>
          </w:tcPr>
          <w:p w14:paraId="043D3C94" w14:textId="77777777" w:rsidR="00687125" w:rsidRPr="00687125" w:rsidRDefault="00687125" w:rsidP="00687125">
            <w:pPr>
              <w:spacing w:after="0" w:line="360" w:lineRule="auto"/>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загроза розколу суспільства;</w:t>
            </w:r>
          </w:p>
        </w:tc>
      </w:tr>
      <w:tr w:rsidR="00687125" w:rsidRPr="00687125" w14:paraId="0D9EF25A" w14:textId="77777777">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hideMark/>
          </w:tcPr>
          <w:p w14:paraId="71C73259" w14:textId="77777777" w:rsidR="00687125" w:rsidRPr="00687125" w:rsidRDefault="00687125" w:rsidP="00687125">
            <w:pPr>
              <w:spacing w:after="0" w:line="360" w:lineRule="auto"/>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lastRenderedPageBreak/>
              <w:t>- сприяння формуванню соціальної рівноваги. Під час внутрішніх конфліктів суспільство об’єднується заради спільних цілей;</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hideMark/>
          </w:tcPr>
          <w:p w14:paraId="01E37227" w14:textId="77777777" w:rsidR="00687125" w:rsidRPr="00687125" w:rsidRDefault="00687125" w:rsidP="00687125">
            <w:pPr>
              <w:spacing w:after="0" w:line="360" w:lineRule="auto"/>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несприйняття змін у видах відносин;</w:t>
            </w:r>
          </w:p>
        </w:tc>
      </w:tr>
      <w:tr w:rsidR="00687125" w:rsidRPr="00687125" w14:paraId="6F849F32" w14:textId="77777777">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hideMark/>
          </w:tcPr>
          <w:p w14:paraId="25C4124F" w14:textId="77777777" w:rsidR="00687125" w:rsidRPr="00687125" w:rsidRDefault="00687125" w:rsidP="00687125">
            <w:pPr>
              <w:spacing w:after="0" w:line="360" w:lineRule="auto"/>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функція розрядки напруженості між конфліктуючими сторонами;</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hideMark/>
          </w:tcPr>
          <w:p w14:paraId="6DFF203C" w14:textId="77777777" w:rsidR="00687125" w:rsidRPr="00687125" w:rsidRDefault="00687125" w:rsidP="00687125">
            <w:pPr>
              <w:spacing w:after="0" w:line="360" w:lineRule="auto"/>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розкол у неістотних групах і інформаційних організаціях;</w:t>
            </w:r>
          </w:p>
        </w:tc>
      </w:tr>
      <w:tr w:rsidR="00687125" w:rsidRPr="00687125" w14:paraId="7C429E9A" w14:textId="77777777">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hideMark/>
          </w:tcPr>
          <w:p w14:paraId="4DDC35AD" w14:textId="77777777" w:rsidR="00687125" w:rsidRPr="00687125" w:rsidRDefault="00687125" w:rsidP="00687125">
            <w:pPr>
              <w:spacing w:after="0" w:line="360" w:lineRule="auto"/>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комунікаційно-інформаційна функція. Під час конфліктів активізується обмін інформацією, виявляються суперечності;</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hideMark/>
          </w:tcPr>
          <w:p w14:paraId="14041913"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ігнорування або придушення функції розколу, внутрішніх розбіжностей, дискусій;</w:t>
            </w:r>
          </w:p>
        </w:tc>
      </w:tr>
      <w:tr w:rsidR="00687125" w:rsidRPr="00687125" w14:paraId="667C72DC" w14:textId="77777777">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hideMark/>
          </w:tcPr>
          <w:p w14:paraId="22CB7CB3" w14:textId="77777777" w:rsidR="00687125" w:rsidRPr="00687125" w:rsidRDefault="00687125" w:rsidP="00687125">
            <w:pPr>
              <w:spacing w:after="0" w:line="360" w:lineRule="auto"/>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збереження цінностей та зміни колишніх цінностей і норм суспільства.</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hideMark/>
          </w:tcPr>
          <w:p w14:paraId="737B9127" w14:textId="77777777" w:rsidR="00687125" w:rsidRPr="00687125" w:rsidRDefault="00687125" w:rsidP="00687125">
            <w:pPr>
              <w:spacing w:after="0" w:line="360" w:lineRule="auto"/>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посилення тиску влади, маніпулювання ідеологічними нав’язуваннями цінностей, ідей, суспільної ідеології.</w:t>
            </w:r>
          </w:p>
        </w:tc>
      </w:tr>
    </w:tbl>
    <w:p w14:paraId="4F4F5F20"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p>
    <w:p w14:paraId="33013C79"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На нашу думку, таблиця ілюструє дихотомічну природу політичного конфлікту, розділяючи його вплив на позитивні та негативні функції. Такий підхід дозволяє комплексно оцінити роль конфліктів у суспільному розвитку, уникаючи як однобічного засудження, так і надмірного романтизування цього явища. Більш того, таблиця демонструє, що конфлікт не є однозначним злом або благом: його вплив залежить від контексту, форми прояву та механізмів врегулювання. Ефективне управління конфліктами дозволяє мінімізувати їхні руйнівні наслідки і використати їхній конструктивний потенціал як інструмент демократичної еволюції суспільства.</w:t>
      </w:r>
    </w:p>
    <w:p w14:paraId="5179AC5F"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Політичний процес як динамічна сукупність дій, рішень і взаємодій політичних акторів завжди містить у собі потенціал конфліктності. Це зумовлено обмеженістю політичних ресурсів, плюралізмом інтересів, ідеологічною різноманітністю та нерівністю доступу до влади. У цьому </w:t>
      </w:r>
      <w:r w:rsidRPr="00687125">
        <w:rPr>
          <w:rFonts w:ascii="Times New Roman" w:eastAsia="Calibri" w:hAnsi="Times New Roman" w:cs="Times New Roman"/>
          <w:sz w:val="28"/>
          <w:szCs w:val="28"/>
          <w:lang w:val="uk-UA"/>
        </w:rPr>
        <w:lastRenderedPageBreak/>
        <w:t>контексті політичний конфлікт можна визначити як форму взаємодії суб’єктів політики, що характеризується відкритим або латентним протиборством з приводу розподілу влади, політичних повноважень, матеріальних і символічних ресурсів, а також напрямів суспільного розвитку. Такий підхід дозволяє розглядати конфлікт не лише як деструктивний чинник, а й як потенційне джерело політичних змін.</w:t>
      </w:r>
    </w:p>
    <w:p w14:paraId="43D69E1D"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Структурно політичний конфлікт включає низку взаємопов’язаних елементів: суб’єкти конфлікту, об’єкт і предмет протистояння, причини та умови виникнення, динаміку розвитку і форми прояву (Див. табл.)</w:t>
      </w:r>
    </w:p>
    <w:p w14:paraId="1B7CA411" w14:textId="77777777" w:rsidR="00687125" w:rsidRPr="00687125" w:rsidRDefault="00687125" w:rsidP="00687125">
      <w:pPr>
        <w:spacing w:after="0" w:line="360" w:lineRule="auto"/>
        <w:ind w:firstLine="567"/>
        <w:jc w:val="center"/>
        <w:rPr>
          <w:rFonts w:ascii="Times New Roman" w:eastAsia="Calibri" w:hAnsi="Times New Roman" w:cs="Times New Roman"/>
          <w:b/>
          <w:bCs/>
          <w:sz w:val="28"/>
          <w:szCs w:val="28"/>
          <w:lang w:val="uk-UA"/>
        </w:rPr>
      </w:pPr>
      <w:r w:rsidRPr="00687125">
        <w:rPr>
          <w:rFonts w:ascii="Times New Roman" w:eastAsia="Calibri" w:hAnsi="Times New Roman" w:cs="Times New Roman"/>
          <w:b/>
          <w:bCs/>
          <w:sz w:val="28"/>
          <w:szCs w:val="28"/>
          <w:lang w:val="uk-UA"/>
        </w:rPr>
        <w:t>Структура політичного конфлікту</w:t>
      </w:r>
    </w:p>
    <w:tbl>
      <w:tblPr>
        <w:tblStyle w:val="11"/>
        <w:tblW w:w="0" w:type="auto"/>
        <w:tblInd w:w="0" w:type="dxa"/>
        <w:tblLayout w:type="fixed"/>
        <w:tblLook w:val="04A0" w:firstRow="1" w:lastRow="0" w:firstColumn="1" w:lastColumn="0" w:noHBand="0" w:noVBand="1"/>
      </w:tblPr>
      <w:tblGrid>
        <w:gridCol w:w="1838"/>
        <w:gridCol w:w="3544"/>
        <w:gridCol w:w="4247"/>
      </w:tblGrid>
      <w:tr w:rsidR="00687125" w:rsidRPr="00687125" w14:paraId="785E92A2" w14:textId="77777777">
        <w:tc>
          <w:tcPr>
            <w:tcW w:w="1838" w:type="dxa"/>
            <w:tcBorders>
              <w:top w:val="single" w:sz="4" w:space="0" w:color="auto"/>
              <w:left w:val="single" w:sz="4" w:space="0" w:color="auto"/>
              <w:bottom w:val="single" w:sz="4" w:space="0" w:color="auto"/>
              <w:right w:val="single" w:sz="4" w:space="0" w:color="auto"/>
            </w:tcBorders>
            <w:hideMark/>
          </w:tcPr>
          <w:p w14:paraId="17AED860" w14:textId="77777777" w:rsidR="00687125" w:rsidRPr="00687125" w:rsidRDefault="00687125" w:rsidP="00687125">
            <w:pPr>
              <w:spacing w:line="360" w:lineRule="auto"/>
              <w:jc w:val="center"/>
              <w:rPr>
                <w:rFonts w:ascii="Times New Roman" w:hAnsi="Times New Roman"/>
                <w:sz w:val="28"/>
                <w:szCs w:val="28"/>
              </w:rPr>
            </w:pPr>
            <w:r w:rsidRPr="00687125">
              <w:rPr>
                <w:rFonts w:ascii="Times New Roman" w:hAnsi="Times New Roman"/>
                <w:b/>
                <w:bCs/>
                <w:sz w:val="28"/>
                <w:szCs w:val="28"/>
              </w:rPr>
              <w:t>Елемент структури</w:t>
            </w:r>
          </w:p>
        </w:tc>
        <w:tc>
          <w:tcPr>
            <w:tcW w:w="3544" w:type="dxa"/>
            <w:tcBorders>
              <w:top w:val="single" w:sz="4" w:space="0" w:color="auto"/>
              <w:left w:val="single" w:sz="4" w:space="0" w:color="auto"/>
              <w:bottom w:val="single" w:sz="4" w:space="0" w:color="auto"/>
              <w:right w:val="single" w:sz="4" w:space="0" w:color="auto"/>
            </w:tcBorders>
            <w:hideMark/>
          </w:tcPr>
          <w:p w14:paraId="29AF9732" w14:textId="77777777" w:rsidR="00687125" w:rsidRPr="00687125" w:rsidRDefault="00687125" w:rsidP="00687125">
            <w:pPr>
              <w:spacing w:line="360" w:lineRule="auto"/>
              <w:jc w:val="center"/>
              <w:rPr>
                <w:rFonts w:ascii="Times New Roman" w:hAnsi="Times New Roman"/>
                <w:sz w:val="28"/>
                <w:szCs w:val="28"/>
              </w:rPr>
            </w:pPr>
            <w:r w:rsidRPr="00687125">
              <w:rPr>
                <w:rFonts w:ascii="Times New Roman" w:hAnsi="Times New Roman"/>
                <w:b/>
                <w:bCs/>
                <w:sz w:val="28"/>
                <w:szCs w:val="28"/>
              </w:rPr>
              <w:t>Опис</w:t>
            </w:r>
          </w:p>
        </w:tc>
        <w:tc>
          <w:tcPr>
            <w:tcW w:w="4247" w:type="dxa"/>
            <w:tcBorders>
              <w:top w:val="single" w:sz="4" w:space="0" w:color="auto"/>
              <w:left w:val="single" w:sz="4" w:space="0" w:color="auto"/>
              <w:bottom w:val="single" w:sz="4" w:space="0" w:color="auto"/>
              <w:right w:val="single" w:sz="4" w:space="0" w:color="auto"/>
            </w:tcBorders>
            <w:hideMark/>
          </w:tcPr>
          <w:p w14:paraId="5048151B" w14:textId="77777777" w:rsidR="00687125" w:rsidRPr="00687125" w:rsidRDefault="00687125" w:rsidP="00687125">
            <w:pPr>
              <w:spacing w:line="360" w:lineRule="auto"/>
              <w:jc w:val="center"/>
              <w:rPr>
                <w:rFonts w:ascii="Times New Roman" w:hAnsi="Times New Roman"/>
                <w:sz w:val="28"/>
                <w:szCs w:val="28"/>
              </w:rPr>
            </w:pPr>
            <w:r w:rsidRPr="00687125">
              <w:rPr>
                <w:rFonts w:ascii="Times New Roman" w:hAnsi="Times New Roman"/>
                <w:b/>
                <w:bCs/>
                <w:sz w:val="28"/>
                <w:szCs w:val="28"/>
              </w:rPr>
              <w:t>Приклади</w:t>
            </w:r>
          </w:p>
        </w:tc>
      </w:tr>
      <w:tr w:rsidR="00687125" w:rsidRPr="00687125" w14:paraId="2680750B" w14:textId="77777777">
        <w:tc>
          <w:tcPr>
            <w:tcW w:w="1838" w:type="dxa"/>
            <w:tcBorders>
              <w:top w:val="single" w:sz="4" w:space="0" w:color="auto"/>
              <w:left w:val="single" w:sz="4" w:space="0" w:color="auto"/>
              <w:bottom w:val="single" w:sz="4" w:space="0" w:color="auto"/>
              <w:right w:val="single" w:sz="4" w:space="0" w:color="auto"/>
            </w:tcBorders>
            <w:hideMark/>
          </w:tcPr>
          <w:p w14:paraId="5F2C4B48"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b/>
                <w:bCs/>
                <w:sz w:val="28"/>
                <w:szCs w:val="28"/>
              </w:rPr>
              <w:t>Суб’єкти конфлікту</w:t>
            </w:r>
          </w:p>
        </w:tc>
        <w:tc>
          <w:tcPr>
            <w:tcW w:w="3544" w:type="dxa"/>
            <w:tcBorders>
              <w:top w:val="single" w:sz="4" w:space="0" w:color="auto"/>
              <w:left w:val="single" w:sz="4" w:space="0" w:color="auto"/>
              <w:bottom w:val="single" w:sz="4" w:space="0" w:color="auto"/>
              <w:right w:val="single" w:sz="4" w:space="0" w:color="auto"/>
            </w:tcBorders>
            <w:hideMark/>
          </w:tcPr>
          <w:p w14:paraId="415101DE"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Основні учасники, між якими виникає протистояння на політичному рівні</w:t>
            </w:r>
          </w:p>
        </w:tc>
        <w:tc>
          <w:tcPr>
            <w:tcW w:w="4247" w:type="dxa"/>
            <w:tcBorders>
              <w:top w:val="single" w:sz="4" w:space="0" w:color="auto"/>
              <w:left w:val="single" w:sz="4" w:space="0" w:color="auto"/>
              <w:bottom w:val="single" w:sz="4" w:space="0" w:color="auto"/>
              <w:right w:val="single" w:sz="4" w:space="0" w:color="auto"/>
            </w:tcBorders>
            <w:hideMark/>
          </w:tcPr>
          <w:p w14:paraId="5BC16D06"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Політичні партії, органи влади, опозиційні рухи, соціальні групи, громадяни</w:t>
            </w:r>
          </w:p>
        </w:tc>
      </w:tr>
      <w:tr w:rsidR="00687125" w:rsidRPr="00687125" w14:paraId="7D08A2EE" w14:textId="77777777">
        <w:tc>
          <w:tcPr>
            <w:tcW w:w="1838" w:type="dxa"/>
            <w:tcBorders>
              <w:top w:val="single" w:sz="4" w:space="0" w:color="auto"/>
              <w:left w:val="single" w:sz="4" w:space="0" w:color="auto"/>
              <w:bottom w:val="single" w:sz="4" w:space="0" w:color="auto"/>
              <w:right w:val="single" w:sz="4" w:space="0" w:color="auto"/>
            </w:tcBorders>
            <w:hideMark/>
          </w:tcPr>
          <w:p w14:paraId="2916F61F"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b/>
                <w:bCs/>
                <w:sz w:val="28"/>
                <w:szCs w:val="28"/>
              </w:rPr>
              <w:t>Об</w:t>
            </w:r>
            <w:r w:rsidRPr="00687125">
              <w:rPr>
                <w:rFonts w:ascii="Times New Roman" w:hAnsi="Times New Roman"/>
                <w:b/>
                <w:bCs/>
                <w:sz w:val="28"/>
                <w:szCs w:val="28"/>
                <w:lang w:val="en-US"/>
              </w:rPr>
              <w:t>’</w:t>
            </w:r>
            <w:r w:rsidRPr="00687125">
              <w:rPr>
                <w:rFonts w:ascii="Times New Roman" w:hAnsi="Times New Roman"/>
                <w:b/>
                <w:bCs/>
                <w:sz w:val="28"/>
                <w:szCs w:val="28"/>
              </w:rPr>
              <w:t>єкт конфлікту</w:t>
            </w:r>
          </w:p>
        </w:tc>
        <w:tc>
          <w:tcPr>
            <w:tcW w:w="3544" w:type="dxa"/>
            <w:tcBorders>
              <w:top w:val="single" w:sz="4" w:space="0" w:color="auto"/>
              <w:left w:val="single" w:sz="4" w:space="0" w:color="auto"/>
              <w:bottom w:val="single" w:sz="4" w:space="0" w:color="auto"/>
              <w:right w:val="single" w:sz="4" w:space="0" w:color="auto"/>
            </w:tcBorders>
            <w:hideMark/>
          </w:tcPr>
          <w:p w14:paraId="70ECD5E8"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Те, навколо чого виникає конфлікт; предмет суперечності</w:t>
            </w:r>
          </w:p>
        </w:tc>
        <w:tc>
          <w:tcPr>
            <w:tcW w:w="4247" w:type="dxa"/>
            <w:tcBorders>
              <w:top w:val="single" w:sz="4" w:space="0" w:color="auto"/>
              <w:left w:val="single" w:sz="4" w:space="0" w:color="auto"/>
              <w:bottom w:val="single" w:sz="4" w:space="0" w:color="auto"/>
              <w:right w:val="single" w:sz="4" w:space="0" w:color="auto"/>
            </w:tcBorders>
            <w:hideMark/>
          </w:tcPr>
          <w:p w14:paraId="48D70C88"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Влада, ресурси, політичні повноваження, ідеологія, політичний курс</w:t>
            </w:r>
          </w:p>
        </w:tc>
      </w:tr>
      <w:tr w:rsidR="00687125" w:rsidRPr="00687125" w14:paraId="7F223379" w14:textId="77777777">
        <w:tc>
          <w:tcPr>
            <w:tcW w:w="1838" w:type="dxa"/>
            <w:tcBorders>
              <w:top w:val="single" w:sz="4" w:space="0" w:color="auto"/>
              <w:left w:val="single" w:sz="4" w:space="0" w:color="auto"/>
              <w:bottom w:val="single" w:sz="4" w:space="0" w:color="auto"/>
              <w:right w:val="single" w:sz="4" w:space="0" w:color="auto"/>
            </w:tcBorders>
            <w:hideMark/>
          </w:tcPr>
          <w:p w14:paraId="4F5F8962"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b/>
                <w:bCs/>
                <w:sz w:val="28"/>
                <w:szCs w:val="28"/>
              </w:rPr>
              <w:t>Причини конфлікту</w:t>
            </w:r>
          </w:p>
        </w:tc>
        <w:tc>
          <w:tcPr>
            <w:tcW w:w="3544" w:type="dxa"/>
            <w:tcBorders>
              <w:top w:val="single" w:sz="4" w:space="0" w:color="auto"/>
              <w:left w:val="single" w:sz="4" w:space="0" w:color="auto"/>
              <w:bottom w:val="single" w:sz="4" w:space="0" w:color="auto"/>
              <w:right w:val="single" w:sz="4" w:space="0" w:color="auto"/>
            </w:tcBorders>
            <w:hideMark/>
          </w:tcPr>
          <w:p w14:paraId="1F26576F"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Фактори, що зумовлюють виникнення конфліктної ситуації</w:t>
            </w:r>
          </w:p>
        </w:tc>
        <w:tc>
          <w:tcPr>
            <w:tcW w:w="4247" w:type="dxa"/>
            <w:tcBorders>
              <w:top w:val="single" w:sz="4" w:space="0" w:color="auto"/>
              <w:left w:val="single" w:sz="4" w:space="0" w:color="auto"/>
              <w:bottom w:val="single" w:sz="4" w:space="0" w:color="auto"/>
              <w:right w:val="single" w:sz="4" w:space="0" w:color="auto"/>
            </w:tcBorders>
            <w:hideMark/>
          </w:tcPr>
          <w:p w14:paraId="1CF50735"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Соціальна нерівність, корупція, репресивна політика, ідеологічні протиріччя</w:t>
            </w:r>
          </w:p>
        </w:tc>
      </w:tr>
      <w:tr w:rsidR="00687125" w:rsidRPr="00687125" w14:paraId="54BB93D1" w14:textId="77777777">
        <w:tc>
          <w:tcPr>
            <w:tcW w:w="1838" w:type="dxa"/>
            <w:tcBorders>
              <w:top w:val="single" w:sz="4" w:space="0" w:color="auto"/>
              <w:left w:val="single" w:sz="4" w:space="0" w:color="auto"/>
              <w:bottom w:val="single" w:sz="4" w:space="0" w:color="auto"/>
              <w:right w:val="single" w:sz="4" w:space="0" w:color="auto"/>
            </w:tcBorders>
            <w:hideMark/>
          </w:tcPr>
          <w:p w14:paraId="5E1DA423"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b/>
                <w:bCs/>
                <w:sz w:val="28"/>
                <w:szCs w:val="28"/>
              </w:rPr>
              <w:t>Форма прояву</w:t>
            </w:r>
          </w:p>
        </w:tc>
        <w:tc>
          <w:tcPr>
            <w:tcW w:w="3544" w:type="dxa"/>
            <w:tcBorders>
              <w:top w:val="single" w:sz="4" w:space="0" w:color="auto"/>
              <w:left w:val="single" w:sz="4" w:space="0" w:color="auto"/>
              <w:bottom w:val="single" w:sz="4" w:space="0" w:color="auto"/>
              <w:right w:val="single" w:sz="4" w:space="0" w:color="auto"/>
            </w:tcBorders>
            <w:hideMark/>
          </w:tcPr>
          <w:p w14:paraId="322EC43B"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Зовнішнє виявлення конфлікту</w:t>
            </w:r>
          </w:p>
        </w:tc>
        <w:tc>
          <w:tcPr>
            <w:tcW w:w="4247" w:type="dxa"/>
            <w:tcBorders>
              <w:top w:val="single" w:sz="4" w:space="0" w:color="auto"/>
              <w:left w:val="single" w:sz="4" w:space="0" w:color="auto"/>
              <w:bottom w:val="single" w:sz="4" w:space="0" w:color="auto"/>
              <w:right w:val="single" w:sz="4" w:space="0" w:color="auto"/>
            </w:tcBorders>
            <w:hideMark/>
          </w:tcPr>
          <w:p w14:paraId="472AEC64"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Протести, мітинги, парламентські кризи, перевибори, політичні скандали</w:t>
            </w:r>
          </w:p>
        </w:tc>
      </w:tr>
      <w:tr w:rsidR="00687125" w:rsidRPr="00687125" w14:paraId="39F872EC" w14:textId="77777777">
        <w:tc>
          <w:tcPr>
            <w:tcW w:w="1838" w:type="dxa"/>
            <w:tcBorders>
              <w:top w:val="single" w:sz="4" w:space="0" w:color="auto"/>
              <w:left w:val="single" w:sz="4" w:space="0" w:color="auto"/>
              <w:bottom w:val="single" w:sz="4" w:space="0" w:color="auto"/>
              <w:right w:val="single" w:sz="4" w:space="0" w:color="auto"/>
            </w:tcBorders>
            <w:hideMark/>
          </w:tcPr>
          <w:p w14:paraId="3B228A73"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b/>
                <w:bCs/>
                <w:sz w:val="28"/>
                <w:szCs w:val="28"/>
              </w:rPr>
              <w:t>Механізми розгортання</w:t>
            </w:r>
          </w:p>
        </w:tc>
        <w:tc>
          <w:tcPr>
            <w:tcW w:w="3544" w:type="dxa"/>
            <w:tcBorders>
              <w:top w:val="single" w:sz="4" w:space="0" w:color="auto"/>
              <w:left w:val="single" w:sz="4" w:space="0" w:color="auto"/>
              <w:bottom w:val="single" w:sz="4" w:space="0" w:color="auto"/>
              <w:right w:val="single" w:sz="4" w:space="0" w:color="auto"/>
            </w:tcBorders>
            <w:hideMark/>
          </w:tcPr>
          <w:p w14:paraId="3726293B"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Засоби, за допомогою яких конфлікт розвивається</w:t>
            </w:r>
          </w:p>
        </w:tc>
        <w:tc>
          <w:tcPr>
            <w:tcW w:w="4247" w:type="dxa"/>
            <w:tcBorders>
              <w:top w:val="single" w:sz="4" w:space="0" w:color="auto"/>
              <w:left w:val="single" w:sz="4" w:space="0" w:color="auto"/>
              <w:bottom w:val="single" w:sz="4" w:space="0" w:color="auto"/>
              <w:right w:val="single" w:sz="4" w:space="0" w:color="auto"/>
            </w:tcBorders>
            <w:hideMark/>
          </w:tcPr>
          <w:p w14:paraId="4E0892E6"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Інформаційна війна, політичні кампанії, коаліційні переговори, тиск з боку ЗМІ</w:t>
            </w:r>
          </w:p>
        </w:tc>
      </w:tr>
      <w:tr w:rsidR="00687125" w:rsidRPr="00687125" w14:paraId="1944B906" w14:textId="77777777">
        <w:tc>
          <w:tcPr>
            <w:tcW w:w="1838" w:type="dxa"/>
            <w:tcBorders>
              <w:top w:val="single" w:sz="4" w:space="0" w:color="auto"/>
              <w:left w:val="single" w:sz="4" w:space="0" w:color="auto"/>
              <w:bottom w:val="single" w:sz="4" w:space="0" w:color="auto"/>
              <w:right w:val="single" w:sz="4" w:space="0" w:color="auto"/>
            </w:tcBorders>
            <w:hideMark/>
          </w:tcPr>
          <w:p w14:paraId="0B5D9AC2"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b/>
                <w:bCs/>
                <w:sz w:val="28"/>
                <w:szCs w:val="28"/>
              </w:rPr>
              <w:lastRenderedPageBreak/>
              <w:t>Стадії розвитку конфлікту</w:t>
            </w:r>
          </w:p>
        </w:tc>
        <w:tc>
          <w:tcPr>
            <w:tcW w:w="3544" w:type="dxa"/>
            <w:tcBorders>
              <w:top w:val="single" w:sz="4" w:space="0" w:color="auto"/>
              <w:left w:val="single" w:sz="4" w:space="0" w:color="auto"/>
              <w:bottom w:val="single" w:sz="4" w:space="0" w:color="auto"/>
              <w:right w:val="single" w:sz="4" w:space="0" w:color="auto"/>
            </w:tcBorders>
            <w:hideMark/>
          </w:tcPr>
          <w:p w14:paraId="2106C1D8"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Етапи, через які проходить політичний конфлікт</w:t>
            </w:r>
          </w:p>
        </w:tc>
        <w:tc>
          <w:tcPr>
            <w:tcW w:w="4247" w:type="dxa"/>
            <w:tcBorders>
              <w:top w:val="single" w:sz="4" w:space="0" w:color="auto"/>
              <w:left w:val="single" w:sz="4" w:space="0" w:color="auto"/>
              <w:bottom w:val="single" w:sz="4" w:space="0" w:color="auto"/>
              <w:right w:val="single" w:sz="4" w:space="0" w:color="auto"/>
            </w:tcBorders>
            <w:hideMark/>
          </w:tcPr>
          <w:p w14:paraId="1B474C3E"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Назрівання → Ескалація → Кульмінація → Деескалація → Врегулювання</w:t>
            </w:r>
          </w:p>
        </w:tc>
      </w:tr>
      <w:tr w:rsidR="00687125" w:rsidRPr="00687125" w14:paraId="536B3355" w14:textId="77777777">
        <w:tc>
          <w:tcPr>
            <w:tcW w:w="1838" w:type="dxa"/>
            <w:tcBorders>
              <w:top w:val="single" w:sz="4" w:space="0" w:color="auto"/>
              <w:left w:val="single" w:sz="4" w:space="0" w:color="auto"/>
              <w:bottom w:val="single" w:sz="4" w:space="0" w:color="auto"/>
              <w:right w:val="single" w:sz="4" w:space="0" w:color="auto"/>
            </w:tcBorders>
            <w:hideMark/>
          </w:tcPr>
          <w:p w14:paraId="7C7ACE21"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b/>
                <w:bCs/>
                <w:sz w:val="28"/>
                <w:szCs w:val="28"/>
              </w:rPr>
              <w:t>Засоби врегулювання</w:t>
            </w:r>
          </w:p>
        </w:tc>
        <w:tc>
          <w:tcPr>
            <w:tcW w:w="3544" w:type="dxa"/>
            <w:tcBorders>
              <w:top w:val="single" w:sz="4" w:space="0" w:color="auto"/>
              <w:left w:val="single" w:sz="4" w:space="0" w:color="auto"/>
              <w:bottom w:val="single" w:sz="4" w:space="0" w:color="auto"/>
              <w:right w:val="single" w:sz="4" w:space="0" w:color="auto"/>
            </w:tcBorders>
            <w:hideMark/>
          </w:tcPr>
          <w:p w14:paraId="0E42B59D"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Інструменти, спрямовані на подолання або пом’якшення конфлікту</w:t>
            </w:r>
          </w:p>
        </w:tc>
        <w:tc>
          <w:tcPr>
            <w:tcW w:w="4247" w:type="dxa"/>
            <w:tcBorders>
              <w:top w:val="single" w:sz="4" w:space="0" w:color="auto"/>
              <w:left w:val="single" w:sz="4" w:space="0" w:color="auto"/>
              <w:bottom w:val="single" w:sz="4" w:space="0" w:color="auto"/>
              <w:right w:val="single" w:sz="4" w:space="0" w:color="auto"/>
            </w:tcBorders>
            <w:hideMark/>
          </w:tcPr>
          <w:p w14:paraId="303DF19F"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Діалог, медіація, компроміс, правове врегулювання, посередництво</w:t>
            </w:r>
          </w:p>
        </w:tc>
      </w:tr>
      <w:tr w:rsidR="00687125" w:rsidRPr="00687125" w14:paraId="6CC181B4" w14:textId="77777777">
        <w:tc>
          <w:tcPr>
            <w:tcW w:w="1838" w:type="dxa"/>
            <w:tcBorders>
              <w:top w:val="single" w:sz="4" w:space="0" w:color="auto"/>
              <w:left w:val="single" w:sz="4" w:space="0" w:color="auto"/>
              <w:bottom w:val="single" w:sz="4" w:space="0" w:color="auto"/>
              <w:right w:val="single" w:sz="4" w:space="0" w:color="auto"/>
            </w:tcBorders>
            <w:hideMark/>
          </w:tcPr>
          <w:p w14:paraId="529D2429"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b/>
                <w:bCs/>
                <w:sz w:val="28"/>
                <w:szCs w:val="28"/>
              </w:rPr>
              <w:t>Наслідки</w:t>
            </w:r>
          </w:p>
        </w:tc>
        <w:tc>
          <w:tcPr>
            <w:tcW w:w="3544" w:type="dxa"/>
            <w:tcBorders>
              <w:top w:val="single" w:sz="4" w:space="0" w:color="auto"/>
              <w:left w:val="single" w:sz="4" w:space="0" w:color="auto"/>
              <w:bottom w:val="single" w:sz="4" w:space="0" w:color="auto"/>
              <w:right w:val="single" w:sz="4" w:space="0" w:color="auto"/>
            </w:tcBorders>
            <w:hideMark/>
          </w:tcPr>
          <w:p w14:paraId="71812264"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Наслідки конфлікту для політичної системи та суспільства</w:t>
            </w:r>
          </w:p>
        </w:tc>
        <w:tc>
          <w:tcPr>
            <w:tcW w:w="4247" w:type="dxa"/>
            <w:tcBorders>
              <w:top w:val="single" w:sz="4" w:space="0" w:color="auto"/>
              <w:left w:val="single" w:sz="4" w:space="0" w:color="auto"/>
              <w:bottom w:val="single" w:sz="4" w:space="0" w:color="auto"/>
              <w:right w:val="single" w:sz="4" w:space="0" w:color="auto"/>
            </w:tcBorders>
            <w:hideMark/>
          </w:tcPr>
          <w:p w14:paraId="02114CF2"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Реформи, криза легітимності, зміна уряду, громадянські конфлікти або стабілізація</w:t>
            </w:r>
          </w:p>
        </w:tc>
      </w:tr>
    </w:tbl>
    <w:p w14:paraId="5699D386"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Особливе місце політичний конфлікт посідає у перехідних і кризових політичних системах, де інституційні механізми узгодження інтересів є недостатньо сформованими або неефективними. У таких умовах конфлікт часто набуває гострих, радикалізованих форм і може трансформуватися у насильницьке протистояння. Водночас у стабільних демократичних системах політичний конфлікт, як правило, інституціоналізується через виборчі процедури, парламентські дебати, судові механізми та діяльність громадянського суспільства, що знижує рівень деструктивності та сприяє конструктивному розв’язанню суперечностей.</w:t>
      </w:r>
    </w:p>
    <w:p w14:paraId="66549345"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У структурі політичного процесу важливо розрізняти латентні та маніфестні конфлікти. Латентні конфлікти існують у прихованій формі, не переходячи у відкриту фазу протистояння, однак вони можуть тривалий час накопичувати потенціал напруженості. Маніфестні конфлікти, навпаки, характеризуються відкритою конфронтацією, мобілізацією ресурсів і активною участю масових або елітних акторів. Перехід від латентної до маніфестної стадії часто зумовлюється кризовими подіями, політичними рішеннями або зовнішніми впливами, що порушують крихку рівновагу інтересів.</w:t>
      </w:r>
    </w:p>
    <w:p w14:paraId="55A2A4DE"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З точки зору політичної динаміки конфлікт може розглядатися як процес, що має власні стадії: зародження, ескалацію, кульмінацію та деескалацію. Кожна з цих стадій характеризується специфічними формами політичної </w:t>
      </w:r>
      <w:r w:rsidRPr="00687125">
        <w:rPr>
          <w:rFonts w:ascii="Times New Roman" w:eastAsia="Calibri" w:hAnsi="Times New Roman" w:cs="Times New Roman"/>
          <w:sz w:val="28"/>
          <w:szCs w:val="28"/>
          <w:lang w:val="uk-UA"/>
        </w:rPr>
        <w:lastRenderedPageBreak/>
        <w:t>поведінки та інструментами впливу. Усвідомлення стадійності конфлікту є важливим для розробки ефективних технологій його врегулювання, оскільки дозволяє своєчасно застосовувати переговорні, інституційні чи інформаційно-комунікаційні механізми.</w:t>
      </w:r>
    </w:p>
    <w:p w14:paraId="5B9BBA94"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Таким чином, політичний конфлікт у структурі політичного процесу виступає не лише джерелом напруженості й нестабільності, але й важливим чинником розвитку політичних систем. Його аналіз дає змогу глибше зрозуміти природу влади, логіку політичної взаємодії та умови ефективного управління суспільними суперечностями. Саме в цьому контексті дослідження політичного конфлікту створює теоретичне підґрунтя для подальшого аналізу сучасних технологій управління та розв’язання конфліктів, що є предметом наступних підрозділів наукової роботи</w:t>
      </w:r>
    </w:p>
    <w:p w14:paraId="0051A91E"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p>
    <w:p w14:paraId="57D1A635"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b/>
          <w:bCs/>
          <w:sz w:val="28"/>
          <w:szCs w:val="28"/>
          <w:lang w:val="ru-RU"/>
        </w:rPr>
      </w:pPr>
      <w:r w:rsidRPr="00687125">
        <w:rPr>
          <w:rFonts w:ascii="Times New Roman" w:eastAsia="Calibri" w:hAnsi="Times New Roman" w:cs="Times New Roman"/>
          <w:b/>
          <w:bCs/>
          <w:sz w:val="28"/>
          <w:szCs w:val="28"/>
          <w:lang w:val="uk-UA"/>
        </w:rPr>
        <w:t>1.2. Теоретичні підходи до управління та розв’язання конфліктів</w:t>
      </w:r>
    </w:p>
    <w:p w14:paraId="20E235F2"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b/>
          <w:bCs/>
          <w:sz w:val="28"/>
          <w:szCs w:val="28"/>
          <w:lang w:val="ru-RU"/>
        </w:rPr>
      </w:pPr>
    </w:p>
    <w:p w14:paraId="213C3BFD"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У   політичній науці управління та розв’язання політичних конфліктів розглядається як складний, багаторівневий і міждисциплінарний процес, що ґрунтується на поєднанні теоретичних концепцій, нормативних моделей та прикладних технологій впливу на конфліктну динаміку. Формування теоретичних підходів до аналізу й регулювання політичних конфліктів відбувалося в межах конфліктології, політології, соціології, теорії міжнародних відносин і політичної психології, що зумовило концептуальний плюралізм і методологічну різноманітність сучасних досліджень. Водночас спільним для більшості підходів є розуміння політичного конфлікту як закономірного явища політичного процесу та усвідомлення необхідності його цілеспрямованого управління з метою мінімізації деструктивних наслідків і трансформації конфлікту у керовану, інституціоналізовану форму.</w:t>
      </w:r>
    </w:p>
    <w:p w14:paraId="1ED61FCB"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Одним із класичних у теорії політичних конфліктів є структурно-функціональний підхід, представлений у працях Т. Парсонса, який зазначав, що соціальна  система вирізняється тим, що складається з багатьох </w:t>
      </w:r>
      <w:r w:rsidRPr="00687125">
        <w:rPr>
          <w:rFonts w:ascii="Times New Roman" w:eastAsia="Calibri" w:hAnsi="Times New Roman" w:cs="Times New Roman"/>
          <w:sz w:val="28"/>
          <w:szCs w:val="28"/>
          <w:lang w:val="uk-UA"/>
        </w:rPr>
        <w:lastRenderedPageBreak/>
        <w:t>індивідуальних акторів, які взаємодіють один з одним відповідно до нормативно структуруваних та спільно поділених символів. Усі дії спрямовані не лише на досягнення особистих цілей, а й на підтримку інтеграції системи. Конфлікт виникає тоді, коли інтегративні механізми порушуються, і система повинна мобілізувати механізми соціального контролю та узгодження, щоб відновити порядок. Іншими словами, конфлікт має бути розглянутий не як самостійна рушійна сила соціального життя, а як функціональне порушення, яке система повинна компенсувати шляхом адаптації та інтеграції» (Parsons, 1951).</w:t>
      </w:r>
    </w:p>
    <w:p w14:paraId="178E8225"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Продовження ідей Т. Парсонса можна знайти в  конфліктологічній проблематиці в дослідженнях Р. Дарендорфа. У межах цього підходу політичний конфлікт інтерпретується як результат дисфункцій політичної системи або як реакція на структурні зміни в суспільстві. Р. Дарендорф, зокрема, розглядав конфлікт як невід’ємний атрибут владних відносин, що виникає внаслідок асиметричного розподілу авторитету та ресурсів, як неминучий компонент складних соціальних систем, підкреслюючи, що у сучасних суспільствах різні джерела влади й інтересів створюють умови для структурних напружень. За його концепцією, конфлікт не є лише результатом суб’єктивних суперечностей між акторами, а насамперед вираженням об’єктивного розподілу влади, статусу й можливостей у межах суспільства, що означає, що політичні конфлікти мають глибоке соціально</w:t>
      </w:r>
      <w:r w:rsidRPr="00687125">
        <w:rPr>
          <w:rFonts w:ascii="Times New Roman" w:eastAsia="Calibri" w:hAnsi="Times New Roman" w:cs="Times New Roman"/>
          <w:sz w:val="28"/>
          <w:szCs w:val="28"/>
          <w:lang w:val="uk-UA"/>
        </w:rPr>
        <w:noBreakHyphen/>
        <w:t>структурне підґрунтя і проявляються у боротьбі за доступ до ресурсів та впливу, що робить їх невід’ємною частиною соціального життя і важливим об’єктом аналізу для розуміння механізмів змін у політичних системах (Dahrendorf, 1959).</w:t>
      </w:r>
    </w:p>
    <w:p w14:paraId="51237F49"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Управління конфліктом у цьому контексті полягає не в його повному усуненні, а у створенні інституційних механізмів регулювання, здатних інтегрувати конфлікт у політичний процес і запобігти його радикалізації. Такий підхід є особливо значущим для аналізу конфліктів у складних багаторівневих політичних системах.</w:t>
      </w:r>
    </w:p>
    <w:p w14:paraId="59D6F60D"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lastRenderedPageBreak/>
        <w:t xml:space="preserve">Важливе місце в теоретичному осмисленні політичних конфліктів посідає конфліктно-інтеракціоністський підхід, розроблений у працях Л. Козера та представників символічного інтеракціонізму. У роботі </w:t>
      </w:r>
      <w:r w:rsidRPr="00687125">
        <w:rPr>
          <w:rFonts w:ascii="Times New Roman" w:eastAsia="Calibri" w:hAnsi="Times New Roman" w:cs="Times New Roman"/>
          <w:i/>
          <w:iCs/>
          <w:sz w:val="28"/>
          <w:szCs w:val="28"/>
          <w:lang w:val="uk-UA"/>
        </w:rPr>
        <w:t>The Functions of Social Conflict</w:t>
      </w:r>
      <w:r w:rsidRPr="00687125">
        <w:rPr>
          <w:rFonts w:ascii="Times New Roman" w:eastAsia="Calibri" w:hAnsi="Times New Roman" w:cs="Times New Roman"/>
          <w:sz w:val="28"/>
          <w:szCs w:val="28"/>
          <w:lang w:val="uk-UA"/>
        </w:rPr>
        <w:t>, Л. Козер наголошує, що конфлікти можуть сприяти внутрішній соціальній згуртованості, стимулювати створення механізмів регулювання і контролю, а також активізувати групи до пошуку нових консенсусів. Особливо це виражається у випадках, коли сторони конфлікту поділяють базові цінності, що надає системі здатність перетворювати конфлікт із джерела хаосу на двигун інституційного розвитку, спонукаючи суспільство до самоаналізу та адаптації. Такий функціоналістський погляд дозволяє побачити конфлікт не лише як джерело напруги, а й як структурний елемент підтримання та відновлення соціального порядку» (Coser, 1956).</w:t>
      </w:r>
    </w:p>
    <w:p w14:paraId="26AA2518"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Отже, згідно з цим підходом, конфлікт розглядається як форма соціальної взаємодії, що може виконувати як деструктивні, так і інтегративні функції. Козер підкреслював, що за певних умов конфлікт сприяє зміцненню групової солідарності, оновленню норм і корекції владних відносин. Управління політичним конфліктом у межах цього підходу передбачає вплив на поведінкові стратегії акторів, зміну форматів взаємодії та створення каналів комунікації, зокрема через переговори, компроміс і посередництво. Саме на цій теоретичній основі вибудовуються сучасні технології переговорного процесу, що активно застосовуються як у внутрішній, так і в міжнародній політиці.</w:t>
      </w:r>
    </w:p>
    <w:p w14:paraId="685DD16C"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Окрему групу становлять нормативно-ціннісні підходи до розв’язання політичних конфліктів, у яких ключовим аналітичним виміром є цінності, ідентичності та символічні конструкції. У межах цього підходу конфлікт трактується як зіткнення несумісних уявлень про справедливість, легітимність, політичний порядок і колективну ідентичність. Особливу роль у розвитку цього напряму відіграли ідеї конструктивізму, які наголошують на соціально сконструйованому характері політичної реальності. Управління конфліктами такого типу вимагає не лише інституційних рішень, а й </w:t>
      </w:r>
      <w:r w:rsidRPr="00687125">
        <w:rPr>
          <w:rFonts w:ascii="Times New Roman" w:eastAsia="Calibri" w:hAnsi="Times New Roman" w:cs="Times New Roman"/>
          <w:sz w:val="28"/>
          <w:szCs w:val="28"/>
          <w:lang w:val="uk-UA"/>
        </w:rPr>
        <w:lastRenderedPageBreak/>
        <w:t>довготривалої роботи з дискурсами, наративами, історичною пам’яттю та символічним простором. У цьому контексті важливого значення набувають технології діалогу, примирення, публічної дипломатії та стратегічних комунікацій.</w:t>
      </w:r>
    </w:p>
    <w:p w14:paraId="723815EA"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Значний теоретичний і практичний вплив на сучасні підходи до врегулювання політичних конфліктів справила концепція трансформації конфлікту, розроблена Й. Гальтунгом. На відміну від традиційних моделей «врегулювання» або «вирішення» конфлікту, Й. Гальтунг пропонує розглядати конфлікт як тривалий процес, укорінений у структурному та культурному насильстві.  «Політичний конфлікт у найширшому розумінні не є тотожним насильству  - це процес, що виникає тоді, коли сторони усвідомлюють наявність несумісних цілей або цінностей, і в цій несумісності він засвідчує не лише суперечності, але й потенціал для змін. Й. Гальтунґ підкреслює, що мир не є просто відсутністю конфлікту чи насильства, а здатністю конструктивно управляти цими несумісностями, створюючи нові рамки взаємодії, які перетворюють суперечності на засіб для соціального розвитку і трансформації. Такий підхід зміщує акцент з придушення протиріч на їхнє творче та ненасильницьке вирішення, що відкриває можливість концептуалізувати політичний конфлікт не лише як загрозу стабільності, а й як рушійну силу суспільних перетворень (Galtung, 1969).</w:t>
      </w:r>
    </w:p>
    <w:p w14:paraId="6CADB19C"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Відповідно, управління конфліктом передбачає зміну соціальних і політичних структур, що відтворюють конфліктну взаємодію, а також подолання глибинних причин протистояння. Цей підхід є особливо релевантним для аналізу затяжних внутрішньодержавних і міжнародних конфліктів, де поверхневі компроміси не забезпечують сталого миру.</w:t>
      </w:r>
    </w:p>
    <w:p w14:paraId="5E839466"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У сучасній політичній науці важливе місце посідає інституціональний підхід до управління політичними конфліктами, який акцентує увагу на ролі формальних і неформальних інститутів у регулюванні політичних суперечностей. У межах цього підходу ефективне розв’язання конфліктів пов’язується з наявністю легітимних інституцій, здатних забезпечити </w:t>
      </w:r>
      <w:r w:rsidRPr="00687125">
        <w:rPr>
          <w:rFonts w:ascii="Times New Roman" w:eastAsia="Calibri" w:hAnsi="Times New Roman" w:cs="Times New Roman"/>
          <w:sz w:val="28"/>
          <w:szCs w:val="28"/>
          <w:lang w:val="uk-UA"/>
        </w:rPr>
        <w:lastRenderedPageBreak/>
        <w:t>дотримання процедур, правил і норм усіма учасниками політичного процесу. Парламенти, судові системи, виборчі механізми, органи місцевого самоврядування та інститути громадянського суспільства розглядаються як ключові майданчики інституціоналізації конфлікту та переведення його у ненасильницьке русло. Саме інституційний підхід лежить в основі демократичних моделей управління конфліктами.</w:t>
      </w:r>
    </w:p>
    <w:p w14:paraId="78E0E817"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Окрему групу становлять теорії управління міжнародними політичними конфліктами, що поєднують елементи політичного реалізму, лібералізму та конструктивізму. У реалістичних підходах акцент робиться на ролі сили, балансу інтересів і геополітичних чинників, тоді як ліберальні теорії наголошують на значенні міжнародних інститутів, права та багатосторонньої дипломатії. Конструктивістські підходи, у свою чергу, звертають увагу на ідентичності, норми та дискурси, що формують поведінку держав і міжнародних акторів. Управління міжнародними конфліктами розглядається як багаторівневий процес, що включає переговори, посередництво, санкційні механізми, миротворчі операції та інструменти «м’якої сили».</w:t>
      </w:r>
    </w:p>
    <w:p w14:paraId="6734AECB"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Важливий приклад прикладної теорії розв’язання конфліктів становить концепція принципових переговорів, запропонована Р. Фішером і В. Юрі. У межах цієї теорії конфлікт розглядається як проблема, що може бути вирішена шляхом відокремлення людей від проблеми, зосередження на інтересах, а не позиціях, та пошуку взаємовигідних рішень. Цей підхід широко застосовується у політичній практиці, зокрема в дипломатії та міжнародному посередництві, і становить методологічну основу багатьох сучасних переговорних технологій.</w:t>
      </w:r>
    </w:p>
    <w:p w14:paraId="6B228613"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Таким чином, теоретичні підходи до управління та розв’язання політичних конфліктів формують комплексну аналітичну рамку, яка дозволяє осмислити конфлікт як багатовимірне явище політичного процесу. Поєднання структурно-функціональних, інтеракціоністських, нормативно-ціннісних, інституційних і міжнародних підходів створює методологічні передумови для розробки ефективних технологій врегулювання політичних конфліктів. Саме </w:t>
      </w:r>
      <w:r w:rsidRPr="00687125">
        <w:rPr>
          <w:rFonts w:ascii="Times New Roman" w:eastAsia="Calibri" w:hAnsi="Times New Roman" w:cs="Times New Roman"/>
          <w:sz w:val="28"/>
          <w:szCs w:val="28"/>
          <w:lang w:val="uk-UA"/>
        </w:rPr>
        <w:lastRenderedPageBreak/>
        <w:t>ця теоретична багатовимірність слугує підґрунтям для подальшого аналізу переговорних, інформаційно-комунікаційних та інституційно-правових технологій, що розглядаються у наступних розділах наукової роботи..</w:t>
      </w:r>
    </w:p>
    <w:p w14:paraId="267E690F"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sz w:val="28"/>
          <w:szCs w:val="28"/>
          <w:lang w:val="uk-UA"/>
        </w:rPr>
      </w:pPr>
    </w:p>
    <w:p w14:paraId="5A913C7D"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b/>
          <w:bCs/>
          <w:sz w:val="28"/>
          <w:szCs w:val="28"/>
          <w:lang w:val="uk-UA"/>
        </w:rPr>
      </w:pPr>
      <w:r w:rsidRPr="00687125">
        <w:rPr>
          <w:rFonts w:ascii="Times New Roman" w:eastAsia="Calibri" w:hAnsi="Times New Roman" w:cs="Times New Roman"/>
          <w:b/>
          <w:bCs/>
          <w:sz w:val="28"/>
          <w:szCs w:val="28"/>
          <w:lang w:val="uk-UA"/>
        </w:rPr>
        <w:t>1.3. Методи дослідження політичних конфліктів</w:t>
      </w:r>
    </w:p>
    <w:p w14:paraId="10CA71A9"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b/>
          <w:bCs/>
          <w:sz w:val="28"/>
          <w:szCs w:val="28"/>
          <w:lang w:val="uk-UA"/>
        </w:rPr>
      </w:pPr>
    </w:p>
    <w:p w14:paraId="4177299A"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Дослідження політичних конфліктів у сучасній політичній науці потребує застосування комплексного методологічного інструментарію, що зумовлено багатовимірністю конфліктних процесів, їхньою динамічністю та включеністю у різні рівні політичної взаємодії - від локального до глобального. </w:t>
      </w:r>
    </w:p>
    <w:p w14:paraId="1383BE2F"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Політичний конфлікт як об’єкт наукового аналізу поєднує у собі інституційні, соціальні, ціннісні, комунікативні та поведінкові виміри, що унеможливлює його вивчення в межах одного універсального методу. Саме тому методологія дослідження політичних конфліктів формується на засадах міждисциплінарності, поєднання кількісних і якісних підходів, а також інтеграції теоретичного та прикладного аналізу.</w:t>
      </w:r>
    </w:p>
    <w:p w14:paraId="4023BE42"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Базовим для аналізу політичних конфліктів є системний метод, який дозволяє розглядати конфлікт як цілісне явище, вбудоване у ширший політичний процес. У межах системного підходу політичний конфлікт аналізується як результат взаємодії елементів політичної системи — інститутів, акторів, норм, ресурсів і каналів комунікації. Застосування цього методу дає змогу виявити причинно-наслідкові зв’язки між структурними характеристиками політичної системи та конфліктною поведінкою її суб’єктів, а також оцінити вплив зовнішнього середовища на ескалацію або деескалацію конфліктів. Системний метод є особливо продуктивним для аналізу складних і затяжних конфліктів, у яких задіяно велику кількість акторів і рівнів взаємодії.</w:t>
      </w:r>
    </w:p>
    <w:p w14:paraId="3646B1C2"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Важливе місце у дослідженні політичних конфліктів посідає структурно-функціональний метод, який дозволяє визначити роль конфлікту у функціонуванні політичної системи. Застосування цього методу дає змогу проаналізувати, які функції виконує конфлікт: дестабілізаційну, інтегративну, </w:t>
      </w:r>
      <w:r w:rsidRPr="00687125">
        <w:rPr>
          <w:rFonts w:ascii="Times New Roman" w:eastAsia="Calibri" w:hAnsi="Times New Roman" w:cs="Times New Roman"/>
          <w:sz w:val="28"/>
          <w:szCs w:val="28"/>
          <w:lang w:val="uk-UA"/>
        </w:rPr>
        <w:lastRenderedPageBreak/>
        <w:t>інноваційну чи адаптаційну,  та як він впливає на трансформацію політичних інститутів. У межах цього підходу конфлікт розглядається не лише як прояв кризи, а й як механізм корекції політичних відносин, що особливо важливо для аналізу демократичних систем, у яких конфлікт інституціоналізується через легітимні процедури.</w:t>
      </w:r>
    </w:p>
    <w:p w14:paraId="511E39C4"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Широке застосування у політичній конфліктології має інституціональний метод, спрямований на дослідження ролі формальних і неформальних інститутів у регулюванні конфліктних взаємодій. За допомогою цього методу аналізуються механізми конституційного, законодавчого та процедурного врегулювання конфліктів, а також ефективність діяльності парламентів, судових органів, виборчих інститутів і організацій громадянського суспільства. Інституціональний аналіз дозволяє виявити, яким чином інституційна спроможність держави впливає на характер і тривалість політичних конфліктів, а також визначити межі інституційного втручання у конфліктні процеси.</w:t>
      </w:r>
    </w:p>
    <w:p w14:paraId="0F9AE953"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Значну роль у дослідженні політичних конфліктів відіграє порівняльний метод, який дає змогу зіставляти конфлікти в різних політичних системах, регіонах і історичних контекстах. Порівняльний аналіз дозволяє виявити спільні закономірності та специфічні особливості конфліктних процесів, а також оцінити ефективність різних моделей їхнього врегулювання. Застосування цього методу є особливо важливим у дослідженнях міжнародних і транснаціональних політичних конфліктів, де зіставлення національних і наднаціональних практик врегулювання конфліктів сприяє формуванню узагальнених теоретичних висновків.</w:t>
      </w:r>
    </w:p>
    <w:p w14:paraId="44F5D5D1"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У сучасних дослідженнях політичних конфліктів активно використовується історико-політичний метод, що дозволяє аналізувати генезу конфліктів, етапи їхнього розвитку та еволюцію конфліктних наративів. Історичний підхід дає змогу виявити глибинні причини конфліктів, пов’язані з історичною пам’яттю, колективними травмами та незавершеними політичними трансформаціями. Застосування цього методу є особливо </w:t>
      </w:r>
      <w:r w:rsidRPr="00687125">
        <w:rPr>
          <w:rFonts w:ascii="Times New Roman" w:eastAsia="Calibri" w:hAnsi="Times New Roman" w:cs="Times New Roman"/>
          <w:sz w:val="28"/>
          <w:szCs w:val="28"/>
          <w:lang w:val="uk-UA"/>
        </w:rPr>
        <w:lastRenderedPageBreak/>
        <w:t>важливим для аналізу затяжних конфліктів, у яких минулі події продовжують визначати сучасну політичну поведінку акторів.</w:t>
      </w:r>
    </w:p>
    <w:p w14:paraId="26188367"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Вагоме місце у методології дослідження політичних конфліктів посідають якісні методи, зокрема дискурс-аналіз, контент-аналіз і наративний аналіз. Ці методи дозволяють дослідити символічний і комунікативний вимір конфліктів, зокрема політичні наративи, риторику акторів, інформаційні стратегії та механізми маніпуляції громадською думкою. Аналіз дискурсів дає змогу виявити, яким чином конфлікт конструюється у публічному просторі, які образи «свого» і «чужого» формуються в інформаційному середовищі та як це впливає на ескалацію або деескалацію протистояння.</w:t>
      </w:r>
    </w:p>
    <w:p w14:paraId="1575BD0B"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Поряд із якісними методами у дослідженні політичних конфліктів дедалі ширше застосовуються кількісні методи, зокрема статистичний аналіз, аналіз подієвих даних і моделювання конфліктної динаміки. Кількісні підходи дозволяють виявляти тенденції ескалації конфліктів, оцінювати інтенсивність насильства, рівень залученості акторів і ефективність різних інструментів врегулювання. Водночас кількісні методи потребують поєднання з якісним аналізом, оскільки не завжди здатні відобразити ціннісні та символічні аспекти конфліктів.</w:t>
      </w:r>
    </w:p>
    <w:p w14:paraId="60E2126E"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Окрему групу становлять прикладні методи дослідження, що використовуються у процесі управління та врегулювання політичних конфліктів. До них належать сценарний аналіз, експертні опитування, кейс-стаді та моделювання переговорних процесів. Ці методи дозволяють не лише аналізувати конфлікти, а й прогнозувати їхній розвиток, оцінювати можливі ризики та розробляти практичні рекомендації для політичних акторів і інституцій. Особливої актуальності такі методи набувають у контексті сучасних гібридних і інформаційних конфліктів.</w:t>
      </w:r>
    </w:p>
    <w:p w14:paraId="5BE9F215"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Таким чином, методи дослідження політичних конфліктів утворюють багаторівневу й взаємодоповнювальну систему, що забезпечує комплексне вивчення конфліктних процесів у політиці. Поєднання системного, інституціонального, порівняльного, історичного, якісного та кількісного </w:t>
      </w:r>
      <w:r w:rsidRPr="00687125">
        <w:rPr>
          <w:rFonts w:ascii="Times New Roman" w:eastAsia="Calibri" w:hAnsi="Times New Roman" w:cs="Times New Roman"/>
          <w:sz w:val="28"/>
          <w:szCs w:val="28"/>
          <w:lang w:val="uk-UA"/>
        </w:rPr>
        <w:lastRenderedPageBreak/>
        <w:t>підходів створює методологічне підґрунтя для глибокого аналізу політичних конфліктів і розробки ефективних технологій їхнього управління та розв’язання. Саме ця методологічна комплексність є необхідною умовою адекватного розуміння сучасних політичних конфліктів і формування науково обґрунтованих стратегій їхнього врегулювання у межах політичної практики.</w:t>
      </w:r>
    </w:p>
    <w:p w14:paraId="38F8ED97"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sz w:val="28"/>
          <w:szCs w:val="28"/>
          <w:lang w:val="uk-UA"/>
        </w:rPr>
      </w:pPr>
    </w:p>
    <w:p w14:paraId="40BF8B27"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i/>
          <w:iCs/>
          <w:sz w:val="28"/>
          <w:szCs w:val="28"/>
          <w:lang w:val="uk-UA"/>
        </w:rPr>
      </w:pPr>
      <w:r w:rsidRPr="00687125">
        <w:rPr>
          <w:rFonts w:ascii="Times New Roman" w:eastAsia="Calibri" w:hAnsi="Times New Roman" w:cs="Times New Roman"/>
          <w:i/>
          <w:iCs/>
          <w:sz w:val="28"/>
          <w:szCs w:val="28"/>
          <w:lang w:val="uk-UA"/>
        </w:rPr>
        <w:t xml:space="preserve">Висновки до першого розділу </w:t>
      </w:r>
    </w:p>
    <w:p w14:paraId="0F4A3415"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У першому розділі було здійснено системний аналіз природи, структури, функцій, а також теоретико-методологічних основ вивчення та розв’язання політичних конфліктів. Політичний конфлікт розглянуто як об’єктивно зумовлене явище політичного процесу, що виникає внаслідок суперечностей між інтересами соціальних груп, політичних акторів та інститутів. Його роль у структурі політичної взаємодії полягає не лише у відображенні напруженості, але й у стимулюванні політичної модернізації, корекції владних відносин і оновленні інституцій.</w:t>
      </w:r>
    </w:p>
    <w:p w14:paraId="2CBCC619"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Окрему увагу приділено дихотомії позитивних і негативних функцій конфлікту, яка дозволяє осмислити його як амбівалентне явище: з одного боку, джерело загроз і дестабілізації, з іншого, потенціал для конструктивних змін. Розглянуто ключові структурні елементи політичного конфлікту: суб’єкти, об’єкти, причини, форми прояву, механізми розгортання, стадії, засоби врегулювання та наслідки. Така деталізація забезпечує цілісне бачення політичного конфлікту як складного багаторівневого процесу.</w:t>
      </w:r>
    </w:p>
    <w:p w14:paraId="610876F6"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Теоретичні підходи до аналізу та розв’язання конфліктів охоплюють широке коло методологічних традицій від структурно-функціональної парадигми Т. Парсонса і конфліктної моделі Р. Дарендорфа до інтеракціонізму Л. Козера, трансформаційної теорії Й. Гальтунга та інституціонального підходу. Таке розмаїття концепцій демонструє складність і багатовимірність природи політичного конфлікту, а також наголошує на необхідності його інституціоналізації й управління в демократичних умовах.</w:t>
      </w:r>
    </w:p>
    <w:p w14:paraId="1CC898F5"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lastRenderedPageBreak/>
        <w:t>У підрозділі, присвяченому методам дослідження, показано, що вивчення політичного конфлікту потребує міждисциплінарного підходу, який поєднує системний, інституційний, порівняльний, історичний, якісний і кількісний методи. Саме така методологічна інтеграція дозволяє глибоко аналізувати конфлікти в сучасному політичному середовищі та формувати ефективні технології їх врегулювання.</w:t>
      </w:r>
    </w:p>
    <w:p w14:paraId="56A09D75"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Отже, політичний конфлікт у сучасній науці розглядається не як аномалія, а як структурна складова політичного процесу. Його осмислення та управління є невід’ємною частиною ефективної політики, спрямованої на стабільність, легітимність та інституційну стійкість демократичних систем.</w:t>
      </w:r>
    </w:p>
    <w:p w14:paraId="6AC58305"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sz w:val="28"/>
          <w:szCs w:val="28"/>
          <w:lang w:val="uk-UA"/>
        </w:rPr>
      </w:pPr>
    </w:p>
    <w:p w14:paraId="364037C6" w14:textId="77777777" w:rsidR="00687125" w:rsidRPr="00687125" w:rsidRDefault="00687125" w:rsidP="00687125">
      <w:pPr>
        <w:tabs>
          <w:tab w:val="left" w:pos="1590"/>
        </w:tabs>
        <w:spacing w:after="0" w:line="360" w:lineRule="auto"/>
        <w:ind w:firstLine="567"/>
        <w:jc w:val="both"/>
        <w:rPr>
          <w:rFonts w:ascii="Times New Roman" w:eastAsia="Calibri" w:hAnsi="Times New Roman" w:cs="Times New Roman"/>
          <w:b/>
          <w:bCs/>
          <w:sz w:val="28"/>
          <w:szCs w:val="28"/>
          <w:lang w:val="uk-UA"/>
        </w:rPr>
      </w:pPr>
    </w:p>
    <w:p w14:paraId="58A88291"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p>
    <w:p w14:paraId="7E9F617A" w14:textId="77777777" w:rsidR="00920556" w:rsidRPr="006761DF" w:rsidRDefault="00920556">
      <w:pPr>
        <w:rPr>
          <w:rFonts w:ascii="Times New Roman" w:hAnsi="Times New Roman" w:cs="Times New Roman"/>
          <w:sz w:val="28"/>
          <w:szCs w:val="28"/>
          <w:lang w:val="uk-UA"/>
        </w:rPr>
      </w:pPr>
    </w:p>
    <w:p w14:paraId="7B1F72F9" w14:textId="77777777" w:rsidR="00687125" w:rsidRPr="006761DF" w:rsidRDefault="00687125">
      <w:pPr>
        <w:rPr>
          <w:rFonts w:ascii="Times New Roman" w:hAnsi="Times New Roman" w:cs="Times New Roman"/>
          <w:sz w:val="28"/>
          <w:szCs w:val="28"/>
          <w:lang w:val="uk-UA"/>
        </w:rPr>
      </w:pPr>
    </w:p>
    <w:p w14:paraId="670201BA" w14:textId="77777777" w:rsidR="00687125" w:rsidRPr="006761DF" w:rsidRDefault="00687125">
      <w:pPr>
        <w:rPr>
          <w:rFonts w:ascii="Times New Roman" w:hAnsi="Times New Roman" w:cs="Times New Roman"/>
          <w:sz w:val="28"/>
          <w:szCs w:val="28"/>
          <w:lang w:val="uk-UA"/>
        </w:rPr>
      </w:pPr>
    </w:p>
    <w:p w14:paraId="2031A5D3" w14:textId="77777777" w:rsidR="00687125" w:rsidRPr="006761DF" w:rsidRDefault="00687125">
      <w:pPr>
        <w:rPr>
          <w:rFonts w:ascii="Times New Roman" w:hAnsi="Times New Roman" w:cs="Times New Roman"/>
          <w:sz w:val="28"/>
          <w:szCs w:val="28"/>
          <w:lang w:val="uk-UA"/>
        </w:rPr>
      </w:pPr>
    </w:p>
    <w:p w14:paraId="18BB484C" w14:textId="77777777" w:rsidR="00687125" w:rsidRPr="006761DF" w:rsidRDefault="00687125">
      <w:pPr>
        <w:rPr>
          <w:rFonts w:ascii="Times New Roman" w:hAnsi="Times New Roman" w:cs="Times New Roman"/>
          <w:sz w:val="28"/>
          <w:szCs w:val="28"/>
          <w:lang w:val="uk-UA"/>
        </w:rPr>
      </w:pPr>
    </w:p>
    <w:p w14:paraId="71A6D009" w14:textId="77777777" w:rsidR="00687125" w:rsidRPr="006761DF" w:rsidRDefault="00687125">
      <w:pPr>
        <w:rPr>
          <w:rFonts w:ascii="Times New Roman" w:hAnsi="Times New Roman" w:cs="Times New Roman"/>
          <w:sz w:val="28"/>
          <w:szCs w:val="28"/>
          <w:lang w:val="uk-UA"/>
        </w:rPr>
      </w:pPr>
    </w:p>
    <w:p w14:paraId="21C47359" w14:textId="77777777" w:rsidR="00687125" w:rsidRPr="006761DF" w:rsidRDefault="00687125">
      <w:pPr>
        <w:rPr>
          <w:rFonts w:ascii="Times New Roman" w:hAnsi="Times New Roman" w:cs="Times New Roman"/>
          <w:sz w:val="28"/>
          <w:szCs w:val="28"/>
          <w:lang w:val="uk-UA"/>
        </w:rPr>
      </w:pPr>
    </w:p>
    <w:p w14:paraId="2BD43316" w14:textId="77777777" w:rsidR="00687125" w:rsidRPr="006761DF" w:rsidRDefault="00687125">
      <w:pPr>
        <w:rPr>
          <w:rFonts w:ascii="Times New Roman" w:hAnsi="Times New Roman" w:cs="Times New Roman"/>
          <w:sz w:val="28"/>
          <w:szCs w:val="28"/>
          <w:lang w:val="uk-UA"/>
        </w:rPr>
      </w:pPr>
    </w:p>
    <w:p w14:paraId="7338F6AA" w14:textId="77777777" w:rsidR="00687125" w:rsidRPr="006761DF" w:rsidRDefault="00687125">
      <w:pPr>
        <w:rPr>
          <w:rFonts w:ascii="Times New Roman" w:hAnsi="Times New Roman" w:cs="Times New Roman"/>
          <w:sz w:val="28"/>
          <w:szCs w:val="28"/>
          <w:lang w:val="uk-UA"/>
        </w:rPr>
      </w:pPr>
    </w:p>
    <w:p w14:paraId="3B1A4554" w14:textId="77777777" w:rsidR="00687125" w:rsidRPr="006761DF" w:rsidRDefault="00687125">
      <w:pPr>
        <w:rPr>
          <w:rFonts w:ascii="Times New Roman" w:hAnsi="Times New Roman" w:cs="Times New Roman"/>
          <w:sz w:val="28"/>
          <w:szCs w:val="28"/>
          <w:lang w:val="uk-UA"/>
        </w:rPr>
      </w:pPr>
    </w:p>
    <w:p w14:paraId="7F8F687D" w14:textId="77777777" w:rsidR="00687125" w:rsidRPr="006761DF" w:rsidRDefault="00687125">
      <w:pPr>
        <w:rPr>
          <w:rFonts w:ascii="Times New Roman" w:hAnsi="Times New Roman" w:cs="Times New Roman"/>
          <w:sz w:val="28"/>
          <w:szCs w:val="28"/>
          <w:lang w:val="uk-UA"/>
        </w:rPr>
      </w:pPr>
    </w:p>
    <w:p w14:paraId="4A387682" w14:textId="77777777" w:rsidR="00687125" w:rsidRPr="006761DF" w:rsidRDefault="00687125">
      <w:pPr>
        <w:rPr>
          <w:rFonts w:ascii="Times New Roman" w:hAnsi="Times New Roman" w:cs="Times New Roman"/>
          <w:sz w:val="28"/>
          <w:szCs w:val="28"/>
          <w:lang w:val="uk-UA"/>
        </w:rPr>
      </w:pPr>
    </w:p>
    <w:p w14:paraId="40779503" w14:textId="77777777" w:rsidR="00687125" w:rsidRPr="006761DF" w:rsidRDefault="00687125">
      <w:pPr>
        <w:rPr>
          <w:rFonts w:ascii="Times New Roman" w:hAnsi="Times New Roman" w:cs="Times New Roman"/>
          <w:sz w:val="28"/>
          <w:szCs w:val="28"/>
          <w:lang w:val="uk-UA"/>
        </w:rPr>
      </w:pPr>
    </w:p>
    <w:p w14:paraId="7C993974" w14:textId="77777777" w:rsidR="00687125" w:rsidRPr="006761DF" w:rsidRDefault="00687125">
      <w:pPr>
        <w:rPr>
          <w:rFonts w:ascii="Times New Roman" w:hAnsi="Times New Roman" w:cs="Times New Roman"/>
          <w:sz w:val="28"/>
          <w:szCs w:val="28"/>
          <w:lang w:val="uk-UA"/>
        </w:rPr>
      </w:pPr>
    </w:p>
    <w:p w14:paraId="72125CB6" w14:textId="77777777" w:rsidR="00687125" w:rsidRPr="006761DF" w:rsidRDefault="00687125">
      <w:pPr>
        <w:rPr>
          <w:rFonts w:ascii="Times New Roman" w:hAnsi="Times New Roman" w:cs="Times New Roman"/>
          <w:sz w:val="28"/>
          <w:szCs w:val="28"/>
          <w:lang w:val="uk-UA"/>
        </w:rPr>
      </w:pPr>
    </w:p>
    <w:p w14:paraId="5B6B7FA8" w14:textId="77777777" w:rsidR="00687125" w:rsidRPr="00687125" w:rsidRDefault="00687125" w:rsidP="00687125">
      <w:pPr>
        <w:spacing w:after="0" w:line="360" w:lineRule="auto"/>
        <w:jc w:val="center"/>
        <w:rPr>
          <w:rFonts w:ascii="Times New Roman" w:eastAsia="Calibri" w:hAnsi="Times New Roman" w:cs="Times New Roman"/>
          <w:b/>
          <w:bCs/>
          <w:sz w:val="28"/>
          <w:szCs w:val="28"/>
          <w:lang w:val="uk-UA"/>
        </w:rPr>
      </w:pPr>
      <w:r w:rsidRPr="00687125">
        <w:rPr>
          <w:rFonts w:ascii="Times New Roman" w:eastAsia="Calibri" w:hAnsi="Times New Roman" w:cs="Times New Roman"/>
          <w:b/>
          <w:bCs/>
          <w:sz w:val="28"/>
          <w:szCs w:val="28"/>
          <w:lang w:val="uk-UA"/>
        </w:rPr>
        <w:lastRenderedPageBreak/>
        <w:t>Розділ 2</w:t>
      </w:r>
    </w:p>
    <w:p w14:paraId="460D33D6" w14:textId="77777777" w:rsidR="00687125" w:rsidRPr="00687125" w:rsidRDefault="00687125" w:rsidP="00687125">
      <w:pPr>
        <w:spacing w:after="0" w:line="360" w:lineRule="auto"/>
        <w:jc w:val="center"/>
        <w:rPr>
          <w:rFonts w:ascii="Times New Roman" w:eastAsia="Calibri" w:hAnsi="Times New Roman" w:cs="Times New Roman"/>
          <w:b/>
          <w:bCs/>
          <w:sz w:val="28"/>
          <w:szCs w:val="28"/>
          <w:lang w:val="uk-UA"/>
        </w:rPr>
      </w:pPr>
      <w:r w:rsidRPr="00687125">
        <w:rPr>
          <w:rFonts w:ascii="Times New Roman" w:eastAsia="Calibri" w:hAnsi="Times New Roman" w:cs="Times New Roman"/>
          <w:b/>
          <w:bCs/>
          <w:sz w:val="28"/>
          <w:szCs w:val="28"/>
          <w:lang w:val="uk-UA"/>
        </w:rPr>
        <w:t>Технології переговорного процесу у врегулюванні політичних конфліктів</w:t>
      </w:r>
    </w:p>
    <w:p w14:paraId="038A707D" w14:textId="77777777" w:rsidR="00687125" w:rsidRPr="00687125" w:rsidRDefault="00687125" w:rsidP="00687125">
      <w:pPr>
        <w:spacing w:after="0" w:line="360" w:lineRule="auto"/>
        <w:jc w:val="center"/>
        <w:rPr>
          <w:rFonts w:ascii="Times New Roman" w:eastAsia="Calibri" w:hAnsi="Times New Roman" w:cs="Times New Roman"/>
          <w:b/>
          <w:bCs/>
          <w:sz w:val="28"/>
          <w:szCs w:val="28"/>
          <w:lang w:val="uk-UA"/>
        </w:rPr>
      </w:pPr>
    </w:p>
    <w:p w14:paraId="21DC1AE9" w14:textId="77777777" w:rsidR="00687125" w:rsidRPr="00687125" w:rsidRDefault="00687125" w:rsidP="00687125">
      <w:pPr>
        <w:spacing w:after="0" w:line="360" w:lineRule="auto"/>
        <w:ind w:firstLine="567"/>
        <w:jc w:val="both"/>
        <w:rPr>
          <w:rFonts w:ascii="Times New Roman" w:eastAsia="Calibri" w:hAnsi="Times New Roman" w:cs="Times New Roman"/>
          <w:b/>
          <w:bCs/>
          <w:sz w:val="28"/>
          <w:szCs w:val="28"/>
          <w:lang w:val="uk-UA"/>
        </w:rPr>
      </w:pPr>
      <w:r w:rsidRPr="00687125">
        <w:rPr>
          <w:rFonts w:ascii="Times New Roman" w:eastAsia="Calibri" w:hAnsi="Times New Roman" w:cs="Times New Roman"/>
          <w:b/>
          <w:bCs/>
          <w:sz w:val="28"/>
          <w:szCs w:val="28"/>
          <w:lang w:val="uk-UA"/>
        </w:rPr>
        <w:t>2.1. Поняття технологій переговорного процесу</w:t>
      </w:r>
    </w:p>
    <w:p w14:paraId="14011EE2"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p>
    <w:p w14:paraId="0A0A8D76"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У сучасній політичній науці переговори визнаються однією з найважливіших форм політичної комунікації, що виконує функції регулювання відносин між політичними суб'єктами, усунення суперечностей та досягнення компромісів у конфліктних ситуаціях. Переговорний процес є складним і багатоаспектним явищем, яке поєднує політичну волю, інституційні механізми, етичні стандарти та технологічно організовану комунікацію.</w:t>
      </w:r>
    </w:p>
    <w:p w14:paraId="51E194AC"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Технології переговорного процесу передбачають систему спеціально розроблених методик, інструментів і процедур, спрямованих на ефективне управління конфліктом, формування діалогу та досягнення домовленостей. Ці технології застосовуються як на міжособистісному, так і на міждержавному рівнях, включаючи офіційні дипломатичні практики, внутрішньополітичні перемовини, а також взаємодію в рамках міжнародних організацій.</w:t>
      </w:r>
    </w:p>
    <w:p w14:paraId="56117C26"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Згідно з аналізом В. Маркітантова та А. Найчука, переговори є процесуальним механізмом, який дає змогу учасникам не лише висловити свої позиції, а й досягти компромісів, що відповідають інтересам обох сторін. Автори наголошують, що переговори виконують багатофункціональну роль, зокрема інформаційно-комунікативну, регулятивну, пропагандистську, а також функції нормалізації відносин і координації дій</w:t>
      </w:r>
      <w:r w:rsidRPr="00687125">
        <w:rPr>
          <w:rFonts w:ascii="Times New Roman" w:eastAsia="MS Gothic" w:hAnsi="Times New Roman" w:cs="Times New Roman"/>
          <w:sz w:val="28"/>
          <w:szCs w:val="28"/>
          <w:lang w:val="uk-UA"/>
        </w:rPr>
        <w:t xml:space="preserve"> </w:t>
      </w:r>
      <w:r w:rsidRPr="00687125">
        <w:rPr>
          <w:rFonts w:ascii="Times New Roman" w:eastAsia="Calibri" w:hAnsi="Times New Roman" w:cs="Times New Roman"/>
          <w:sz w:val="28"/>
          <w:szCs w:val="28"/>
          <w:lang w:val="uk-UA"/>
        </w:rPr>
        <w:t>(Маркітанов&amp;Найчук, 2024).</w:t>
      </w:r>
    </w:p>
    <w:p w14:paraId="77D4ACB2"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Також варто навести тезу М. Добрової, що переговорний процес часто характеризується надмірною складністю та інституційною повільністю, що робить його важким для реалізації в умовах сучасної політики. Дослідники і практики вказують на те, що переговори не завжди встигають за темпом розвитку подій та трансформаційними зрушеннями, які відбуваються в суспільстві чи міжнародному середовищі. У результаті досягнуті домовленості можуть виявитися тимчасовими або навіть непридатними для довготривалого </w:t>
      </w:r>
      <w:r w:rsidRPr="00687125">
        <w:rPr>
          <w:rFonts w:ascii="Times New Roman" w:eastAsia="Calibri" w:hAnsi="Times New Roman" w:cs="Times New Roman"/>
          <w:sz w:val="28"/>
          <w:szCs w:val="28"/>
          <w:lang w:val="uk-UA"/>
        </w:rPr>
        <w:lastRenderedPageBreak/>
        <w:t>застосування. Особливої актуальності набуває аналіз того, як переговорні стратегії адаптуються до нових викликів, зокрема динаміки глобалізації, гібридних загроз, цифрового впливу та інформаційної нестабільності (Доброва).</w:t>
      </w:r>
    </w:p>
    <w:p w14:paraId="34F22246"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Цивілізований переговорний процес потребує високого рівня підготовки з боку його учасників, що включає розуміння динаміки конфлікту, вивчення інтересів сторін, опанування технік фасилітації, медіації та арбітражу. Т. Павловська   зазначає, що ефективність переговорів значною мірою залежить від атмосфери довіри, відкритості у висловлюваннях і готовності до взаємних поступок (Павловська, 2007).</w:t>
      </w:r>
    </w:p>
    <w:p w14:paraId="4819A9C7"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У структурі переговорної технології виділяють такі компоненти: підготовчий етап, розробка стратегії, безпосередня комунікація, прийняття рішень, фіксація домовленостей та моніторинг їх виконання (Див. табл.)</w:t>
      </w:r>
    </w:p>
    <w:p w14:paraId="1B9302AC"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p>
    <w:tbl>
      <w:tblPr>
        <w:tblStyle w:val="21"/>
        <w:tblW w:w="0" w:type="auto"/>
        <w:tblInd w:w="0" w:type="dxa"/>
        <w:tblLook w:val="04A0" w:firstRow="1" w:lastRow="0" w:firstColumn="1" w:lastColumn="0" w:noHBand="0" w:noVBand="1"/>
      </w:tblPr>
      <w:tblGrid>
        <w:gridCol w:w="3331"/>
        <w:gridCol w:w="6014"/>
      </w:tblGrid>
      <w:tr w:rsidR="00687125" w:rsidRPr="00687125" w14:paraId="35479B3E" w14:textId="77777777">
        <w:tc>
          <w:tcPr>
            <w:tcW w:w="3397" w:type="dxa"/>
            <w:tcBorders>
              <w:top w:val="single" w:sz="4" w:space="0" w:color="auto"/>
              <w:left w:val="single" w:sz="4" w:space="0" w:color="auto"/>
              <w:bottom w:val="single" w:sz="4" w:space="0" w:color="auto"/>
              <w:right w:val="single" w:sz="4" w:space="0" w:color="auto"/>
            </w:tcBorders>
          </w:tcPr>
          <w:p w14:paraId="71DA4FFB" w14:textId="77777777" w:rsidR="00687125" w:rsidRPr="00687125" w:rsidRDefault="00687125" w:rsidP="00687125">
            <w:pPr>
              <w:spacing w:line="360" w:lineRule="auto"/>
              <w:jc w:val="center"/>
              <w:rPr>
                <w:rFonts w:ascii="Times New Roman" w:hAnsi="Times New Roman"/>
                <w:b/>
                <w:bCs/>
              </w:rPr>
            </w:pPr>
            <w:r w:rsidRPr="00687125">
              <w:rPr>
                <w:rFonts w:ascii="Times New Roman" w:hAnsi="Times New Roman"/>
                <w:b/>
                <w:bCs/>
                <w:sz w:val="28"/>
                <w:szCs w:val="28"/>
              </w:rPr>
              <w:t>Етап переговорної технології</w:t>
            </w:r>
          </w:p>
          <w:p w14:paraId="5F3B45AB" w14:textId="77777777" w:rsidR="00687125" w:rsidRPr="00687125" w:rsidRDefault="00687125" w:rsidP="00687125">
            <w:pPr>
              <w:spacing w:line="360" w:lineRule="auto"/>
              <w:jc w:val="center"/>
              <w:rPr>
                <w:rFonts w:ascii="Times New Roman" w:hAnsi="Times New Roman"/>
              </w:rPr>
            </w:pPr>
          </w:p>
        </w:tc>
        <w:tc>
          <w:tcPr>
            <w:tcW w:w="6232" w:type="dxa"/>
            <w:tcBorders>
              <w:top w:val="single" w:sz="4" w:space="0" w:color="auto"/>
              <w:left w:val="single" w:sz="4" w:space="0" w:color="auto"/>
              <w:bottom w:val="single" w:sz="4" w:space="0" w:color="auto"/>
              <w:right w:val="single" w:sz="4" w:space="0" w:color="auto"/>
            </w:tcBorders>
            <w:hideMark/>
          </w:tcPr>
          <w:p w14:paraId="7FECAA20" w14:textId="77777777" w:rsidR="00687125" w:rsidRPr="00687125" w:rsidRDefault="00687125" w:rsidP="00687125">
            <w:pPr>
              <w:spacing w:line="360" w:lineRule="auto"/>
              <w:jc w:val="center"/>
              <w:rPr>
                <w:rFonts w:ascii="Times New Roman" w:hAnsi="Times New Roman"/>
                <w:sz w:val="28"/>
                <w:szCs w:val="28"/>
              </w:rPr>
            </w:pPr>
            <w:r w:rsidRPr="00687125">
              <w:rPr>
                <w:rFonts w:ascii="Times New Roman" w:hAnsi="Times New Roman"/>
                <w:b/>
                <w:bCs/>
                <w:sz w:val="28"/>
                <w:szCs w:val="28"/>
              </w:rPr>
              <w:t>Характеристика</w:t>
            </w:r>
          </w:p>
        </w:tc>
      </w:tr>
      <w:tr w:rsidR="00687125" w:rsidRPr="00687125" w14:paraId="480588D1" w14:textId="77777777">
        <w:tc>
          <w:tcPr>
            <w:tcW w:w="3397" w:type="dxa"/>
            <w:tcBorders>
              <w:top w:val="single" w:sz="4" w:space="0" w:color="auto"/>
              <w:left w:val="single" w:sz="4" w:space="0" w:color="auto"/>
              <w:bottom w:val="single" w:sz="4" w:space="0" w:color="auto"/>
              <w:right w:val="single" w:sz="4" w:space="0" w:color="auto"/>
            </w:tcBorders>
            <w:hideMark/>
          </w:tcPr>
          <w:p w14:paraId="171B58B1"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b/>
                <w:bCs/>
                <w:sz w:val="28"/>
                <w:szCs w:val="28"/>
              </w:rPr>
              <w:t>1. Підготовчий етап</w:t>
            </w:r>
          </w:p>
        </w:tc>
        <w:tc>
          <w:tcPr>
            <w:tcW w:w="6232" w:type="dxa"/>
            <w:tcBorders>
              <w:top w:val="single" w:sz="4" w:space="0" w:color="auto"/>
              <w:left w:val="single" w:sz="4" w:space="0" w:color="auto"/>
              <w:bottom w:val="single" w:sz="4" w:space="0" w:color="auto"/>
              <w:right w:val="single" w:sz="4" w:space="0" w:color="auto"/>
            </w:tcBorders>
            <w:hideMark/>
          </w:tcPr>
          <w:p w14:paraId="0F263680"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Аналіз проблеми, вивчення позицій сторін, формулювання цілей, підбір учасників та експертів, збір необхідної інформації.</w:t>
            </w:r>
          </w:p>
        </w:tc>
      </w:tr>
      <w:tr w:rsidR="00687125" w:rsidRPr="00687125" w14:paraId="427F0369" w14:textId="77777777">
        <w:tc>
          <w:tcPr>
            <w:tcW w:w="3397" w:type="dxa"/>
            <w:tcBorders>
              <w:top w:val="single" w:sz="4" w:space="0" w:color="auto"/>
              <w:left w:val="single" w:sz="4" w:space="0" w:color="auto"/>
              <w:bottom w:val="single" w:sz="4" w:space="0" w:color="auto"/>
              <w:right w:val="single" w:sz="4" w:space="0" w:color="auto"/>
            </w:tcBorders>
            <w:hideMark/>
          </w:tcPr>
          <w:p w14:paraId="175E9C3C"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b/>
                <w:bCs/>
                <w:sz w:val="28"/>
                <w:szCs w:val="28"/>
              </w:rPr>
              <w:t>2. Розробка стратегії</w:t>
            </w:r>
          </w:p>
        </w:tc>
        <w:tc>
          <w:tcPr>
            <w:tcW w:w="6232" w:type="dxa"/>
            <w:tcBorders>
              <w:top w:val="single" w:sz="4" w:space="0" w:color="auto"/>
              <w:left w:val="single" w:sz="4" w:space="0" w:color="auto"/>
              <w:bottom w:val="single" w:sz="4" w:space="0" w:color="auto"/>
              <w:right w:val="single" w:sz="4" w:space="0" w:color="auto"/>
            </w:tcBorders>
            <w:hideMark/>
          </w:tcPr>
          <w:p w14:paraId="239C6943"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Визначення підходів до ведення переговорів, вибір тактики, визначення пріоритетів та меж допустимих поступок.</w:t>
            </w:r>
          </w:p>
        </w:tc>
      </w:tr>
      <w:tr w:rsidR="00687125" w:rsidRPr="00687125" w14:paraId="1CCA39E3" w14:textId="77777777">
        <w:tc>
          <w:tcPr>
            <w:tcW w:w="3397" w:type="dxa"/>
            <w:tcBorders>
              <w:top w:val="single" w:sz="4" w:space="0" w:color="auto"/>
              <w:left w:val="single" w:sz="4" w:space="0" w:color="auto"/>
              <w:bottom w:val="single" w:sz="4" w:space="0" w:color="auto"/>
              <w:right w:val="single" w:sz="4" w:space="0" w:color="auto"/>
            </w:tcBorders>
            <w:hideMark/>
          </w:tcPr>
          <w:p w14:paraId="1DB2A558"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b/>
                <w:bCs/>
                <w:sz w:val="28"/>
                <w:szCs w:val="28"/>
              </w:rPr>
              <w:t>3. Безпосередня комунікація</w:t>
            </w:r>
          </w:p>
        </w:tc>
        <w:tc>
          <w:tcPr>
            <w:tcW w:w="6232" w:type="dxa"/>
            <w:tcBorders>
              <w:top w:val="single" w:sz="4" w:space="0" w:color="auto"/>
              <w:left w:val="single" w:sz="4" w:space="0" w:color="auto"/>
              <w:bottom w:val="single" w:sz="4" w:space="0" w:color="auto"/>
              <w:right w:val="single" w:sz="4" w:space="0" w:color="auto"/>
            </w:tcBorders>
            <w:hideMark/>
          </w:tcPr>
          <w:p w14:paraId="697DDE68"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Відкритий діалог сторін, презентація позицій, обговорення умов, пошук точок дотику та формування спільного простору розуміння.</w:t>
            </w:r>
          </w:p>
        </w:tc>
      </w:tr>
      <w:tr w:rsidR="00687125" w:rsidRPr="00687125" w14:paraId="495881D8" w14:textId="77777777">
        <w:tc>
          <w:tcPr>
            <w:tcW w:w="3397" w:type="dxa"/>
            <w:tcBorders>
              <w:top w:val="single" w:sz="4" w:space="0" w:color="auto"/>
              <w:left w:val="single" w:sz="4" w:space="0" w:color="auto"/>
              <w:bottom w:val="single" w:sz="4" w:space="0" w:color="auto"/>
              <w:right w:val="single" w:sz="4" w:space="0" w:color="auto"/>
            </w:tcBorders>
            <w:hideMark/>
          </w:tcPr>
          <w:p w14:paraId="151B87D8"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b/>
                <w:bCs/>
                <w:sz w:val="28"/>
                <w:szCs w:val="28"/>
              </w:rPr>
              <w:t>4. Прийняття рішень</w:t>
            </w:r>
          </w:p>
        </w:tc>
        <w:tc>
          <w:tcPr>
            <w:tcW w:w="6232" w:type="dxa"/>
            <w:tcBorders>
              <w:top w:val="single" w:sz="4" w:space="0" w:color="auto"/>
              <w:left w:val="single" w:sz="4" w:space="0" w:color="auto"/>
              <w:bottom w:val="single" w:sz="4" w:space="0" w:color="auto"/>
              <w:right w:val="single" w:sz="4" w:space="0" w:color="auto"/>
            </w:tcBorders>
            <w:hideMark/>
          </w:tcPr>
          <w:p w14:paraId="5C371CCB"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Узгодження варіантів рішень, розгляд компромісів, вироблення підсумкового формату домовленості.</w:t>
            </w:r>
          </w:p>
        </w:tc>
      </w:tr>
      <w:tr w:rsidR="00687125" w:rsidRPr="00687125" w14:paraId="4FF69F88" w14:textId="77777777">
        <w:tc>
          <w:tcPr>
            <w:tcW w:w="3397" w:type="dxa"/>
            <w:tcBorders>
              <w:top w:val="single" w:sz="4" w:space="0" w:color="auto"/>
              <w:left w:val="single" w:sz="4" w:space="0" w:color="auto"/>
              <w:bottom w:val="single" w:sz="4" w:space="0" w:color="auto"/>
              <w:right w:val="single" w:sz="4" w:space="0" w:color="auto"/>
            </w:tcBorders>
            <w:hideMark/>
          </w:tcPr>
          <w:p w14:paraId="637A1D19"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b/>
                <w:bCs/>
                <w:sz w:val="28"/>
                <w:szCs w:val="28"/>
              </w:rPr>
              <w:lastRenderedPageBreak/>
              <w:t>5. Фіксація домовленостей</w:t>
            </w:r>
          </w:p>
        </w:tc>
        <w:tc>
          <w:tcPr>
            <w:tcW w:w="6232" w:type="dxa"/>
            <w:tcBorders>
              <w:top w:val="single" w:sz="4" w:space="0" w:color="auto"/>
              <w:left w:val="single" w:sz="4" w:space="0" w:color="auto"/>
              <w:bottom w:val="single" w:sz="4" w:space="0" w:color="auto"/>
              <w:right w:val="single" w:sz="4" w:space="0" w:color="auto"/>
            </w:tcBorders>
            <w:hideMark/>
          </w:tcPr>
          <w:p w14:paraId="5EBB3BEB"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Офіційне оформлення результатів переговорів у вигляді угоди, декларації, меморандуму або іншого документа.</w:t>
            </w:r>
          </w:p>
        </w:tc>
      </w:tr>
      <w:tr w:rsidR="00687125" w:rsidRPr="00687125" w14:paraId="1144E16A" w14:textId="77777777">
        <w:tc>
          <w:tcPr>
            <w:tcW w:w="3397" w:type="dxa"/>
            <w:tcBorders>
              <w:top w:val="single" w:sz="4" w:space="0" w:color="auto"/>
              <w:left w:val="single" w:sz="4" w:space="0" w:color="auto"/>
              <w:bottom w:val="single" w:sz="4" w:space="0" w:color="auto"/>
              <w:right w:val="single" w:sz="4" w:space="0" w:color="auto"/>
            </w:tcBorders>
            <w:hideMark/>
          </w:tcPr>
          <w:p w14:paraId="4352F33B"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b/>
                <w:bCs/>
                <w:sz w:val="28"/>
                <w:szCs w:val="28"/>
              </w:rPr>
              <w:t>6. Моніторинг виконання</w:t>
            </w:r>
          </w:p>
        </w:tc>
        <w:tc>
          <w:tcPr>
            <w:tcW w:w="6232" w:type="dxa"/>
            <w:tcBorders>
              <w:top w:val="single" w:sz="4" w:space="0" w:color="auto"/>
              <w:left w:val="single" w:sz="4" w:space="0" w:color="auto"/>
              <w:bottom w:val="single" w:sz="4" w:space="0" w:color="auto"/>
              <w:right w:val="single" w:sz="4" w:space="0" w:color="auto"/>
            </w:tcBorders>
            <w:hideMark/>
          </w:tcPr>
          <w:p w14:paraId="6049FB91"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Відстеження дотримання досягнутих угод, контроль виконання зобов’язань, механізми реагування на можливі порушення.</w:t>
            </w:r>
          </w:p>
        </w:tc>
      </w:tr>
    </w:tbl>
    <w:p w14:paraId="1A885D07"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 </w:t>
      </w:r>
    </w:p>
    <w:p w14:paraId="7C658DE3"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Можна зазначити, що підготовчий етап є фундаментальним, оскільки на цьому етапі здійснюється глибокий аналіз конфліктної ситуації, ідентифікація інтересів сторін, збір релевантної інформації, формування цілей та вибір складу переговорної групи. Якість підготовки безпосередньо впливає на ефективність подальших етапів. Розробка стратегії передбачає визначення переговорного стилю, тактики взаємодії з опонентами та прогнозування їхньої поведінки. Стратегія також визначає допустимі межі поступок, ієрархію вимог і пріоритетів, що дозволяє уникати імпровізаційних рішень. Безпосередня комунікація являє собою ядро переговорного процесу, де відбувається презентація позицій, обмін аргументами, виявлення спільного та проблемного. Важливою умовою є дотримання комунікативної етики, уникнення маніпуляцій та емоційного тиску. Саме цей етап часто визначає, чи зможуть сторони досягти попереднього консенсусу. Прийняття рішень – етап, на якому сторони повинні перейти від обговорення до конкретизації рішень. Важливим є баланс між компромісами та збереженням базових інтересів сторін. Рішення можуть бути частковими, поетапними або комплексними. В свою чергу, фіксація домовленостей слугує формалізацією результатів перемовин. Документальне оформлення (угода, меморандум, декларація) забезпечує юридичну або політичну фіксацію зобов’язань, що знижує ймовірність подальших непорозумінь. Ну ,а моніторинг виконання – це  заключний, але не менш важливий етап, що дозволяє відстежувати реалізацію досягнутих домовленостей, своєчасно виявляти відхилення та вживати коригувальні дії. Наявність такого механізму сприяє підвищенню відповідальності сторін.</w:t>
      </w:r>
    </w:p>
    <w:p w14:paraId="5F012E15"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lastRenderedPageBreak/>
        <w:t>Тобто, переговори не лише   одноразовий акт домовленості, а   динамічна і поетапна технологія політичного управління конфліктом. Її реалізація потребує високого рівня професійної підготовки, інституційної підтримки та етичних стандартів взаємодії. І, в свою чергу, О. Майстренко підкреслює значення контролю сторін над перебігом переговорів, що дозволяє уникнути ескалації конфлікту та зберегти можливість для неформальних домовленостей (Майстренко, 2022).</w:t>
      </w:r>
    </w:p>
    <w:p w14:paraId="4B51B5C4"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Інституціональний вимір переговорного процесу проявляється у формалізації процедур та створенні спеціалізованих органів (наприклад, національних центрів примирення чи міжнародних платформ для діалогу). За Ю. Білeцькою , технології переговорів включають як традиційні механізми, так і інноваційні підходи, пов’язані з цифровою дипломатією, використанням онлайн-медіацій та симуляційних моделей (Білецька, 2014). Такі новітні інструменти суттєво змінюють характер переговорного процесу, розширюючи його просторово-часові межі та залучаючи нові форми комунікації. Цифрова дипломатія, зокрема, дозволяє державним та недержавним акторам оперативно реагувати на динаміку конфлікту, формувати публічні наративи через соціальні медіа, а також впливати на інформаційне поле протиборчих сторін. Онлайн-медіація забезпечує більш доступний формат врегулювання, особливо в умовах географічної роз’єднаності або загроз безпеці, що перешкоджають безпосередній зустрічі учасників.</w:t>
      </w:r>
    </w:p>
    <w:p w14:paraId="18B70DC0"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Симуляційні моделі, в свою чергу, відіграють важливу роль у прогнозуванні можливих сценаріїв розвитку переговорів, дозволяючи змоделювати реакції сторін на різні варіанти рішень, що сприяє прийняттю стратегічно зважених рішень та знижує ризик непередбачуваних наслідків. Крім того, використання таких моделей підвищує рівень підготовки переговірників, формує їхню адаптивність до мінливих умов та посилює аналітичну складову переговорного процесу.</w:t>
      </w:r>
    </w:p>
    <w:p w14:paraId="419747A8"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 Медіація і фасилітація як окремі технологічні підходи забезпечують нейтральність третьої сторони і підвищують ефективність комунікації в </w:t>
      </w:r>
      <w:r w:rsidRPr="00687125">
        <w:rPr>
          <w:rFonts w:ascii="Times New Roman" w:eastAsia="Calibri" w:hAnsi="Times New Roman" w:cs="Times New Roman"/>
          <w:sz w:val="28"/>
          <w:szCs w:val="28"/>
          <w:lang w:val="uk-UA"/>
        </w:rPr>
        <w:lastRenderedPageBreak/>
        <w:t xml:space="preserve">умовах високої емоційної напруги. Білецька зазначає, що медіатор відіграє важливу роль у зближенні позицій учасників і розробці компромісного рішення, а фасилітатор у забезпеченні процедурної чіткості і взаємної поваги в ході діалогу. </w:t>
      </w:r>
    </w:p>
    <w:p w14:paraId="63A4C7C1"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Загалом, поняття технологій переговорного процесу охоплює широкий арсенал методів, які дозволяють ефективно управляти політичними конфліктами, зберігати стабільність політичної системи та реалізовувати принципи демократичного врядування. Це не лише набір інструментів для комунікації між сторонами, а й цілісна система, що включає стратегічне планування, адаптивні моделі взаємодії, аналіз ризиків і управління наслідками. Застосування переговорних технологій сприяє не лише розв'язанню поточних суперечностей, а й формуванню стійких механізмів запобігання конфліктам у майбутньому.</w:t>
      </w:r>
    </w:p>
    <w:p w14:paraId="43901B25"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Крім того, переговорні технології виконують соціалізуючу функцію, сприяючи формуванню політичної культури діалогу, компромісу і відповідальності. Їхня ефективність особливо помітна в кризових або перехідних періодах, коли традиційні інститути політичного регулювання виявляються недостатніми. У таких умовах переговорний процес перетворюється на ключовий інструмент збереження цілісності політичного простору та легітимності влади.</w:t>
      </w:r>
    </w:p>
    <w:p w14:paraId="0A6E20BA"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Інтеграція інноваційних підходів, зокрема цифрових технологій, онлайн-платформ, симуляційних методів і гібридних моделей комунікації, свідчить про поступову трансформацію переговорного процесу відповідно до вимог сучасності. Таким чином, переговорні технології стають не просто інструментом примирення, а засобом стратегічного управління політичним розвитком у довгостроковій перспективі.</w:t>
      </w:r>
    </w:p>
    <w:p w14:paraId="3DEA4195"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 </w:t>
      </w:r>
    </w:p>
    <w:p w14:paraId="5EE2CBF1"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p>
    <w:p w14:paraId="3DB6BC16" w14:textId="77777777" w:rsidR="00687125" w:rsidRPr="00687125" w:rsidRDefault="00687125" w:rsidP="00687125">
      <w:pPr>
        <w:spacing w:after="0" w:line="360" w:lineRule="auto"/>
        <w:ind w:firstLine="567"/>
        <w:jc w:val="both"/>
        <w:rPr>
          <w:rFonts w:ascii="Times New Roman" w:eastAsia="Calibri" w:hAnsi="Times New Roman" w:cs="Times New Roman"/>
          <w:b/>
          <w:bCs/>
          <w:sz w:val="28"/>
          <w:szCs w:val="28"/>
          <w:lang w:val="uk-UA"/>
        </w:rPr>
      </w:pPr>
      <w:r w:rsidRPr="00687125">
        <w:rPr>
          <w:rFonts w:ascii="Times New Roman" w:eastAsia="Calibri" w:hAnsi="Times New Roman" w:cs="Times New Roman"/>
          <w:b/>
          <w:bCs/>
          <w:sz w:val="28"/>
          <w:szCs w:val="28"/>
          <w:lang w:val="uk-UA"/>
        </w:rPr>
        <w:t xml:space="preserve">2.2. Фасилітація і медіація як  технології врегулювання політичних конфліктів  </w:t>
      </w:r>
    </w:p>
    <w:p w14:paraId="265A622C" w14:textId="77777777" w:rsidR="00687125" w:rsidRPr="00687125" w:rsidRDefault="00687125" w:rsidP="00687125">
      <w:pPr>
        <w:spacing w:after="0" w:line="360" w:lineRule="auto"/>
        <w:ind w:firstLine="567"/>
        <w:jc w:val="both"/>
        <w:rPr>
          <w:rFonts w:ascii="Times New Roman" w:eastAsia="Calibri" w:hAnsi="Times New Roman" w:cs="Times New Roman"/>
          <w:b/>
          <w:bCs/>
          <w:sz w:val="28"/>
          <w:szCs w:val="28"/>
          <w:lang w:val="uk-UA"/>
        </w:rPr>
      </w:pPr>
    </w:p>
    <w:p w14:paraId="74750514"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У сучасній політичній практиці фасилітація та медіація розглядаються як одні з найбільш ефективних ненасильницьких технологій врегулювання політичних конфліктів, особливо в умовах ускладнення конфліктних структур, багаторівневості акторів та зростання ролі комунікативного чинника. На відміну від силових або суто інституційно-правових механізмів, ці технології орієнтовані на відновлення діалогу, зниження конфронтації та формування спільного бачення шляхів виходу з конфліктної ситуації. Їх застосування ґрунтується на принципах добровільності участі, нейтральності третьої сторони, конфіденційності та визнання автономії сторін у прийнятті рішень, що зумовлює їхню високу адаптивність до різних політичних контекстів </w:t>
      </w:r>
    </w:p>
    <w:p w14:paraId="4850BAF7"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ru-RU"/>
        </w:rPr>
      </w:pPr>
      <w:r w:rsidRPr="00687125">
        <w:rPr>
          <w:rFonts w:ascii="Times New Roman" w:eastAsia="Calibri" w:hAnsi="Times New Roman" w:cs="Times New Roman"/>
          <w:sz w:val="28"/>
          <w:szCs w:val="28"/>
          <w:lang w:val="uk-UA"/>
        </w:rPr>
        <w:t xml:space="preserve"> Фасилітація у політичних конфліктах виступає як технологія організації конструктивного комунікативного простору між конфліктуючими сторонами. Її основна мета полягає у створенні умов для продуктивного діалогу, структуруванні обговорення та забезпеченні рівної участі всіх зацікавлених акторів. </w:t>
      </w:r>
    </w:p>
    <w:p w14:paraId="5C216261"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ru-RU"/>
        </w:rPr>
      </w:pPr>
      <w:r w:rsidRPr="00687125">
        <w:rPr>
          <w:rFonts w:ascii="Times New Roman" w:eastAsia="Calibri" w:hAnsi="Times New Roman" w:cs="Times New Roman"/>
          <w:sz w:val="28"/>
          <w:szCs w:val="28"/>
          <w:lang w:val="ru-RU"/>
        </w:rPr>
        <w:t xml:space="preserve">М. Наварро вважає, що фасилітація є нейтральним процесом, який зосереджується на таких аспектах: </w:t>
      </w:r>
    </w:p>
    <w:p w14:paraId="07C81C7A"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ru-RU"/>
        </w:rPr>
      </w:pPr>
      <w:r w:rsidRPr="00687125">
        <w:rPr>
          <w:rFonts w:ascii="Times New Roman" w:eastAsia="Calibri" w:hAnsi="Times New Roman" w:cs="Times New Roman"/>
          <w:sz w:val="28"/>
          <w:szCs w:val="28"/>
          <w:lang w:val="uk-UA"/>
        </w:rPr>
        <w:t>«</w:t>
      </w:r>
      <w:r w:rsidRPr="00687125">
        <w:rPr>
          <w:rFonts w:ascii="Times New Roman" w:eastAsia="Calibri" w:hAnsi="Times New Roman" w:cs="Times New Roman"/>
          <w:sz w:val="28"/>
          <w:szCs w:val="28"/>
          <w:lang w:val="ru-RU"/>
        </w:rPr>
        <w:t xml:space="preserve">1) цілі, які необхідно реалізувати; </w:t>
      </w:r>
    </w:p>
    <w:p w14:paraId="22F923C1"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ru-RU"/>
        </w:rPr>
      </w:pPr>
      <w:r w:rsidRPr="00687125">
        <w:rPr>
          <w:rFonts w:ascii="Times New Roman" w:eastAsia="Calibri" w:hAnsi="Times New Roman" w:cs="Times New Roman"/>
          <w:sz w:val="28"/>
          <w:szCs w:val="28"/>
          <w:lang w:val="ru-RU"/>
        </w:rPr>
        <w:t>2) коло людей, які повинні бути включені у процес вирішення проблеми;</w:t>
      </w:r>
    </w:p>
    <w:p w14:paraId="4ADD55C4"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ru-RU"/>
        </w:rPr>
      </w:pPr>
      <w:r w:rsidRPr="00687125">
        <w:rPr>
          <w:rFonts w:ascii="Times New Roman" w:eastAsia="Calibri" w:hAnsi="Times New Roman" w:cs="Times New Roman"/>
          <w:sz w:val="28"/>
          <w:szCs w:val="28"/>
          <w:lang w:val="ru-RU"/>
        </w:rPr>
        <w:t xml:space="preserve">3) як повинен проходити процес, яка послідовність вирішення завдань; </w:t>
      </w:r>
    </w:p>
    <w:p w14:paraId="283011F4"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ru-RU"/>
        </w:rPr>
      </w:pPr>
      <w:r w:rsidRPr="00687125">
        <w:rPr>
          <w:rFonts w:ascii="Times New Roman" w:eastAsia="Calibri" w:hAnsi="Times New Roman" w:cs="Times New Roman"/>
          <w:sz w:val="28"/>
          <w:szCs w:val="28"/>
          <w:lang w:val="ru-RU"/>
        </w:rPr>
        <w:t xml:space="preserve">4) якою повинна бути модель спілкування, наскільки вона ефективна, якого результату повинна догти; </w:t>
      </w:r>
    </w:p>
    <w:p w14:paraId="572D77A2"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ru-RU"/>
        </w:rPr>
      </w:pPr>
      <w:r w:rsidRPr="00687125">
        <w:rPr>
          <w:rFonts w:ascii="Times New Roman" w:eastAsia="Calibri" w:hAnsi="Times New Roman" w:cs="Times New Roman"/>
          <w:sz w:val="28"/>
          <w:szCs w:val="28"/>
          <w:lang w:val="ru-RU"/>
        </w:rPr>
        <w:t xml:space="preserve">5) яким повинен бути рівень підготовки учасників та як повинні бути використані наявні ресурси; </w:t>
      </w:r>
    </w:p>
    <w:p w14:paraId="06537253"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ru-RU"/>
        </w:rPr>
      </w:pPr>
      <w:r w:rsidRPr="00687125">
        <w:rPr>
          <w:rFonts w:ascii="Times New Roman" w:eastAsia="Calibri" w:hAnsi="Times New Roman" w:cs="Times New Roman"/>
          <w:sz w:val="28"/>
          <w:szCs w:val="28"/>
          <w:lang w:val="ru-RU"/>
        </w:rPr>
        <w:t xml:space="preserve">6) як розподілити включеність учасників та їхній потенціал; </w:t>
      </w:r>
    </w:p>
    <w:p w14:paraId="4A557FEA"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ru-RU"/>
        </w:rPr>
        <w:t>7) як створити сприятливу робочу та психологічну атмосферу</w:t>
      </w:r>
      <w:r w:rsidRPr="00687125">
        <w:rPr>
          <w:rFonts w:ascii="Times New Roman" w:eastAsia="Calibri" w:hAnsi="Times New Roman" w:cs="Times New Roman"/>
          <w:sz w:val="28"/>
          <w:szCs w:val="28"/>
          <w:lang w:val="uk-UA"/>
        </w:rPr>
        <w:t>» (за Близнюкова).</w:t>
      </w:r>
    </w:p>
    <w:p w14:paraId="4D1922D4"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Фасилітатор не втручається у змістовну сторону переговорів і не пропонує готових рішень, зосереджуючись на процесі взаємодії, зниженні </w:t>
      </w:r>
      <w:r w:rsidRPr="00687125">
        <w:rPr>
          <w:rFonts w:ascii="Times New Roman" w:eastAsia="Calibri" w:hAnsi="Times New Roman" w:cs="Times New Roman"/>
          <w:sz w:val="28"/>
          <w:szCs w:val="28"/>
          <w:lang w:val="uk-UA"/>
        </w:rPr>
        <w:lastRenderedPageBreak/>
        <w:t>емоційної напруги та запобіганні блокуванню комунікації. О. Близнюкова констатує, що «…роль фасилітатора полягає у тому, щоб: 1) узгодити теми та питання, які потребують вирішення; 2) організувати відповідні умови для обговорення проблеми; 3) створити вільну, творчу атмосферу для обміну думками та прийняття рішення.</w:t>
      </w:r>
    </w:p>
    <w:p w14:paraId="5859EB4B"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Необхідною умовою є особиста обізнаність та здобуті навички процесуальної роботи фасилітатора. На практиці основне завдання фасилітатора – це відслідковувати тенденції, які виникають, і допомагати різним ролям проявитися в процесі взаємодії. Крім того, фасилітатор має розуміти рівень розвитку колективу, його структуру та тенденцію розвитку і водночас може усвідомити цей процес, що виникає у його взаємодії з колективом»  (О. Близнюкова)</w:t>
      </w:r>
    </w:p>
    <w:p w14:paraId="0CA472A4"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У політичному вимірі фасилітація широко застосовується під час міжпартійних консультацій, громадських слухань, процесів національного діалогу та постконфліктного примирення.</w:t>
      </w:r>
    </w:p>
    <w:p w14:paraId="1BCEC19E"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Прикладом успішного використання фасилітаційних практик у міжнародному контексті є процеси національного діалогу в Тунісі після подій «Арабської весни», де фасилітовані переговори за участю громадянського суспільства, профспілок і політичних партій дозволили знизити рівень політичної поляризації та закласти підвалини для інституційних реформ. У цьому випадку фасилітація виступила інструментом інклюзивного залучення різних соціально-політичних груп до процесу прийняття рішень, що сприяло стабілізації політичної ситуації.</w:t>
      </w:r>
    </w:p>
    <w:p w14:paraId="65E67B2D"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На думку, Д. Лікарчук «розглядаючи історію становлення медіації як ефективну технологію регулювання політичних конфліктів, можна дати наступне визначення: медіація – це ефективний метод регулювання політичних конфліктів з участю третьої (нейтральної) сторони, яка є зацікавленою лише в тому, щоб сторони вирішили свій конфлікт. У ході цієї процедури (медіації) сторони політичного конфлікту, що сперечаються, самостійно виробляють прийнятне для них рішення, а, відповідно, прагнутимуть виконувати його. </w:t>
      </w:r>
      <w:r w:rsidRPr="00687125">
        <w:rPr>
          <w:rFonts w:ascii="Times New Roman" w:eastAsia="Calibri" w:hAnsi="Times New Roman" w:cs="Times New Roman"/>
          <w:sz w:val="28"/>
          <w:szCs w:val="28"/>
          <w:lang w:val="uk-UA"/>
        </w:rPr>
        <w:lastRenderedPageBreak/>
        <w:t>Саме тому медіація посідає особливе місце серед форм вирішення конфліктів» (Лікарчук, 2021).</w:t>
      </w:r>
    </w:p>
    <w:p w14:paraId="561050B4"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 Медіація, на відміну від фасилітації, передбачає активнішу роль третьої сторони — медіатора, який сприяє безпосередньому врегулюванню конфлікту шляхом організації переговорного процесу, формулювання компромісних пропозицій і допомоги сторонам у досягненні взаємоприйнятної угоди. У політичних конфліктах медіація розглядається як структурований процес, що поєднує елементи дипломатії, переговорів і конфліктної трансформації. Медіатор не має владних повноважень нав’язувати рішення, однак його нейтральність, авторитет і довіра з боку сторін є критично важливими для успіху процесу.</w:t>
      </w:r>
    </w:p>
    <w:p w14:paraId="4AF4DDAF"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Основні цілі посередництва (медіації) щодо врегулювання політичного конфлікту полягають у наступному: </w:t>
      </w:r>
    </w:p>
    <w:p w14:paraId="2EE969AD"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 нейтралізувати негативні наслідки політичного конфлікту; </w:t>
      </w:r>
    </w:p>
    <w:p w14:paraId="4B87E94A"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 обговорити, зняти дисонанс між конфліктуючими сторонами, опрацювати складну ситуацію. У медіації пропонуються різні точки зору, часто з несумісними поглядами на події чи варіанти виходу зі скрутного становища; </w:t>
      </w:r>
    </w:p>
    <w:p w14:paraId="380D94C0"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 розробити план майбутніх дій (проєкт угоди), який учасники змогли б сприйняти за основу; </w:t>
      </w:r>
    </w:p>
    <w:p w14:paraId="7C104D8F"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 підготувати учасників до того, щоб вони повною мірою усвідомлювали наслідки своїх рішень; </w:t>
      </w:r>
    </w:p>
    <w:p w14:paraId="187C4F8D"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створити відповідну модель для вирішення політичного конфлікту у майбутньому» (Lande, 2000, p. 326).</w:t>
      </w:r>
    </w:p>
    <w:p w14:paraId="74049D93"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У міжнародній практиці медіація широко застосовується у врегулюванні міждержавних і внутрішньодержавних конфліктів. Класичним прикладом є роль Норвегії як посередника у мирному процесі між Ізраїлем та Організацією визволення Палестини, що завершився підписанням Ослоських угод. Хоча ці домовленості не призвели до остаточного врегулювання конфлікту, сам медіаційний процес продемонстрував потенціал неформального посередництва у створенні каналів комунікації між сторонами, які раніше </w:t>
      </w:r>
      <w:r w:rsidRPr="00687125">
        <w:rPr>
          <w:rFonts w:ascii="Times New Roman" w:eastAsia="Calibri" w:hAnsi="Times New Roman" w:cs="Times New Roman"/>
          <w:sz w:val="28"/>
          <w:szCs w:val="28"/>
          <w:lang w:val="uk-UA"/>
        </w:rPr>
        <w:lastRenderedPageBreak/>
        <w:t>перебували у стані жорсткої конфронтації. Подібні підходи застосовувалися також у мирних процесах у Північній Ірландії, де багаторівнева медіація за участю міжнародних посередників сприяла досягненню Белфастської угоди.</w:t>
      </w:r>
    </w:p>
    <w:p w14:paraId="701E09EF"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У сучасних міжнародних конфліктах дедалі більшого значення набуває багаторівнева медіація, що поєднує зусилля держав, міжнародних організацій і недержавних акторів. Наприклад, у врегулюванні конфліктів у країнах Африки активну роль відіграють ООН, Африканський Союз, регіональні організації та спеціальні представники, які здійснюють медіаційні місії з урахуванням локальних політичних і культурних особливостей. Такий підхід дозволяє підвищити легітимність посередницьких зусиль і врахувати інтереси ширшого кола акторів.</w:t>
      </w:r>
    </w:p>
    <w:p w14:paraId="4B7007A4"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Українська практика застосування медіації у політичних конфліктах набула особливої актуальності після 2014 р. в умовах збройного та гібридного протистояння. Хоча врегулювання російсько-українського конфлікту значною мірою здійснюється через дипломатичні та інституційні механізми, елементи медіації та фасилітації активно використовуються на рівні внутрішньополітичних і суспільних процесів. Зокрема, значну роль відіграють ініціативи громадянського суспільства, спрямовані на діалог між внутрішньо переміщеними особами, місцевими громадами та органами влади, а також на подолання соціальної напруги у прифронтових регіонах.</w:t>
      </w:r>
    </w:p>
    <w:p w14:paraId="23E1F51F"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Важливим прикладом української практики є діяльність платформ національного та регіонального діалогу, які використовують фасилітовані формати обговорень для залучення громадськості до процесів примирення та відновлення довіри. Такі ініціативи сприяють зниженню рівня соціальної поляризації, формуванню культури ненасильницького розв’язання конфліктів і підвищенню стійкості місцевих громад. Крім того, в Україні поступово інституціоналізується практика медіації як інструменту врегулювання суспільно-політичних конфліктів, зокрема через розвиток професійних спільнот медіаторів і відповідного законодавчого поля.</w:t>
      </w:r>
    </w:p>
    <w:p w14:paraId="2E85783C"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lastRenderedPageBreak/>
        <w:t>Разом із тим застосування фасилітації та медіації у політичних конфліктах має свої обмеження. В умовах високої асиметрії влади, відсутності базового рівня довіри або зовнішнього втручання ці технології можуть мати обмежений ефект і потребують поєднання з іншими інструментами врегулювання. У випадку України це означає необхідність синергії медіаційних практик із дипломатичними зусиллями, інституційними реформами та стратегічними комунікаціями.</w:t>
      </w:r>
    </w:p>
    <w:p w14:paraId="516264B2"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Для кращого розуміння окреслених технологій пропонуємо порівняти їх відповідно до досліджень (Див. табл) </w:t>
      </w:r>
    </w:p>
    <w:p w14:paraId="46BDE4C5"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p>
    <w:tbl>
      <w:tblPr>
        <w:tblStyle w:val="21"/>
        <w:tblW w:w="0" w:type="auto"/>
        <w:tblInd w:w="0" w:type="dxa"/>
        <w:tblLook w:val="04A0" w:firstRow="1" w:lastRow="0" w:firstColumn="1" w:lastColumn="0" w:noHBand="0" w:noVBand="1"/>
      </w:tblPr>
      <w:tblGrid>
        <w:gridCol w:w="2102"/>
        <w:gridCol w:w="3809"/>
        <w:gridCol w:w="3434"/>
      </w:tblGrid>
      <w:tr w:rsidR="00687125" w:rsidRPr="00687125" w14:paraId="278A9C8C" w14:textId="77777777">
        <w:tc>
          <w:tcPr>
            <w:tcW w:w="2122" w:type="dxa"/>
            <w:tcBorders>
              <w:top w:val="single" w:sz="4" w:space="0" w:color="auto"/>
              <w:left w:val="single" w:sz="4" w:space="0" w:color="auto"/>
              <w:bottom w:val="single" w:sz="4" w:space="0" w:color="auto"/>
              <w:right w:val="single" w:sz="4" w:space="0" w:color="auto"/>
            </w:tcBorders>
            <w:hideMark/>
          </w:tcPr>
          <w:p w14:paraId="7DFE26D0" w14:textId="77777777" w:rsidR="00687125" w:rsidRPr="00687125" w:rsidRDefault="00687125" w:rsidP="00687125">
            <w:pPr>
              <w:spacing w:line="360" w:lineRule="auto"/>
              <w:jc w:val="center"/>
              <w:rPr>
                <w:rFonts w:ascii="Times New Roman" w:hAnsi="Times New Roman"/>
                <w:sz w:val="28"/>
                <w:szCs w:val="28"/>
              </w:rPr>
            </w:pPr>
            <w:r w:rsidRPr="00687125">
              <w:rPr>
                <w:rFonts w:ascii="Times New Roman" w:hAnsi="Times New Roman"/>
                <w:b/>
                <w:bCs/>
                <w:sz w:val="28"/>
                <w:szCs w:val="28"/>
              </w:rPr>
              <w:t>Критерій порівняння</w:t>
            </w:r>
          </w:p>
        </w:tc>
        <w:tc>
          <w:tcPr>
            <w:tcW w:w="3969" w:type="dxa"/>
            <w:tcBorders>
              <w:top w:val="single" w:sz="4" w:space="0" w:color="auto"/>
              <w:left w:val="single" w:sz="4" w:space="0" w:color="auto"/>
              <w:bottom w:val="single" w:sz="4" w:space="0" w:color="auto"/>
              <w:right w:val="single" w:sz="4" w:space="0" w:color="auto"/>
            </w:tcBorders>
            <w:hideMark/>
          </w:tcPr>
          <w:p w14:paraId="1A24042F" w14:textId="77777777" w:rsidR="00687125" w:rsidRPr="00687125" w:rsidRDefault="00687125" w:rsidP="00687125">
            <w:pPr>
              <w:spacing w:line="360" w:lineRule="auto"/>
              <w:jc w:val="center"/>
              <w:rPr>
                <w:rFonts w:ascii="Times New Roman" w:hAnsi="Times New Roman"/>
                <w:sz w:val="28"/>
                <w:szCs w:val="28"/>
              </w:rPr>
            </w:pPr>
            <w:r w:rsidRPr="00687125">
              <w:rPr>
                <w:rFonts w:ascii="Times New Roman" w:hAnsi="Times New Roman"/>
                <w:b/>
                <w:bCs/>
                <w:sz w:val="28"/>
                <w:szCs w:val="28"/>
              </w:rPr>
              <w:t>Фасилітація</w:t>
            </w:r>
          </w:p>
        </w:tc>
        <w:tc>
          <w:tcPr>
            <w:tcW w:w="3538" w:type="dxa"/>
            <w:tcBorders>
              <w:top w:val="single" w:sz="4" w:space="0" w:color="auto"/>
              <w:left w:val="single" w:sz="4" w:space="0" w:color="auto"/>
              <w:bottom w:val="single" w:sz="4" w:space="0" w:color="auto"/>
              <w:right w:val="single" w:sz="4" w:space="0" w:color="auto"/>
            </w:tcBorders>
          </w:tcPr>
          <w:p w14:paraId="72C1340C" w14:textId="77777777" w:rsidR="00687125" w:rsidRPr="00687125" w:rsidRDefault="00687125" w:rsidP="00687125">
            <w:pPr>
              <w:spacing w:line="360" w:lineRule="auto"/>
              <w:jc w:val="center"/>
              <w:rPr>
                <w:rFonts w:ascii="Times New Roman" w:hAnsi="Times New Roman"/>
                <w:b/>
                <w:bCs/>
              </w:rPr>
            </w:pPr>
            <w:r w:rsidRPr="00687125">
              <w:rPr>
                <w:rFonts w:ascii="Times New Roman" w:hAnsi="Times New Roman"/>
                <w:b/>
                <w:bCs/>
                <w:sz w:val="28"/>
                <w:szCs w:val="28"/>
              </w:rPr>
              <w:t>Медіація</w:t>
            </w:r>
          </w:p>
          <w:p w14:paraId="78F69A4E" w14:textId="77777777" w:rsidR="00687125" w:rsidRPr="00687125" w:rsidRDefault="00687125" w:rsidP="00687125">
            <w:pPr>
              <w:spacing w:line="360" w:lineRule="auto"/>
              <w:jc w:val="center"/>
              <w:rPr>
                <w:rFonts w:ascii="Times New Roman" w:hAnsi="Times New Roman"/>
              </w:rPr>
            </w:pPr>
          </w:p>
        </w:tc>
      </w:tr>
      <w:tr w:rsidR="00687125" w:rsidRPr="00687125" w14:paraId="27318A0C" w14:textId="77777777">
        <w:tc>
          <w:tcPr>
            <w:tcW w:w="2122" w:type="dxa"/>
            <w:tcBorders>
              <w:top w:val="single" w:sz="4" w:space="0" w:color="auto"/>
              <w:left w:val="single" w:sz="4" w:space="0" w:color="auto"/>
              <w:bottom w:val="single" w:sz="4" w:space="0" w:color="auto"/>
              <w:right w:val="single" w:sz="4" w:space="0" w:color="auto"/>
            </w:tcBorders>
            <w:hideMark/>
          </w:tcPr>
          <w:p w14:paraId="0BA4643B"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b/>
                <w:bCs/>
                <w:sz w:val="28"/>
                <w:szCs w:val="28"/>
              </w:rPr>
              <w:t>Мета</w:t>
            </w:r>
          </w:p>
        </w:tc>
        <w:tc>
          <w:tcPr>
            <w:tcW w:w="3969" w:type="dxa"/>
            <w:tcBorders>
              <w:top w:val="single" w:sz="4" w:space="0" w:color="auto"/>
              <w:left w:val="single" w:sz="4" w:space="0" w:color="auto"/>
              <w:bottom w:val="single" w:sz="4" w:space="0" w:color="auto"/>
              <w:right w:val="single" w:sz="4" w:space="0" w:color="auto"/>
            </w:tcBorders>
            <w:hideMark/>
          </w:tcPr>
          <w:p w14:paraId="3CA5D5D8"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Підтримка ефективної групової взаємодії для досягнення спільного розуміння та рішень</w:t>
            </w:r>
          </w:p>
        </w:tc>
        <w:tc>
          <w:tcPr>
            <w:tcW w:w="3538" w:type="dxa"/>
            <w:tcBorders>
              <w:top w:val="single" w:sz="4" w:space="0" w:color="auto"/>
              <w:left w:val="single" w:sz="4" w:space="0" w:color="auto"/>
              <w:bottom w:val="single" w:sz="4" w:space="0" w:color="auto"/>
              <w:right w:val="single" w:sz="4" w:space="0" w:color="auto"/>
            </w:tcBorders>
            <w:hideMark/>
          </w:tcPr>
          <w:p w14:paraId="410991F7"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Врегулювання конфлікту за допомогою третьої нейтральної сторони</w:t>
            </w:r>
          </w:p>
        </w:tc>
      </w:tr>
      <w:tr w:rsidR="00687125" w:rsidRPr="00687125" w14:paraId="2B614A50" w14:textId="77777777">
        <w:tc>
          <w:tcPr>
            <w:tcW w:w="2122" w:type="dxa"/>
            <w:tcBorders>
              <w:top w:val="single" w:sz="4" w:space="0" w:color="auto"/>
              <w:left w:val="single" w:sz="4" w:space="0" w:color="auto"/>
              <w:bottom w:val="single" w:sz="4" w:space="0" w:color="auto"/>
              <w:right w:val="single" w:sz="4" w:space="0" w:color="auto"/>
            </w:tcBorders>
            <w:hideMark/>
          </w:tcPr>
          <w:p w14:paraId="3289B59E"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b/>
                <w:bCs/>
                <w:sz w:val="28"/>
                <w:szCs w:val="28"/>
              </w:rPr>
              <w:t>Роль посередника</w:t>
            </w:r>
          </w:p>
        </w:tc>
        <w:tc>
          <w:tcPr>
            <w:tcW w:w="3969" w:type="dxa"/>
            <w:tcBorders>
              <w:top w:val="single" w:sz="4" w:space="0" w:color="auto"/>
              <w:left w:val="single" w:sz="4" w:space="0" w:color="auto"/>
              <w:bottom w:val="single" w:sz="4" w:space="0" w:color="auto"/>
              <w:right w:val="single" w:sz="4" w:space="0" w:color="auto"/>
            </w:tcBorders>
            <w:hideMark/>
          </w:tcPr>
          <w:p w14:paraId="68093E45"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Фасилітатор створює умови для відкритого діалогу, не втручається у зміст дискусії</w:t>
            </w:r>
          </w:p>
        </w:tc>
        <w:tc>
          <w:tcPr>
            <w:tcW w:w="3538" w:type="dxa"/>
            <w:tcBorders>
              <w:top w:val="single" w:sz="4" w:space="0" w:color="auto"/>
              <w:left w:val="single" w:sz="4" w:space="0" w:color="auto"/>
              <w:bottom w:val="single" w:sz="4" w:space="0" w:color="auto"/>
              <w:right w:val="single" w:sz="4" w:space="0" w:color="auto"/>
            </w:tcBorders>
            <w:hideMark/>
          </w:tcPr>
          <w:p w14:paraId="45A6CF08"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Медіатор сприяє досягненню домовленостей, допомагає сторонам почути одне одного</w:t>
            </w:r>
          </w:p>
        </w:tc>
      </w:tr>
      <w:tr w:rsidR="00687125" w:rsidRPr="00687125" w14:paraId="1155D1AA" w14:textId="77777777">
        <w:tc>
          <w:tcPr>
            <w:tcW w:w="2122" w:type="dxa"/>
            <w:tcBorders>
              <w:top w:val="single" w:sz="4" w:space="0" w:color="auto"/>
              <w:left w:val="single" w:sz="4" w:space="0" w:color="auto"/>
              <w:bottom w:val="single" w:sz="4" w:space="0" w:color="auto"/>
              <w:right w:val="single" w:sz="4" w:space="0" w:color="auto"/>
            </w:tcBorders>
            <w:hideMark/>
          </w:tcPr>
          <w:p w14:paraId="4E6CA1D3"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b/>
                <w:bCs/>
                <w:sz w:val="28"/>
                <w:szCs w:val="28"/>
              </w:rPr>
              <w:t>Участь сторін</w:t>
            </w:r>
          </w:p>
        </w:tc>
        <w:tc>
          <w:tcPr>
            <w:tcW w:w="3969" w:type="dxa"/>
            <w:tcBorders>
              <w:top w:val="single" w:sz="4" w:space="0" w:color="auto"/>
              <w:left w:val="single" w:sz="4" w:space="0" w:color="auto"/>
              <w:bottom w:val="single" w:sz="4" w:space="0" w:color="auto"/>
              <w:right w:val="single" w:sz="4" w:space="0" w:color="auto"/>
            </w:tcBorders>
            <w:hideMark/>
          </w:tcPr>
          <w:p w14:paraId="3888EF6C"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Усі сторони рівноправно беруть участь у процесі</w:t>
            </w:r>
          </w:p>
        </w:tc>
        <w:tc>
          <w:tcPr>
            <w:tcW w:w="3538" w:type="dxa"/>
            <w:tcBorders>
              <w:top w:val="single" w:sz="4" w:space="0" w:color="auto"/>
              <w:left w:val="single" w:sz="4" w:space="0" w:color="auto"/>
              <w:bottom w:val="single" w:sz="4" w:space="0" w:color="auto"/>
              <w:right w:val="single" w:sz="4" w:space="0" w:color="auto"/>
            </w:tcBorders>
            <w:hideMark/>
          </w:tcPr>
          <w:p w14:paraId="7855DEEB"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Участь сторін конфлікту, часто за їхньою ініціативою або ініціативою третьої сторони</w:t>
            </w:r>
          </w:p>
        </w:tc>
      </w:tr>
      <w:tr w:rsidR="00687125" w:rsidRPr="00687125" w14:paraId="798E9509" w14:textId="77777777">
        <w:tc>
          <w:tcPr>
            <w:tcW w:w="2122" w:type="dxa"/>
            <w:tcBorders>
              <w:top w:val="single" w:sz="4" w:space="0" w:color="auto"/>
              <w:left w:val="single" w:sz="4" w:space="0" w:color="auto"/>
              <w:bottom w:val="single" w:sz="4" w:space="0" w:color="auto"/>
              <w:right w:val="single" w:sz="4" w:space="0" w:color="auto"/>
            </w:tcBorders>
            <w:hideMark/>
          </w:tcPr>
          <w:p w14:paraId="245916A4"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b/>
                <w:bCs/>
                <w:sz w:val="28"/>
                <w:szCs w:val="28"/>
              </w:rPr>
              <w:t>Методи та техніки</w:t>
            </w:r>
          </w:p>
        </w:tc>
        <w:tc>
          <w:tcPr>
            <w:tcW w:w="3969" w:type="dxa"/>
            <w:tcBorders>
              <w:top w:val="single" w:sz="4" w:space="0" w:color="auto"/>
              <w:left w:val="single" w:sz="4" w:space="0" w:color="auto"/>
              <w:bottom w:val="single" w:sz="4" w:space="0" w:color="auto"/>
              <w:right w:val="single" w:sz="4" w:space="0" w:color="auto"/>
            </w:tcBorders>
            <w:hideMark/>
          </w:tcPr>
          <w:p w14:paraId="08C647AE"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Інтерактивні методи, групові вправи, візуалізація, мозковий штурм</w:t>
            </w:r>
          </w:p>
        </w:tc>
        <w:tc>
          <w:tcPr>
            <w:tcW w:w="3538" w:type="dxa"/>
            <w:tcBorders>
              <w:top w:val="single" w:sz="4" w:space="0" w:color="auto"/>
              <w:left w:val="single" w:sz="4" w:space="0" w:color="auto"/>
              <w:bottom w:val="single" w:sz="4" w:space="0" w:color="auto"/>
              <w:right w:val="single" w:sz="4" w:space="0" w:color="auto"/>
            </w:tcBorders>
            <w:hideMark/>
          </w:tcPr>
          <w:p w14:paraId="39B8973B"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Структуровані переговори, активне слухання, техніки рефреймінгу</w:t>
            </w:r>
          </w:p>
        </w:tc>
      </w:tr>
      <w:tr w:rsidR="00687125" w:rsidRPr="00687125" w14:paraId="69B0B5DA" w14:textId="77777777">
        <w:tc>
          <w:tcPr>
            <w:tcW w:w="2122" w:type="dxa"/>
            <w:tcBorders>
              <w:top w:val="single" w:sz="4" w:space="0" w:color="auto"/>
              <w:left w:val="single" w:sz="4" w:space="0" w:color="auto"/>
              <w:bottom w:val="single" w:sz="4" w:space="0" w:color="auto"/>
              <w:right w:val="single" w:sz="4" w:space="0" w:color="auto"/>
            </w:tcBorders>
            <w:hideMark/>
          </w:tcPr>
          <w:p w14:paraId="6DF87BF8"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b/>
                <w:bCs/>
                <w:sz w:val="28"/>
                <w:szCs w:val="28"/>
              </w:rPr>
              <w:lastRenderedPageBreak/>
              <w:t>Результат</w:t>
            </w:r>
          </w:p>
        </w:tc>
        <w:tc>
          <w:tcPr>
            <w:tcW w:w="3969" w:type="dxa"/>
            <w:tcBorders>
              <w:top w:val="single" w:sz="4" w:space="0" w:color="auto"/>
              <w:left w:val="single" w:sz="4" w:space="0" w:color="auto"/>
              <w:bottom w:val="single" w:sz="4" w:space="0" w:color="auto"/>
              <w:right w:val="single" w:sz="4" w:space="0" w:color="auto"/>
            </w:tcBorders>
            <w:hideMark/>
          </w:tcPr>
          <w:p w14:paraId="70B8C31D"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Консенсус або узгоджений план дій</w:t>
            </w:r>
          </w:p>
        </w:tc>
        <w:tc>
          <w:tcPr>
            <w:tcW w:w="3538" w:type="dxa"/>
            <w:tcBorders>
              <w:top w:val="single" w:sz="4" w:space="0" w:color="auto"/>
              <w:left w:val="single" w:sz="4" w:space="0" w:color="auto"/>
              <w:bottom w:val="single" w:sz="4" w:space="0" w:color="auto"/>
              <w:right w:val="single" w:sz="4" w:space="0" w:color="auto"/>
            </w:tcBorders>
            <w:hideMark/>
          </w:tcPr>
          <w:p w14:paraId="7B2230A2"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Добровільна угода, яку сторони визнають і дотримуються</w:t>
            </w:r>
          </w:p>
        </w:tc>
      </w:tr>
      <w:tr w:rsidR="00687125" w:rsidRPr="00687125" w14:paraId="553F3D6D" w14:textId="77777777">
        <w:tc>
          <w:tcPr>
            <w:tcW w:w="2122" w:type="dxa"/>
            <w:tcBorders>
              <w:top w:val="single" w:sz="4" w:space="0" w:color="auto"/>
              <w:left w:val="single" w:sz="4" w:space="0" w:color="auto"/>
              <w:bottom w:val="single" w:sz="4" w:space="0" w:color="auto"/>
              <w:right w:val="single" w:sz="4" w:space="0" w:color="auto"/>
            </w:tcBorders>
            <w:hideMark/>
          </w:tcPr>
          <w:p w14:paraId="3B3D67E7"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b/>
                <w:bCs/>
                <w:sz w:val="28"/>
                <w:szCs w:val="28"/>
              </w:rPr>
              <w:t>Сфера застосування</w:t>
            </w:r>
          </w:p>
        </w:tc>
        <w:tc>
          <w:tcPr>
            <w:tcW w:w="3969" w:type="dxa"/>
            <w:tcBorders>
              <w:top w:val="single" w:sz="4" w:space="0" w:color="auto"/>
              <w:left w:val="single" w:sz="4" w:space="0" w:color="auto"/>
              <w:bottom w:val="single" w:sz="4" w:space="0" w:color="auto"/>
              <w:right w:val="single" w:sz="4" w:space="0" w:color="auto"/>
            </w:tcBorders>
            <w:hideMark/>
          </w:tcPr>
          <w:p w14:paraId="3DC7DE7D"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Стратегічне планування, громадські обговорення, освітні й бізнес-процеси</w:t>
            </w:r>
          </w:p>
        </w:tc>
        <w:tc>
          <w:tcPr>
            <w:tcW w:w="3538" w:type="dxa"/>
            <w:tcBorders>
              <w:top w:val="single" w:sz="4" w:space="0" w:color="auto"/>
              <w:left w:val="single" w:sz="4" w:space="0" w:color="auto"/>
              <w:bottom w:val="single" w:sz="4" w:space="0" w:color="auto"/>
              <w:right w:val="single" w:sz="4" w:space="0" w:color="auto"/>
            </w:tcBorders>
            <w:hideMark/>
          </w:tcPr>
          <w:p w14:paraId="37AF2585"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Політичні, соціальні, юридичні та міжнародні конфлікти</w:t>
            </w:r>
          </w:p>
        </w:tc>
      </w:tr>
      <w:tr w:rsidR="00687125" w:rsidRPr="00687125" w14:paraId="1BC6C435" w14:textId="77777777">
        <w:tc>
          <w:tcPr>
            <w:tcW w:w="2122" w:type="dxa"/>
            <w:tcBorders>
              <w:top w:val="single" w:sz="4" w:space="0" w:color="auto"/>
              <w:left w:val="single" w:sz="4" w:space="0" w:color="auto"/>
              <w:bottom w:val="single" w:sz="4" w:space="0" w:color="auto"/>
              <w:right w:val="single" w:sz="4" w:space="0" w:color="auto"/>
            </w:tcBorders>
            <w:hideMark/>
          </w:tcPr>
          <w:p w14:paraId="76245DD4"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b/>
                <w:bCs/>
                <w:sz w:val="28"/>
                <w:szCs w:val="28"/>
              </w:rPr>
              <w:t>Характер впливу</w:t>
            </w:r>
          </w:p>
        </w:tc>
        <w:tc>
          <w:tcPr>
            <w:tcW w:w="3969" w:type="dxa"/>
            <w:tcBorders>
              <w:top w:val="single" w:sz="4" w:space="0" w:color="auto"/>
              <w:left w:val="single" w:sz="4" w:space="0" w:color="auto"/>
              <w:bottom w:val="single" w:sz="4" w:space="0" w:color="auto"/>
              <w:right w:val="single" w:sz="4" w:space="0" w:color="auto"/>
            </w:tcBorders>
            <w:hideMark/>
          </w:tcPr>
          <w:p w14:paraId="6C30890C"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Підсилення внутрішнього потенціалу групи, сприяння самоорганізації</w:t>
            </w:r>
          </w:p>
        </w:tc>
        <w:tc>
          <w:tcPr>
            <w:tcW w:w="3538" w:type="dxa"/>
            <w:tcBorders>
              <w:top w:val="single" w:sz="4" w:space="0" w:color="auto"/>
              <w:left w:val="single" w:sz="4" w:space="0" w:color="auto"/>
              <w:bottom w:val="single" w:sz="4" w:space="0" w:color="auto"/>
              <w:right w:val="single" w:sz="4" w:space="0" w:color="auto"/>
            </w:tcBorders>
            <w:hideMark/>
          </w:tcPr>
          <w:p w14:paraId="1D067517"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Посередництво з метою зниження напруги та досягнення взаєморозуміння</w:t>
            </w:r>
          </w:p>
        </w:tc>
      </w:tr>
      <w:tr w:rsidR="00687125" w:rsidRPr="00687125" w14:paraId="1E0BFE3E" w14:textId="77777777">
        <w:tc>
          <w:tcPr>
            <w:tcW w:w="2122" w:type="dxa"/>
            <w:tcBorders>
              <w:top w:val="single" w:sz="4" w:space="0" w:color="auto"/>
              <w:left w:val="single" w:sz="4" w:space="0" w:color="auto"/>
              <w:bottom w:val="single" w:sz="4" w:space="0" w:color="auto"/>
              <w:right w:val="single" w:sz="4" w:space="0" w:color="auto"/>
            </w:tcBorders>
            <w:hideMark/>
          </w:tcPr>
          <w:p w14:paraId="3361D85B"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b/>
                <w:bCs/>
                <w:sz w:val="28"/>
                <w:szCs w:val="28"/>
              </w:rPr>
              <w:t>Принципи</w:t>
            </w:r>
          </w:p>
        </w:tc>
        <w:tc>
          <w:tcPr>
            <w:tcW w:w="3969" w:type="dxa"/>
            <w:tcBorders>
              <w:top w:val="single" w:sz="4" w:space="0" w:color="auto"/>
              <w:left w:val="single" w:sz="4" w:space="0" w:color="auto"/>
              <w:bottom w:val="single" w:sz="4" w:space="0" w:color="auto"/>
              <w:right w:val="single" w:sz="4" w:space="0" w:color="auto"/>
            </w:tcBorders>
            <w:hideMark/>
          </w:tcPr>
          <w:p w14:paraId="4BB5F040"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Добровільність, відкритість, нейтральність фасилітатора, довіра</w:t>
            </w:r>
          </w:p>
        </w:tc>
        <w:tc>
          <w:tcPr>
            <w:tcW w:w="3538" w:type="dxa"/>
            <w:tcBorders>
              <w:top w:val="single" w:sz="4" w:space="0" w:color="auto"/>
              <w:left w:val="single" w:sz="4" w:space="0" w:color="auto"/>
              <w:bottom w:val="single" w:sz="4" w:space="0" w:color="auto"/>
              <w:right w:val="single" w:sz="4" w:space="0" w:color="auto"/>
            </w:tcBorders>
            <w:hideMark/>
          </w:tcPr>
          <w:p w14:paraId="1DCEB53F"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Добровільність, конфіденційність, нейтральність медіатора</w:t>
            </w:r>
          </w:p>
        </w:tc>
      </w:tr>
      <w:tr w:rsidR="00687125" w:rsidRPr="00687125" w14:paraId="1C0A4922" w14:textId="77777777">
        <w:tc>
          <w:tcPr>
            <w:tcW w:w="2122" w:type="dxa"/>
            <w:tcBorders>
              <w:top w:val="single" w:sz="4" w:space="0" w:color="auto"/>
              <w:left w:val="single" w:sz="4" w:space="0" w:color="auto"/>
              <w:bottom w:val="single" w:sz="4" w:space="0" w:color="auto"/>
              <w:right w:val="single" w:sz="4" w:space="0" w:color="auto"/>
            </w:tcBorders>
            <w:hideMark/>
          </w:tcPr>
          <w:p w14:paraId="4D254785"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b/>
                <w:bCs/>
                <w:sz w:val="28"/>
                <w:szCs w:val="28"/>
              </w:rPr>
              <w:t>Переваги</w:t>
            </w:r>
          </w:p>
        </w:tc>
        <w:tc>
          <w:tcPr>
            <w:tcW w:w="3969" w:type="dxa"/>
            <w:tcBorders>
              <w:top w:val="single" w:sz="4" w:space="0" w:color="auto"/>
              <w:left w:val="single" w:sz="4" w:space="0" w:color="auto"/>
              <w:bottom w:val="single" w:sz="4" w:space="0" w:color="auto"/>
              <w:right w:val="single" w:sz="4" w:space="0" w:color="auto"/>
            </w:tcBorders>
            <w:hideMark/>
          </w:tcPr>
          <w:p w14:paraId="2A359F98"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Сприяє розвитку командної роботи, демократичного ухвалення рішень, підвищує залученість учасників</w:t>
            </w:r>
          </w:p>
        </w:tc>
        <w:tc>
          <w:tcPr>
            <w:tcW w:w="3538" w:type="dxa"/>
            <w:tcBorders>
              <w:top w:val="single" w:sz="4" w:space="0" w:color="auto"/>
              <w:left w:val="single" w:sz="4" w:space="0" w:color="auto"/>
              <w:bottom w:val="single" w:sz="4" w:space="0" w:color="auto"/>
              <w:right w:val="single" w:sz="4" w:space="0" w:color="auto"/>
            </w:tcBorders>
            <w:hideMark/>
          </w:tcPr>
          <w:p w14:paraId="663861BC"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Зменшує напруження, запобігає ескалації конфлікту, зберігає стосунки</w:t>
            </w:r>
          </w:p>
        </w:tc>
      </w:tr>
      <w:tr w:rsidR="00687125" w:rsidRPr="00687125" w14:paraId="75DB80CA" w14:textId="77777777">
        <w:tc>
          <w:tcPr>
            <w:tcW w:w="2122" w:type="dxa"/>
            <w:tcBorders>
              <w:top w:val="single" w:sz="4" w:space="0" w:color="auto"/>
              <w:left w:val="single" w:sz="4" w:space="0" w:color="auto"/>
              <w:bottom w:val="single" w:sz="4" w:space="0" w:color="auto"/>
              <w:right w:val="single" w:sz="4" w:space="0" w:color="auto"/>
            </w:tcBorders>
            <w:hideMark/>
          </w:tcPr>
          <w:p w14:paraId="51A45D0A"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b/>
                <w:bCs/>
                <w:sz w:val="28"/>
                <w:szCs w:val="28"/>
              </w:rPr>
              <w:t>Обмеження</w:t>
            </w:r>
          </w:p>
        </w:tc>
        <w:tc>
          <w:tcPr>
            <w:tcW w:w="3969" w:type="dxa"/>
            <w:tcBorders>
              <w:top w:val="single" w:sz="4" w:space="0" w:color="auto"/>
              <w:left w:val="single" w:sz="4" w:space="0" w:color="auto"/>
              <w:bottom w:val="single" w:sz="4" w:space="0" w:color="auto"/>
              <w:right w:val="single" w:sz="4" w:space="0" w:color="auto"/>
            </w:tcBorders>
            <w:hideMark/>
          </w:tcPr>
          <w:p w14:paraId="2992319C"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Неефективна при гострих конфліктах або відсутності діалогу</w:t>
            </w:r>
          </w:p>
        </w:tc>
        <w:tc>
          <w:tcPr>
            <w:tcW w:w="3538" w:type="dxa"/>
            <w:tcBorders>
              <w:top w:val="single" w:sz="4" w:space="0" w:color="auto"/>
              <w:left w:val="single" w:sz="4" w:space="0" w:color="auto"/>
              <w:bottom w:val="single" w:sz="4" w:space="0" w:color="auto"/>
              <w:right w:val="single" w:sz="4" w:space="0" w:color="auto"/>
            </w:tcBorders>
            <w:hideMark/>
          </w:tcPr>
          <w:p w14:paraId="6885F381" w14:textId="77777777" w:rsidR="00687125" w:rsidRPr="00687125" w:rsidRDefault="00687125" w:rsidP="00687125">
            <w:pPr>
              <w:spacing w:line="360" w:lineRule="auto"/>
              <w:jc w:val="both"/>
              <w:rPr>
                <w:rFonts w:ascii="Times New Roman" w:hAnsi="Times New Roman"/>
                <w:sz w:val="28"/>
                <w:szCs w:val="28"/>
              </w:rPr>
            </w:pPr>
            <w:r w:rsidRPr="00687125">
              <w:rPr>
                <w:rFonts w:ascii="Times New Roman" w:hAnsi="Times New Roman"/>
                <w:sz w:val="28"/>
                <w:szCs w:val="28"/>
              </w:rPr>
              <w:t>Потребує добровільної участі та відкритості сторін; не гарантує обов’язковості виконання досягнутих домовленостей</w:t>
            </w:r>
          </w:p>
        </w:tc>
      </w:tr>
    </w:tbl>
    <w:p w14:paraId="00E8B8ED"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 </w:t>
      </w:r>
    </w:p>
    <w:p w14:paraId="7B0B132B"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Порівняльний аналіз фасилітації та медіації як інструментів регулювання політичних і соціальних конфліктів демонструє суттєві відмінності у цілях, підходах, механізмах і очікуваних результатах цих технологій. Обидва підходи базуються на принципах добровільності, нейтральності та конструктивної взаємодії, однак мають різне функціональне спрямування.</w:t>
      </w:r>
    </w:p>
    <w:p w14:paraId="72EB45DD"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Фасилітація зосереджується переважно на забезпеченні ефективної групової комунікації, сприяє формуванню колективного бачення проблеми та </w:t>
      </w:r>
      <w:r w:rsidRPr="00687125">
        <w:rPr>
          <w:rFonts w:ascii="Times New Roman" w:eastAsia="Calibri" w:hAnsi="Times New Roman" w:cs="Times New Roman"/>
          <w:sz w:val="28"/>
          <w:szCs w:val="28"/>
          <w:lang w:val="uk-UA"/>
        </w:rPr>
        <w:lastRenderedPageBreak/>
        <w:t>пошуку спільного рішення. Вона найчастіше використовується у сфері стратегічного планування, освітніх ініціатив, громадських обговорень, де акцент робиться на залученні широкого кола учасників до процесу спільного мислення та прийняття рішень. Роль фасилітатора полягає в організації відкритого діалогу, підтримці конструктивного клімату, але без втручання у зміст дискусій.</w:t>
      </w:r>
    </w:p>
    <w:p w14:paraId="46E43495"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Натомість медіація має яскраво виражене конфліктологічне спрямування. Вона використовується переважно в умовах наявного конфлікту, з метою його деескалації та врегулювання. Медіатор виконує роль нейтрального посередника, який допомагає сторонам досягти взаємоприйнятного рішення шляхом структурованого діалогу. Медіація ефективна у випадках, коли пряме спілкування між сторонами є утрудненим або потенційно загрозливим.</w:t>
      </w:r>
    </w:p>
    <w:p w14:paraId="3BC2175D"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У структурному плані фасилітація передбачає ширший спектр участі та самореалізації всіх учасників процесу, тоді як медіація більше орієнтована на результат — досягнення конкретної угоди між сторонами конфлікту. Водночас обидві технології можуть взаємно доповнювати одна одну: фасилітація часто використовується на ранніх етапах для створення довіри, тоді як медіація — на фазі конкретного врегулювання суперечностей.</w:t>
      </w:r>
    </w:p>
    <w:p w14:paraId="20071F75"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Отже, вибір між фасилітацією та медіацією залежить від характеру проблеми, стадії конфлікту, рівня ескалації та готовності сторін до співпраці. Ефективне поєднання цих підходів може значно підвищити якість та сталість політичного діалогу в демократичних суспільствах.</w:t>
      </w:r>
    </w:p>
    <w:p w14:paraId="4C4E88B8"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Таким чином, фасилітація і медіація постають як  технології врегулювання політичних конфліктів, що довели свою ефективність у міжнародній та українській практиці. Їх значення полягає не лише у сприянні деескалації конкретних конфліктів, а й у формуванні довготривалих механізмів діалогу, довіри та співпраці. Саме тому фасилітаційні та медіаційні підходи розглядаються як невід’ємні складові сучасних стратегій управління політичними конфліктами, які доповнюють переговорні та інституційно-правові технології врегулювання</w:t>
      </w:r>
    </w:p>
    <w:p w14:paraId="7BDFE40A"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p>
    <w:p w14:paraId="573C54BC" w14:textId="77777777" w:rsidR="00687125" w:rsidRPr="00687125" w:rsidRDefault="00687125" w:rsidP="00687125">
      <w:pPr>
        <w:spacing w:after="0" w:line="360" w:lineRule="auto"/>
        <w:ind w:firstLine="567"/>
        <w:jc w:val="both"/>
        <w:rPr>
          <w:rFonts w:ascii="Times New Roman" w:eastAsia="Calibri" w:hAnsi="Times New Roman" w:cs="Times New Roman"/>
          <w:b/>
          <w:bCs/>
          <w:sz w:val="28"/>
          <w:szCs w:val="28"/>
          <w:lang w:val="uk-UA"/>
        </w:rPr>
      </w:pPr>
      <w:r w:rsidRPr="00687125">
        <w:rPr>
          <w:rFonts w:ascii="Times New Roman" w:eastAsia="Calibri" w:hAnsi="Times New Roman" w:cs="Times New Roman"/>
          <w:b/>
          <w:bCs/>
          <w:sz w:val="28"/>
          <w:szCs w:val="28"/>
          <w:lang w:val="uk-UA"/>
        </w:rPr>
        <w:t>2.3. Технології багаторівневих переговорів у міжнародних політичних конфліктах</w:t>
      </w:r>
    </w:p>
    <w:p w14:paraId="408B88F0" w14:textId="77777777" w:rsidR="00687125" w:rsidRPr="00687125" w:rsidRDefault="00687125" w:rsidP="00687125">
      <w:pPr>
        <w:spacing w:after="0" w:line="360" w:lineRule="auto"/>
        <w:ind w:firstLine="567"/>
        <w:jc w:val="both"/>
        <w:rPr>
          <w:rFonts w:ascii="Times New Roman" w:eastAsia="Calibri" w:hAnsi="Times New Roman" w:cs="Times New Roman"/>
          <w:b/>
          <w:bCs/>
          <w:sz w:val="28"/>
          <w:szCs w:val="28"/>
          <w:lang w:val="uk-UA"/>
        </w:rPr>
      </w:pPr>
    </w:p>
    <w:p w14:paraId="44113475"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У сучасній системі міжнародних відносин політичні конфлікти дедалі частіше набувають складного, багатовимірного характеру. На думку О. Виговської, «у зв’язку з новою інформаційною парадигмою сучасна концепція міжнародних переговорів потребує серйозного перегляду старих схем та правил і має спиратися на новітні інформаційні технології і соціокультурні пріоритети» (Виговська, 2023).</w:t>
      </w:r>
    </w:p>
    <w:p w14:paraId="63163B1A"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У контексті сучасних підходів до врегулювання міжнародних політичних конфліктів, особливе значення набувають концепції, розроблені західними дослідниками, що формують теоретичне підґрунтя технологій багаторівневих переговорів. Зокрема, Вільям Зартман одним із перших систематизував умови, за яких переговори можуть бути успішними, розробивши концепцію </w:t>
      </w:r>
      <w:r w:rsidRPr="00687125">
        <w:rPr>
          <w:rFonts w:ascii="Times New Roman" w:eastAsia="Calibri" w:hAnsi="Times New Roman" w:cs="Times New Roman"/>
          <w:i/>
          <w:iCs/>
          <w:sz w:val="28"/>
          <w:szCs w:val="28"/>
          <w:lang w:val="uk-UA"/>
        </w:rPr>
        <w:t>ripeness theory</w:t>
      </w:r>
      <w:r w:rsidRPr="00687125">
        <w:rPr>
          <w:rFonts w:ascii="Times New Roman" w:eastAsia="Calibri" w:hAnsi="Times New Roman" w:cs="Times New Roman"/>
          <w:sz w:val="28"/>
          <w:szCs w:val="28"/>
          <w:lang w:val="uk-UA"/>
        </w:rPr>
        <w:t>. Він стверджує, що конфлікт стає готовим до врегулювання лише тоді, коли сторони досягають так званої «болючої рівноваги», що супроводжується втратою віри у перемогу та усвідомленням витрат продовження конфронтації. У такому контексті переговори мають найбільший потенціал ефективності, особливо якщо поєднувати офіційну дипломатію (Track I) з неофіційною (Track II) (Zartman, 2000).</w:t>
      </w:r>
    </w:p>
    <w:p w14:paraId="66E6430A"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Концепція </w:t>
      </w:r>
      <w:r w:rsidRPr="00687125">
        <w:rPr>
          <w:rFonts w:ascii="Times New Roman" w:eastAsia="Calibri" w:hAnsi="Times New Roman" w:cs="Times New Roman"/>
          <w:i/>
          <w:iCs/>
          <w:sz w:val="28"/>
          <w:szCs w:val="28"/>
          <w:lang w:val="uk-UA"/>
        </w:rPr>
        <w:t>м’якої сили</w:t>
      </w:r>
      <w:r w:rsidRPr="00687125">
        <w:rPr>
          <w:rFonts w:ascii="Times New Roman" w:eastAsia="Calibri" w:hAnsi="Times New Roman" w:cs="Times New Roman"/>
          <w:sz w:val="28"/>
          <w:szCs w:val="28"/>
          <w:lang w:val="uk-UA"/>
        </w:rPr>
        <w:t xml:space="preserve"> Джозефа Ная доповнює цю модель, висвітлюючи роль привабливості культури, політичних цінностей та зовнішньої політики як альтернативи жорсткому примусу. Згідно з його підходом, ефективне впливове лідерство у глобальному середовищі не ґрунтується лише на примусі чи винагороді, а значною мірою залежить від здатності викликати довіру та бажання наслідувати. Це створює основи для Track II–III переговорів, де ключову роль відіграють неурядові суб’єкти, культурна дипломатія та інформаційні стратегії (Nye, 2004).</w:t>
      </w:r>
    </w:p>
    <w:p w14:paraId="2AA6B45F"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lastRenderedPageBreak/>
        <w:t xml:space="preserve">Гарольд Сондерс, розвиваючи концепт </w:t>
      </w:r>
      <w:r w:rsidRPr="00687125">
        <w:rPr>
          <w:rFonts w:ascii="Times New Roman" w:eastAsia="Calibri" w:hAnsi="Times New Roman" w:cs="Times New Roman"/>
          <w:i/>
          <w:iCs/>
          <w:sz w:val="28"/>
          <w:szCs w:val="28"/>
          <w:lang w:val="uk-UA"/>
        </w:rPr>
        <w:t>Sustained Dialogue</w:t>
      </w:r>
      <w:r w:rsidRPr="00687125">
        <w:rPr>
          <w:rFonts w:ascii="Times New Roman" w:eastAsia="Calibri" w:hAnsi="Times New Roman" w:cs="Times New Roman"/>
          <w:sz w:val="28"/>
          <w:szCs w:val="28"/>
          <w:lang w:val="uk-UA"/>
        </w:rPr>
        <w:t>, зробив значний внесок у теорію неофіційної дипломатії. Його підхід передбачає створення постійних міжособистісних комунікацій, які з часом формують довіру, трансформують уявлення про конфлікт і поступово змінюють позиції сторін. Особливу увагу він приділяє Track II як простору для неформального діалогу, де сторони можуть без офіційного тиску вивчати нові шляхи досягнення згоди (Saunders, 1999).</w:t>
      </w:r>
    </w:p>
    <w:p w14:paraId="58625CE7"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П. Джонс у своїх дослідженнях зосереджується на так званій </w:t>
      </w:r>
      <w:r w:rsidRPr="00687125">
        <w:rPr>
          <w:rFonts w:ascii="Times New Roman" w:eastAsia="Calibri" w:hAnsi="Times New Roman" w:cs="Times New Roman"/>
          <w:i/>
          <w:iCs/>
          <w:sz w:val="28"/>
          <w:szCs w:val="28"/>
          <w:lang w:val="uk-UA"/>
        </w:rPr>
        <w:t>track 1.5 diplomacy</w:t>
      </w:r>
      <w:r w:rsidRPr="00687125">
        <w:rPr>
          <w:rFonts w:ascii="Times New Roman" w:eastAsia="Calibri" w:hAnsi="Times New Roman" w:cs="Times New Roman"/>
          <w:sz w:val="28"/>
          <w:szCs w:val="28"/>
          <w:lang w:val="uk-UA"/>
        </w:rPr>
        <w:t xml:space="preserve"> проміжному форматі переговорів, який поєднує елементи офіційної та неофіційної комунікації. Він наголошує на важливості конфіденційності в чутливих діалогах між ворожими сторонами, особливо у регіонах, де офіційні канали заблоковані, як, наприклад, на Близькому Сході. Його модель дозволяє вести паралельні переговори, які можуть готувати ґрунт для публічного компромісу (Jones, 2015).</w:t>
      </w:r>
    </w:p>
    <w:p w14:paraId="5092F331"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Узагальнюючи, підходи зазначених авторів не лише підкріплюють концепцію багаторівневості переговорного процесу, а й демонструють, що ефективність врегулювання сучасних політичних конфліктів значною мірою залежить від здатності поєднувати різні канали комунікації, адаптуючи їх до конкретного контексту та рівня розвитку конфлікту.</w:t>
      </w:r>
    </w:p>
    <w:p w14:paraId="30888082"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На відміну від класичних міждержавних переговорів, у яких ключовими суб’єктами виступають уряди та офіційні дипломатичні представництва, багаторівневі переговори передбачають залучення широкого кола акторів — міжнародних організацій, регіональних структур, недержавних організацій, експертних спільнот, громадянського суспільства та неформальних посередників. «Перемовини можна розглядати як науку та мистецтво досягнення згоди у процесі комунікації. Теорія міжнародних переговорів як наука має дати відповідь на такі питання: </w:t>
      </w:r>
    </w:p>
    <w:p w14:paraId="7FB6CFAB"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1) як правильно інтерпретувати позицію партнерів по переговорах, що належать до різних культур, у конфліктній ситуації? </w:t>
      </w:r>
    </w:p>
    <w:p w14:paraId="2349C829"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2) як домогтися того, щоб іноземні партнери зрозуміли вас правильно? </w:t>
      </w:r>
    </w:p>
    <w:p w14:paraId="60909C3E"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lastRenderedPageBreak/>
        <w:t>3) яким чином дійти згоди, якщо жодна зі сторін не бажає поступитися своїми інтересами?» ( Виговська, 2023)</w:t>
      </w:r>
    </w:p>
    <w:p w14:paraId="26C6DE14"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Такий підхід дозволяє враховувати різноманіття інтересів, асиметрію ресурсів і складну природу сучасних політичних конфліктів, що виходять за межі суто міждержавного протистояння.</w:t>
      </w:r>
    </w:p>
    <w:p w14:paraId="364259CB"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Теоретично багаторівневі переговори спираються на концепції багаторівневого врядування, трекової дипломатії та комплексної трансформації конфлікту. У межах цих підходів переговорний процес розглядається як система взаємопов’язаних рівнів, кожен з яких виконує специфічну функцію у врегулюванні конфлікту. Найпоширенішою є класифікація переговорних рівнів за моделлю «Track I – Track II – Track III», де перший рівень охоплює офіційні міждержавні переговори, другий — неофіційні контакти між політичними елітами, експертами та колишніми посадовцями, а третій — взаємодію на рівні громадянського суспільства та локальних спільнот. Узгоджена взаємодія цих рівнів підвищує стійкість переговорного процесу та знижує ризики його зриву.</w:t>
      </w:r>
    </w:p>
    <w:p w14:paraId="2A7B80E3"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Переговори рівня Track I залишаються центральним елементом врегулювання міжнародних політичних конфліктів, оскільки саме на цьому рівні ухвалюються юридично зобов’язуючі рішення, укладаються міжнародні угоди та формуються інституційні рамки миру. Водночас ефективність офіційної дипломатії значною мірою залежить від підтримки з боку інших переговорних рівнів, які створюють сприятливе політичне та суспільне середовище для досягнення домовленостей. У цьому контексті багаторівневі переговори дозволяють компенсувати жорсткість формальних позицій держав за рахунок гнучкіших і менш публічних форматів комунікації.</w:t>
      </w:r>
    </w:p>
    <w:p w14:paraId="5F0C4A85"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Переговори рівня Track II виконують функцію «дипломатії другого плану», створюючи простір для неформального обговорення чутливих питань, які складно винести на офіційний рівень. До таких переговорів залучаються експерти, науковці, представники аналітичних центрів, колишні дипломати та політичні лідери, які мають доступ до ухвалення рішень, але не обмежені </w:t>
      </w:r>
      <w:r w:rsidRPr="00687125">
        <w:rPr>
          <w:rFonts w:ascii="Times New Roman" w:eastAsia="Calibri" w:hAnsi="Times New Roman" w:cs="Times New Roman"/>
          <w:sz w:val="28"/>
          <w:szCs w:val="28"/>
          <w:lang w:val="uk-UA"/>
        </w:rPr>
        <w:lastRenderedPageBreak/>
        <w:t>жорсткими рамками офіційного мандату. Цей рівень дозволяє тестувати компромісні ідеї, формувати довіру між сторонами та напрацьовувати альтернативні сценарії врегулювання конфлікту. У багатьох міжнародних конфліктах саме напрацювання Track II згодом інтегруються в офіційний переговорний процес.</w:t>
      </w:r>
    </w:p>
    <w:p w14:paraId="7593CA26"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Особливе значення у багаторівневих переговорних технологіях має рівень Track III, що охоплює громадянське суспільство, місцеві громади, неурядові організації та ініціативи «народної дипломатії». Цей рівень орієнтований на роботу з соціальними наслідками конфлікту, подолання ворожих стереотипів, відновлення горизонтальних зв’язків і формування культури миру. Хоча результати переговорів Track III не мають прямого політико-правового статусу, вони створюють соціальну базу для реалізації політичних домовленостей і знижують ризик повернення до конфронтації.</w:t>
      </w:r>
    </w:p>
    <w:p w14:paraId="41BEFAFB"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p>
    <w:p w14:paraId="56AF4DAB" w14:textId="77777777" w:rsidR="00687125" w:rsidRPr="00687125" w:rsidRDefault="00687125" w:rsidP="00687125">
      <w:pPr>
        <w:spacing w:after="0" w:line="360" w:lineRule="auto"/>
        <w:ind w:firstLine="567"/>
        <w:jc w:val="center"/>
        <w:rPr>
          <w:rFonts w:ascii="Times New Roman" w:eastAsia="Calibri" w:hAnsi="Times New Roman" w:cs="Times New Roman"/>
          <w:b/>
          <w:bCs/>
          <w:sz w:val="28"/>
          <w:szCs w:val="28"/>
          <w:lang w:val="uk-UA"/>
        </w:rPr>
      </w:pPr>
      <w:r w:rsidRPr="00687125">
        <w:rPr>
          <w:rFonts w:ascii="Times New Roman" w:eastAsia="Calibri" w:hAnsi="Times New Roman" w:cs="Times New Roman"/>
          <w:b/>
          <w:bCs/>
          <w:sz w:val="28"/>
          <w:szCs w:val="28"/>
          <w:lang w:val="uk-UA"/>
        </w:rPr>
        <w:t>Технології багаторівневих переговорів у міжнародних політичних конфліктах</w:t>
      </w:r>
    </w:p>
    <w:tbl>
      <w:tblPr>
        <w:tblStyle w:val="21"/>
        <w:tblW w:w="0" w:type="auto"/>
        <w:tblInd w:w="0" w:type="dxa"/>
        <w:tblLook w:val="04A0" w:firstRow="1" w:lastRow="0" w:firstColumn="1" w:lastColumn="0" w:noHBand="0" w:noVBand="1"/>
      </w:tblPr>
      <w:tblGrid>
        <w:gridCol w:w="1709"/>
        <w:gridCol w:w="2959"/>
        <w:gridCol w:w="2353"/>
        <w:gridCol w:w="2324"/>
      </w:tblGrid>
      <w:tr w:rsidR="00687125" w:rsidRPr="00687125" w14:paraId="081B2BC3" w14:textId="77777777">
        <w:tc>
          <w:tcPr>
            <w:tcW w:w="1709" w:type="dxa"/>
            <w:tcBorders>
              <w:top w:val="single" w:sz="4" w:space="0" w:color="auto"/>
              <w:left w:val="single" w:sz="4" w:space="0" w:color="auto"/>
              <w:bottom w:val="single" w:sz="4" w:space="0" w:color="auto"/>
              <w:right w:val="single" w:sz="4" w:space="0" w:color="auto"/>
            </w:tcBorders>
            <w:hideMark/>
          </w:tcPr>
          <w:p w14:paraId="1E4374D6" w14:textId="77777777" w:rsidR="00687125" w:rsidRPr="00687125" w:rsidRDefault="00687125" w:rsidP="00687125">
            <w:pPr>
              <w:spacing w:line="360" w:lineRule="auto"/>
              <w:jc w:val="center"/>
              <w:rPr>
                <w:rFonts w:ascii="Times New Roman" w:hAnsi="Times New Roman"/>
                <w:b/>
                <w:bCs/>
                <w:sz w:val="28"/>
                <w:szCs w:val="28"/>
              </w:rPr>
            </w:pPr>
            <w:r w:rsidRPr="00687125">
              <w:rPr>
                <w:rFonts w:ascii="Times New Roman" w:hAnsi="Times New Roman"/>
                <w:b/>
                <w:bCs/>
                <w:sz w:val="28"/>
                <w:szCs w:val="28"/>
              </w:rPr>
              <w:t>Рівень переговорів</w:t>
            </w:r>
          </w:p>
        </w:tc>
        <w:tc>
          <w:tcPr>
            <w:tcW w:w="3111" w:type="dxa"/>
            <w:tcBorders>
              <w:top w:val="single" w:sz="4" w:space="0" w:color="auto"/>
              <w:left w:val="single" w:sz="4" w:space="0" w:color="auto"/>
              <w:bottom w:val="single" w:sz="4" w:space="0" w:color="auto"/>
              <w:right w:val="single" w:sz="4" w:space="0" w:color="auto"/>
            </w:tcBorders>
            <w:hideMark/>
          </w:tcPr>
          <w:p w14:paraId="1CE5F5CF" w14:textId="77777777" w:rsidR="00687125" w:rsidRPr="00687125" w:rsidRDefault="00687125" w:rsidP="00687125">
            <w:pPr>
              <w:spacing w:line="360" w:lineRule="auto"/>
              <w:jc w:val="center"/>
              <w:rPr>
                <w:rFonts w:ascii="Times New Roman" w:hAnsi="Times New Roman"/>
                <w:b/>
                <w:bCs/>
                <w:sz w:val="28"/>
                <w:szCs w:val="28"/>
              </w:rPr>
            </w:pPr>
            <w:r w:rsidRPr="00687125">
              <w:rPr>
                <w:rFonts w:ascii="Times New Roman" w:hAnsi="Times New Roman"/>
                <w:b/>
                <w:bCs/>
                <w:sz w:val="28"/>
                <w:szCs w:val="28"/>
              </w:rPr>
              <w:t>Основні учасники</w:t>
            </w:r>
          </w:p>
        </w:tc>
        <w:tc>
          <w:tcPr>
            <w:tcW w:w="2405" w:type="dxa"/>
            <w:tcBorders>
              <w:top w:val="single" w:sz="4" w:space="0" w:color="auto"/>
              <w:left w:val="single" w:sz="4" w:space="0" w:color="auto"/>
              <w:bottom w:val="single" w:sz="4" w:space="0" w:color="auto"/>
              <w:right w:val="single" w:sz="4" w:space="0" w:color="auto"/>
            </w:tcBorders>
            <w:hideMark/>
          </w:tcPr>
          <w:p w14:paraId="3D13C54A" w14:textId="77777777" w:rsidR="00687125" w:rsidRPr="00687125" w:rsidRDefault="00687125" w:rsidP="00687125">
            <w:pPr>
              <w:spacing w:line="360" w:lineRule="auto"/>
              <w:jc w:val="center"/>
              <w:rPr>
                <w:rFonts w:ascii="Times New Roman" w:hAnsi="Times New Roman"/>
                <w:b/>
                <w:bCs/>
                <w:sz w:val="28"/>
                <w:szCs w:val="28"/>
              </w:rPr>
            </w:pPr>
            <w:r w:rsidRPr="00687125">
              <w:rPr>
                <w:rFonts w:ascii="Times New Roman" w:hAnsi="Times New Roman"/>
                <w:b/>
                <w:bCs/>
                <w:sz w:val="28"/>
                <w:szCs w:val="28"/>
              </w:rPr>
              <w:t>Цілі переговорів</w:t>
            </w:r>
          </w:p>
        </w:tc>
        <w:tc>
          <w:tcPr>
            <w:tcW w:w="2404" w:type="dxa"/>
            <w:tcBorders>
              <w:top w:val="single" w:sz="4" w:space="0" w:color="auto"/>
              <w:left w:val="single" w:sz="4" w:space="0" w:color="auto"/>
              <w:bottom w:val="single" w:sz="4" w:space="0" w:color="auto"/>
              <w:right w:val="single" w:sz="4" w:space="0" w:color="auto"/>
            </w:tcBorders>
            <w:hideMark/>
          </w:tcPr>
          <w:p w14:paraId="3A847F7A" w14:textId="77777777" w:rsidR="00687125" w:rsidRPr="00687125" w:rsidRDefault="00687125" w:rsidP="00687125">
            <w:pPr>
              <w:spacing w:line="360" w:lineRule="auto"/>
              <w:jc w:val="center"/>
              <w:rPr>
                <w:rFonts w:ascii="Times New Roman" w:hAnsi="Times New Roman"/>
                <w:b/>
                <w:bCs/>
                <w:sz w:val="28"/>
                <w:szCs w:val="28"/>
              </w:rPr>
            </w:pPr>
            <w:r w:rsidRPr="00687125">
              <w:rPr>
                <w:rFonts w:ascii="Times New Roman" w:hAnsi="Times New Roman"/>
                <w:b/>
                <w:bCs/>
                <w:sz w:val="28"/>
                <w:szCs w:val="28"/>
              </w:rPr>
              <w:t>Переваги</w:t>
            </w:r>
          </w:p>
        </w:tc>
      </w:tr>
      <w:tr w:rsidR="00687125" w:rsidRPr="00687125" w14:paraId="70D87EAD" w14:textId="77777777">
        <w:tc>
          <w:tcPr>
            <w:tcW w:w="1709" w:type="dxa"/>
            <w:tcBorders>
              <w:top w:val="single" w:sz="4" w:space="0" w:color="auto"/>
              <w:left w:val="single" w:sz="4" w:space="0" w:color="auto"/>
              <w:bottom w:val="single" w:sz="4" w:space="0" w:color="auto"/>
              <w:right w:val="single" w:sz="4" w:space="0" w:color="auto"/>
            </w:tcBorders>
            <w:hideMark/>
          </w:tcPr>
          <w:p w14:paraId="156A9369" w14:textId="77777777" w:rsidR="00687125" w:rsidRPr="00687125" w:rsidRDefault="00687125" w:rsidP="00687125">
            <w:pPr>
              <w:spacing w:line="360" w:lineRule="auto"/>
              <w:jc w:val="center"/>
              <w:rPr>
                <w:rFonts w:ascii="Times New Roman" w:hAnsi="Times New Roman"/>
                <w:b/>
                <w:bCs/>
                <w:sz w:val="28"/>
                <w:szCs w:val="28"/>
              </w:rPr>
            </w:pPr>
            <w:r w:rsidRPr="00687125">
              <w:rPr>
                <w:rFonts w:ascii="Times New Roman" w:hAnsi="Times New Roman"/>
                <w:b/>
                <w:bCs/>
                <w:sz w:val="28"/>
                <w:szCs w:val="28"/>
              </w:rPr>
              <w:t>Track I</w:t>
            </w:r>
          </w:p>
        </w:tc>
        <w:tc>
          <w:tcPr>
            <w:tcW w:w="3111" w:type="dxa"/>
            <w:tcBorders>
              <w:top w:val="single" w:sz="4" w:space="0" w:color="auto"/>
              <w:left w:val="single" w:sz="4" w:space="0" w:color="auto"/>
              <w:bottom w:val="single" w:sz="4" w:space="0" w:color="auto"/>
              <w:right w:val="single" w:sz="4" w:space="0" w:color="auto"/>
            </w:tcBorders>
            <w:hideMark/>
          </w:tcPr>
          <w:p w14:paraId="34A5E622" w14:textId="77777777" w:rsidR="00687125" w:rsidRPr="00687125" w:rsidRDefault="00687125" w:rsidP="00687125">
            <w:pPr>
              <w:spacing w:line="360" w:lineRule="auto"/>
              <w:jc w:val="center"/>
              <w:rPr>
                <w:rFonts w:ascii="Times New Roman" w:hAnsi="Times New Roman"/>
                <w:b/>
                <w:bCs/>
                <w:sz w:val="28"/>
                <w:szCs w:val="28"/>
              </w:rPr>
            </w:pPr>
            <w:r w:rsidRPr="00687125">
              <w:rPr>
                <w:rFonts w:ascii="Times New Roman" w:hAnsi="Times New Roman"/>
                <w:sz w:val="28"/>
                <w:szCs w:val="28"/>
              </w:rPr>
              <w:t>Офіційні урядові делегації, дипломати, міжнародні організації</w:t>
            </w:r>
          </w:p>
        </w:tc>
        <w:tc>
          <w:tcPr>
            <w:tcW w:w="2405" w:type="dxa"/>
            <w:tcBorders>
              <w:top w:val="single" w:sz="4" w:space="0" w:color="auto"/>
              <w:left w:val="single" w:sz="4" w:space="0" w:color="auto"/>
              <w:bottom w:val="single" w:sz="4" w:space="0" w:color="auto"/>
              <w:right w:val="single" w:sz="4" w:space="0" w:color="auto"/>
            </w:tcBorders>
            <w:hideMark/>
          </w:tcPr>
          <w:p w14:paraId="5B7A68A9" w14:textId="77777777" w:rsidR="00687125" w:rsidRPr="00687125" w:rsidRDefault="00687125" w:rsidP="00687125">
            <w:pPr>
              <w:spacing w:line="360" w:lineRule="auto"/>
              <w:jc w:val="center"/>
              <w:rPr>
                <w:rFonts w:ascii="Times New Roman" w:hAnsi="Times New Roman"/>
                <w:b/>
                <w:bCs/>
                <w:sz w:val="28"/>
                <w:szCs w:val="28"/>
              </w:rPr>
            </w:pPr>
            <w:r w:rsidRPr="00687125">
              <w:rPr>
                <w:rFonts w:ascii="Times New Roman" w:hAnsi="Times New Roman"/>
                <w:sz w:val="28"/>
                <w:szCs w:val="28"/>
              </w:rPr>
              <w:t>Досягнення юридично зобов’язуючих рішень, підписання міжнародних угод</w:t>
            </w:r>
          </w:p>
        </w:tc>
        <w:tc>
          <w:tcPr>
            <w:tcW w:w="2404" w:type="dxa"/>
            <w:tcBorders>
              <w:top w:val="single" w:sz="4" w:space="0" w:color="auto"/>
              <w:left w:val="single" w:sz="4" w:space="0" w:color="auto"/>
              <w:bottom w:val="single" w:sz="4" w:space="0" w:color="auto"/>
              <w:right w:val="single" w:sz="4" w:space="0" w:color="auto"/>
            </w:tcBorders>
            <w:hideMark/>
          </w:tcPr>
          <w:p w14:paraId="020E1216" w14:textId="77777777" w:rsidR="00687125" w:rsidRPr="00687125" w:rsidRDefault="00687125" w:rsidP="00687125">
            <w:pPr>
              <w:spacing w:line="360" w:lineRule="auto"/>
              <w:jc w:val="center"/>
              <w:rPr>
                <w:rFonts w:ascii="Times New Roman" w:hAnsi="Times New Roman"/>
                <w:b/>
                <w:bCs/>
                <w:sz w:val="28"/>
                <w:szCs w:val="28"/>
              </w:rPr>
            </w:pPr>
            <w:r w:rsidRPr="00687125">
              <w:rPr>
                <w:rFonts w:ascii="Times New Roman" w:hAnsi="Times New Roman"/>
                <w:sz w:val="28"/>
                <w:szCs w:val="28"/>
              </w:rPr>
              <w:t>Офіційний статус, інституційна сила, легітимність</w:t>
            </w:r>
          </w:p>
        </w:tc>
      </w:tr>
      <w:tr w:rsidR="00687125" w:rsidRPr="00687125" w14:paraId="00A23507" w14:textId="77777777">
        <w:tc>
          <w:tcPr>
            <w:tcW w:w="1709" w:type="dxa"/>
            <w:tcBorders>
              <w:top w:val="single" w:sz="4" w:space="0" w:color="auto"/>
              <w:left w:val="single" w:sz="4" w:space="0" w:color="auto"/>
              <w:bottom w:val="single" w:sz="4" w:space="0" w:color="auto"/>
              <w:right w:val="single" w:sz="4" w:space="0" w:color="auto"/>
            </w:tcBorders>
            <w:hideMark/>
          </w:tcPr>
          <w:p w14:paraId="3C80A4E4" w14:textId="77777777" w:rsidR="00687125" w:rsidRPr="00687125" w:rsidRDefault="00687125" w:rsidP="00687125">
            <w:pPr>
              <w:spacing w:line="360" w:lineRule="auto"/>
              <w:jc w:val="center"/>
              <w:rPr>
                <w:rFonts w:ascii="Times New Roman" w:hAnsi="Times New Roman"/>
                <w:b/>
                <w:bCs/>
                <w:sz w:val="28"/>
                <w:szCs w:val="28"/>
              </w:rPr>
            </w:pPr>
            <w:r w:rsidRPr="00687125">
              <w:rPr>
                <w:rFonts w:ascii="Times New Roman" w:hAnsi="Times New Roman"/>
                <w:b/>
                <w:bCs/>
                <w:sz w:val="28"/>
                <w:szCs w:val="28"/>
              </w:rPr>
              <w:t>Track II</w:t>
            </w:r>
          </w:p>
        </w:tc>
        <w:tc>
          <w:tcPr>
            <w:tcW w:w="3111" w:type="dxa"/>
            <w:tcBorders>
              <w:top w:val="single" w:sz="4" w:space="0" w:color="auto"/>
              <w:left w:val="single" w:sz="4" w:space="0" w:color="auto"/>
              <w:bottom w:val="single" w:sz="4" w:space="0" w:color="auto"/>
              <w:right w:val="single" w:sz="4" w:space="0" w:color="auto"/>
            </w:tcBorders>
            <w:hideMark/>
          </w:tcPr>
          <w:p w14:paraId="2E429AEB" w14:textId="77777777" w:rsidR="00687125" w:rsidRPr="00687125" w:rsidRDefault="00687125" w:rsidP="00687125">
            <w:pPr>
              <w:spacing w:line="360" w:lineRule="auto"/>
              <w:jc w:val="center"/>
              <w:rPr>
                <w:rFonts w:ascii="Times New Roman" w:hAnsi="Times New Roman"/>
                <w:b/>
                <w:bCs/>
                <w:sz w:val="28"/>
                <w:szCs w:val="28"/>
              </w:rPr>
            </w:pPr>
            <w:r w:rsidRPr="00687125">
              <w:rPr>
                <w:rFonts w:ascii="Times New Roman" w:hAnsi="Times New Roman"/>
                <w:sz w:val="28"/>
                <w:szCs w:val="28"/>
              </w:rPr>
              <w:t>Експерти, аналітики, колишні дипломати, політичні еліти</w:t>
            </w:r>
          </w:p>
        </w:tc>
        <w:tc>
          <w:tcPr>
            <w:tcW w:w="2405" w:type="dxa"/>
            <w:tcBorders>
              <w:top w:val="single" w:sz="4" w:space="0" w:color="auto"/>
              <w:left w:val="single" w:sz="4" w:space="0" w:color="auto"/>
              <w:bottom w:val="single" w:sz="4" w:space="0" w:color="auto"/>
              <w:right w:val="single" w:sz="4" w:space="0" w:color="auto"/>
            </w:tcBorders>
            <w:hideMark/>
          </w:tcPr>
          <w:p w14:paraId="4C3DE5EA" w14:textId="77777777" w:rsidR="00687125" w:rsidRPr="00687125" w:rsidRDefault="00687125" w:rsidP="00687125">
            <w:pPr>
              <w:spacing w:line="360" w:lineRule="auto"/>
              <w:jc w:val="center"/>
              <w:rPr>
                <w:rFonts w:ascii="Times New Roman" w:hAnsi="Times New Roman"/>
                <w:b/>
                <w:bCs/>
                <w:sz w:val="28"/>
                <w:szCs w:val="28"/>
              </w:rPr>
            </w:pPr>
            <w:r w:rsidRPr="00687125">
              <w:rPr>
                <w:rFonts w:ascii="Times New Roman" w:hAnsi="Times New Roman"/>
                <w:sz w:val="28"/>
                <w:szCs w:val="28"/>
              </w:rPr>
              <w:t xml:space="preserve">Формування довіри, неофіційне обговорення, </w:t>
            </w:r>
            <w:r w:rsidRPr="00687125">
              <w:rPr>
                <w:rFonts w:ascii="Times New Roman" w:hAnsi="Times New Roman"/>
                <w:sz w:val="28"/>
                <w:szCs w:val="28"/>
              </w:rPr>
              <w:lastRenderedPageBreak/>
              <w:t>генерування компромісних ідей</w:t>
            </w:r>
          </w:p>
        </w:tc>
        <w:tc>
          <w:tcPr>
            <w:tcW w:w="2404" w:type="dxa"/>
            <w:tcBorders>
              <w:top w:val="single" w:sz="4" w:space="0" w:color="auto"/>
              <w:left w:val="single" w:sz="4" w:space="0" w:color="auto"/>
              <w:bottom w:val="single" w:sz="4" w:space="0" w:color="auto"/>
              <w:right w:val="single" w:sz="4" w:space="0" w:color="auto"/>
            </w:tcBorders>
            <w:hideMark/>
          </w:tcPr>
          <w:p w14:paraId="7DAA12DA" w14:textId="77777777" w:rsidR="00687125" w:rsidRPr="00687125" w:rsidRDefault="00687125" w:rsidP="00687125">
            <w:pPr>
              <w:spacing w:line="360" w:lineRule="auto"/>
              <w:jc w:val="center"/>
              <w:rPr>
                <w:rFonts w:ascii="Times New Roman" w:hAnsi="Times New Roman"/>
                <w:b/>
                <w:bCs/>
                <w:sz w:val="28"/>
                <w:szCs w:val="28"/>
              </w:rPr>
            </w:pPr>
            <w:r w:rsidRPr="00687125">
              <w:rPr>
                <w:rFonts w:ascii="Times New Roman" w:hAnsi="Times New Roman"/>
                <w:sz w:val="28"/>
                <w:szCs w:val="28"/>
              </w:rPr>
              <w:lastRenderedPageBreak/>
              <w:t xml:space="preserve">Гнучкість, тестування сценаріїв, </w:t>
            </w:r>
            <w:r w:rsidRPr="00687125">
              <w:rPr>
                <w:rFonts w:ascii="Times New Roman" w:hAnsi="Times New Roman"/>
                <w:sz w:val="28"/>
                <w:szCs w:val="28"/>
              </w:rPr>
              <w:lastRenderedPageBreak/>
              <w:t>менший публічний тиск</w:t>
            </w:r>
          </w:p>
        </w:tc>
      </w:tr>
      <w:tr w:rsidR="00687125" w:rsidRPr="00687125" w14:paraId="4F69F5E9" w14:textId="77777777">
        <w:tc>
          <w:tcPr>
            <w:tcW w:w="1709" w:type="dxa"/>
            <w:tcBorders>
              <w:top w:val="single" w:sz="4" w:space="0" w:color="auto"/>
              <w:left w:val="single" w:sz="4" w:space="0" w:color="auto"/>
              <w:bottom w:val="single" w:sz="4" w:space="0" w:color="auto"/>
              <w:right w:val="single" w:sz="4" w:space="0" w:color="auto"/>
            </w:tcBorders>
            <w:hideMark/>
          </w:tcPr>
          <w:p w14:paraId="69D8FC85" w14:textId="77777777" w:rsidR="00687125" w:rsidRPr="00687125" w:rsidRDefault="00687125" w:rsidP="00687125">
            <w:pPr>
              <w:spacing w:line="360" w:lineRule="auto"/>
              <w:jc w:val="center"/>
              <w:rPr>
                <w:rFonts w:ascii="Times New Roman" w:hAnsi="Times New Roman"/>
                <w:b/>
                <w:bCs/>
                <w:sz w:val="28"/>
                <w:szCs w:val="28"/>
              </w:rPr>
            </w:pPr>
            <w:r w:rsidRPr="00687125">
              <w:rPr>
                <w:rFonts w:ascii="Times New Roman" w:hAnsi="Times New Roman"/>
                <w:b/>
                <w:bCs/>
                <w:sz w:val="28"/>
                <w:szCs w:val="28"/>
              </w:rPr>
              <w:lastRenderedPageBreak/>
              <w:t>Track III</w:t>
            </w:r>
          </w:p>
        </w:tc>
        <w:tc>
          <w:tcPr>
            <w:tcW w:w="3111" w:type="dxa"/>
            <w:tcBorders>
              <w:top w:val="single" w:sz="4" w:space="0" w:color="auto"/>
              <w:left w:val="single" w:sz="4" w:space="0" w:color="auto"/>
              <w:bottom w:val="single" w:sz="4" w:space="0" w:color="auto"/>
              <w:right w:val="single" w:sz="4" w:space="0" w:color="auto"/>
            </w:tcBorders>
            <w:hideMark/>
          </w:tcPr>
          <w:p w14:paraId="445C7640" w14:textId="77777777" w:rsidR="00687125" w:rsidRPr="00687125" w:rsidRDefault="00687125" w:rsidP="00687125">
            <w:pPr>
              <w:spacing w:line="360" w:lineRule="auto"/>
              <w:jc w:val="center"/>
              <w:rPr>
                <w:rFonts w:ascii="Times New Roman" w:hAnsi="Times New Roman"/>
                <w:b/>
                <w:bCs/>
                <w:sz w:val="28"/>
                <w:szCs w:val="28"/>
              </w:rPr>
            </w:pPr>
            <w:r w:rsidRPr="00687125">
              <w:rPr>
                <w:rFonts w:ascii="Times New Roman" w:hAnsi="Times New Roman"/>
                <w:sz w:val="28"/>
                <w:szCs w:val="28"/>
              </w:rPr>
              <w:t>Громадянське суспільство, місцеві громади, НУО, ініціативи «народної дипломатії»</w:t>
            </w:r>
          </w:p>
        </w:tc>
        <w:tc>
          <w:tcPr>
            <w:tcW w:w="2405" w:type="dxa"/>
            <w:tcBorders>
              <w:top w:val="single" w:sz="4" w:space="0" w:color="auto"/>
              <w:left w:val="single" w:sz="4" w:space="0" w:color="auto"/>
              <w:bottom w:val="single" w:sz="4" w:space="0" w:color="auto"/>
              <w:right w:val="single" w:sz="4" w:space="0" w:color="auto"/>
            </w:tcBorders>
            <w:hideMark/>
          </w:tcPr>
          <w:p w14:paraId="2A3144D3" w14:textId="77777777" w:rsidR="00687125" w:rsidRPr="00687125" w:rsidRDefault="00687125" w:rsidP="00687125">
            <w:pPr>
              <w:spacing w:line="360" w:lineRule="auto"/>
              <w:jc w:val="center"/>
              <w:rPr>
                <w:rFonts w:ascii="Times New Roman" w:hAnsi="Times New Roman"/>
                <w:b/>
                <w:bCs/>
                <w:sz w:val="28"/>
                <w:szCs w:val="28"/>
              </w:rPr>
            </w:pPr>
            <w:r w:rsidRPr="00687125">
              <w:rPr>
                <w:rFonts w:ascii="Times New Roman" w:hAnsi="Times New Roman"/>
                <w:sz w:val="28"/>
                <w:szCs w:val="28"/>
              </w:rPr>
              <w:t>Подолання ворожих стереотипів, формування культури миру, соціальна стабілізація</w:t>
            </w:r>
          </w:p>
        </w:tc>
        <w:tc>
          <w:tcPr>
            <w:tcW w:w="2404" w:type="dxa"/>
            <w:tcBorders>
              <w:top w:val="single" w:sz="4" w:space="0" w:color="auto"/>
              <w:left w:val="single" w:sz="4" w:space="0" w:color="auto"/>
              <w:bottom w:val="single" w:sz="4" w:space="0" w:color="auto"/>
              <w:right w:val="single" w:sz="4" w:space="0" w:color="auto"/>
            </w:tcBorders>
            <w:hideMark/>
          </w:tcPr>
          <w:p w14:paraId="3F2A28BF" w14:textId="77777777" w:rsidR="00687125" w:rsidRPr="00687125" w:rsidRDefault="00687125" w:rsidP="00687125">
            <w:pPr>
              <w:spacing w:line="360" w:lineRule="auto"/>
              <w:jc w:val="center"/>
              <w:rPr>
                <w:rFonts w:ascii="Times New Roman" w:hAnsi="Times New Roman"/>
                <w:b/>
                <w:bCs/>
                <w:sz w:val="28"/>
                <w:szCs w:val="28"/>
              </w:rPr>
            </w:pPr>
            <w:r w:rsidRPr="00687125">
              <w:rPr>
                <w:rFonts w:ascii="Times New Roman" w:hAnsi="Times New Roman"/>
                <w:sz w:val="28"/>
                <w:szCs w:val="28"/>
              </w:rPr>
              <w:t>Глибокий вплив на суспільство, створення умов для реалізації угод</w:t>
            </w:r>
          </w:p>
        </w:tc>
      </w:tr>
    </w:tbl>
    <w:p w14:paraId="2F0BD346" w14:textId="77777777" w:rsidR="00687125" w:rsidRPr="00687125" w:rsidRDefault="00687125" w:rsidP="00687125">
      <w:pPr>
        <w:spacing w:after="0" w:line="360" w:lineRule="auto"/>
        <w:ind w:firstLine="567"/>
        <w:jc w:val="center"/>
        <w:rPr>
          <w:rFonts w:ascii="Times New Roman" w:eastAsia="Calibri" w:hAnsi="Times New Roman" w:cs="Times New Roman"/>
          <w:b/>
          <w:bCs/>
          <w:sz w:val="28"/>
          <w:szCs w:val="28"/>
          <w:lang w:val="uk-UA"/>
        </w:rPr>
      </w:pPr>
    </w:p>
    <w:p w14:paraId="73B4DFEC"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Важливим елементом технологій багаторівневих переговорів є координація між різними рівнями та акторами переговорного процесу. Відсутність узгодженості між офіційною дипломатією та неформальними ініціативами може призводити до фрагментації зусиль і втрати довіри між сторонами конфлікту. Натомість ефективна координація дозволяє забезпечити комплементарність переговорних форматів, посилити легітимність досягнутих домовленостей і адаптувати їх до конкретного конфліктного контексту. У цьому сенсі особлива роль належить міжнародним організаціям і спеціальним посередникам, які виконують функцію «архітекторів» переговорного процесу.</w:t>
      </w:r>
    </w:p>
    <w:p w14:paraId="7CFF431D"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Практика міжнародних політичних конфліктів демонструє, що багаторівневі переговори є особливо ефективними у врегулюванні затяжних і асиметричних конфліктів. Так, у процесах мирного врегулювання в Північній Ірландії, на Балканах та в окремих регіонах Африки поєднання офіційних переговорів, неформальної дипломатії та ініціатив громадянського суспільства дозволило створити більш стійкі моделі постконфліктного миру. Ці приклади свідчать про те, що жоден рівень переговорів не є самодостатнім, а ефективність врегулювання визначається саме синергією різних форматів взаємодії.</w:t>
      </w:r>
    </w:p>
    <w:p w14:paraId="67BE9C67"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lastRenderedPageBreak/>
        <w:t>Водночас застосування технологій багаторівневих переговорів пов’язане з низкою викликів. До них належать складність координації акторів, ризик дублювання або конкуренції переговорних ініціатив, а також загроза втрати контролю над процесом з боку офіційних суб’єктів. Крім того, багаторівневі переговори потребують значних ресурсів, часу та високого рівня професіоналізації учасників, що зумовлює необхідність чіткого стратегічного планування переговорного процесу та визначення ролей кожного рівня у загальній архітектурі врегулювання конфлікту.</w:t>
      </w:r>
    </w:p>
    <w:p w14:paraId="168318C7"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Таким чином, технології багаторівневих переговорів виступають важливим інструментом врегулювання міжнародних політичних конфліктів у сучасному глобалізованому світі. Їхня ефективність полягає у здатності інтегрувати різні рівні політичної взаємодії, поєднувати формальні й неформальні механізми та враховувати соціальний і ціннісний вимір конфлікту. Саме багаторівневий характер переговорного процесу створює умови для досягнення більш стійких і легітимних політичних рішень, що є необхідною передумовою тривалого миру та стабільності в міжнародних відносинах </w:t>
      </w:r>
    </w:p>
    <w:p w14:paraId="3E5A3959"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p>
    <w:p w14:paraId="2656E7DF" w14:textId="77777777" w:rsidR="00687125" w:rsidRPr="00687125" w:rsidRDefault="00687125" w:rsidP="00687125">
      <w:pPr>
        <w:spacing w:after="0" w:line="360" w:lineRule="auto"/>
        <w:ind w:firstLine="567"/>
        <w:jc w:val="both"/>
        <w:rPr>
          <w:rFonts w:ascii="Times New Roman" w:eastAsia="Calibri" w:hAnsi="Times New Roman" w:cs="Times New Roman"/>
          <w:i/>
          <w:iCs/>
          <w:sz w:val="28"/>
          <w:szCs w:val="28"/>
          <w:lang w:val="uk-UA"/>
        </w:rPr>
      </w:pPr>
      <w:r w:rsidRPr="00687125">
        <w:rPr>
          <w:rFonts w:ascii="Times New Roman" w:eastAsia="Calibri" w:hAnsi="Times New Roman" w:cs="Times New Roman"/>
          <w:i/>
          <w:iCs/>
          <w:sz w:val="28"/>
          <w:szCs w:val="28"/>
          <w:lang w:val="uk-UA"/>
        </w:rPr>
        <w:t xml:space="preserve">Висновки до другого розділу </w:t>
      </w:r>
    </w:p>
    <w:p w14:paraId="6F0A15FF"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другому розділі було здійснено комплексний аналіз переговорних технологій як інструментів врегулювання політичних конфліктів. Було встановлено, що переговорний процес є багатокомпонентною системою, яка включає структуровані етапи – від підготовки до моніторингу виконання домовленостей. Ці етапи забезпечують цілісність та ефективність політичної комунікації у конфліктному середовищі.</w:t>
      </w:r>
    </w:p>
    <w:p w14:paraId="70FADC7B"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 xml:space="preserve">Розглянуто фасилітацію та медіацію як провідні технології ненасильницького врегулювання конфліктів. Встановлено, що фасилітація спрямована на створення сприятливого простору для діалогу і не втручається в зміст переговорів, тоді як медіація передбачає активну участь третьої сторони для досягнення домовленостей між опонентами. Аналіз практик використання </w:t>
      </w:r>
      <w:r w:rsidRPr="00687125">
        <w:rPr>
          <w:rFonts w:ascii="Times New Roman" w:eastAsia="Calibri" w:hAnsi="Times New Roman" w:cs="Times New Roman"/>
          <w:sz w:val="28"/>
          <w:szCs w:val="28"/>
          <w:lang w:val="uk-UA"/>
        </w:rPr>
        <w:lastRenderedPageBreak/>
        <w:t>цих підходів в Україні та міжнародному контексті засвідчив їхню високу ефективність, особливо в умовах суспільної поляризації.</w:t>
      </w:r>
    </w:p>
    <w:p w14:paraId="62E95CD5"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Особливу увагу приділено технологіям багаторівневих переговорів, які поєднують офіційну дипломатію (Track I), неформальні експертні комунікації (Track II) та залучення громадянського суспільства (Track III). Установлено, що лише скоординоване використання всіх трьох рівнів здатне забезпечити сталий і легітимний результат переговорного процесу. При цьому важливою умовою є наявність системної архітектури переговорів, здатної адаптуватися до асиметрії ресурсів і багатовимірності конфліктів.</w:t>
      </w:r>
    </w:p>
    <w:p w14:paraId="2D9B44DA"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r w:rsidRPr="00687125">
        <w:rPr>
          <w:rFonts w:ascii="Times New Roman" w:eastAsia="Calibri" w:hAnsi="Times New Roman" w:cs="Times New Roman"/>
          <w:sz w:val="28"/>
          <w:szCs w:val="28"/>
          <w:lang w:val="uk-UA"/>
        </w:rPr>
        <w:t>Отже, переговорні технології відіграють основну роль у підтриманні політичної стабільності, формуванні культури діалогу та демократичного врядування, а також забезпечують адаптивність політичних систем до складних викликів сучасності.</w:t>
      </w:r>
    </w:p>
    <w:p w14:paraId="38AD2122" w14:textId="77777777" w:rsidR="00687125" w:rsidRPr="00687125" w:rsidRDefault="00687125" w:rsidP="00687125">
      <w:pPr>
        <w:spacing w:after="0" w:line="360" w:lineRule="auto"/>
        <w:ind w:firstLine="567"/>
        <w:jc w:val="both"/>
        <w:rPr>
          <w:rFonts w:ascii="Times New Roman" w:eastAsia="Calibri" w:hAnsi="Times New Roman" w:cs="Times New Roman"/>
          <w:sz w:val="28"/>
          <w:szCs w:val="28"/>
          <w:lang w:val="uk-UA"/>
        </w:rPr>
      </w:pPr>
    </w:p>
    <w:p w14:paraId="21F9DCA0" w14:textId="77777777" w:rsidR="00687125" w:rsidRPr="006761DF" w:rsidRDefault="00687125">
      <w:pPr>
        <w:rPr>
          <w:rFonts w:ascii="Times New Roman" w:hAnsi="Times New Roman" w:cs="Times New Roman"/>
          <w:sz w:val="28"/>
          <w:szCs w:val="28"/>
          <w:lang w:val="uk-UA"/>
        </w:rPr>
      </w:pPr>
    </w:p>
    <w:p w14:paraId="7076057E" w14:textId="77777777" w:rsidR="00687125" w:rsidRPr="006761DF" w:rsidRDefault="00687125">
      <w:pPr>
        <w:rPr>
          <w:rFonts w:ascii="Times New Roman" w:hAnsi="Times New Roman" w:cs="Times New Roman"/>
          <w:sz w:val="28"/>
          <w:szCs w:val="28"/>
          <w:lang w:val="uk-UA"/>
        </w:rPr>
      </w:pPr>
    </w:p>
    <w:p w14:paraId="5B56E941" w14:textId="77777777" w:rsidR="00687125" w:rsidRPr="006761DF" w:rsidRDefault="00687125">
      <w:pPr>
        <w:rPr>
          <w:rFonts w:ascii="Times New Roman" w:hAnsi="Times New Roman" w:cs="Times New Roman"/>
          <w:sz w:val="28"/>
          <w:szCs w:val="28"/>
          <w:lang w:val="uk-UA"/>
        </w:rPr>
      </w:pPr>
    </w:p>
    <w:p w14:paraId="0782E2D9" w14:textId="77777777" w:rsidR="00687125" w:rsidRPr="006761DF" w:rsidRDefault="00687125">
      <w:pPr>
        <w:rPr>
          <w:rFonts w:ascii="Times New Roman" w:hAnsi="Times New Roman" w:cs="Times New Roman"/>
          <w:sz w:val="28"/>
          <w:szCs w:val="28"/>
          <w:lang w:val="uk-UA"/>
        </w:rPr>
      </w:pPr>
    </w:p>
    <w:p w14:paraId="55063749" w14:textId="77777777" w:rsidR="00687125" w:rsidRPr="006761DF" w:rsidRDefault="00687125">
      <w:pPr>
        <w:rPr>
          <w:rFonts w:ascii="Times New Roman" w:hAnsi="Times New Roman" w:cs="Times New Roman"/>
          <w:sz w:val="28"/>
          <w:szCs w:val="28"/>
          <w:lang w:val="uk-UA"/>
        </w:rPr>
      </w:pPr>
    </w:p>
    <w:p w14:paraId="5C9EA770" w14:textId="77777777" w:rsidR="00687125" w:rsidRPr="006761DF" w:rsidRDefault="00687125">
      <w:pPr>
        <w:rPr>
          <w:rFonts w:ascii="Times New Roman" w:hAnsi="Times New Roman" w:cs="Times New Roman"/>
          <w:sz w:val="28"/>
          <w:szCs w:val="28"/>
          <w:lang w:val="uk-UA"/>
        </w:rPr>
      </w:pPr>
    </w:p>
    <w:p w14:paraId="4E7F3DB2" w14:textId="77777777" w:rsidR="00687125" w:rsidRPr="006761DF" w:rsidRDefault="00687125">
      <w:pPr>
        <w:rPr>
          <w:rFonts w:ascii="Times New Roman" w:hAnsi="Times New Roman" w:cs="Times New Roman"/>
          <w:sz w:val="28"/>
          <w:szCs w:val="28"/>
          <w:lang w:val="uk-UA"/>
        </w:rPr>
      </w:pPr>
    </w:p>
    <w:p w14:paraId="6D32A3CE" w14:textId="77777777" w:rsidR="00687125" w:rsidRPr="006761DF" w:rsidRDefault="00687125">
      <w:pPr>
        <w:rPr>
          <w:rFonts w:ascii="Times New Roman" w:hAnsi="Times New Roman" w:cs="Times New Roman"/>
          <w:sz w:val="28"/>
          <w:szCs w:val="28"/>
          <w:lang w:val="uk-UA"/>
        </w:rPr>
      </w:pPr>
    </w:p>
    <w:p w14:paraId="38DB2A30" w14:textId="77777777" w:rsidR="00687125" w:rsidRPr="006761DF" w:rsidRDefault="00687125">
      <w:pPr>
        <w:rPr>
          <w:rFonts w:ascii="Times New Roman" w:hAnsi="Times New Roman" w:cs="Times New Roman"/>
          <w:sz w:val="28"/>
          <w:szCs w:val="28"/>
          <w:lang w:val="uk-UA"/>
        </w:rPr>
      </w:pPr>
    </w:p>
    <w:p w14:paraId="32F21026" w14:textId="77777777" w:rsidR="00687125" w:rsidRPr="006761DF" w:rsidRDefault="00687125">
      <w:pPr>
        <w:rPr>
          <w:rFonts w:ascii="Times New Roman" w:hAnsi="Times New Roman" w:cs="Times New Roman"/>
          <w:sz w:val="28"/>
          <w:szCs w:val="28"/>
          <w:lang w:val="uk-UA"/>
        </w:rPr>
      </w:pPr>
    </w:p>
    <w:p w14:paraId="53D9235A" w14:textId="77777777" w:rsidR="00687125" w:rsidRPr="006761DF" w:rsidRDefault="00687125">
      <w:pPr>
        <w:rPr>
          <w:rFonts w:ascii="Times New Roman" w:hAnsi="Times New Roman" w:cs="Times New Roman"/>
          <w:sz w:val="28"/>
          <w:szCs w:val="28"/>
          <w:lang w:val="uk-UA"/>
        </w:rPr>
      </w:pPr>
    </w:p>
    <w:p w14:paraId="1CCA3DF4" w14:textId="77777777" w:rsidR="00687125" w:rsidRPr="006761DF" w:rsidRDefault="00687125">
      <w:pPr>
        <w:rPr>
          <w:rFonts w:ascii="Times New Roman" w:hAnsi="Times New Roman" w:cs="Times New Roman"/>
          <w:sz w:val="28"/>
          <w:szCs w:val="28"/>
          <w:lang w:val="uk-UA"/>
        </w:rPr>
      </w:pPr>
    </w:p>
    <w:p w14:paraId="785990B2" w14:textId="77777777" w:rsidR="006761DF" w:rsidRPr="006761DF" w:rsidRDefault="006761DF" w:rsidP="006761DF">
      <w:pPr>
        <w:spacing w:after="0" w:line="360" w:lineRule="auto"/>
        <w:ind w:firstLine="567"/>
        <w:jc w:val="center"/>
        <w:rPr>
          <w:rFonts w:ascii="Times New Roman" w:eastAsia="Calibri" w:hAnsi="Times New Roman" w:cs="Times New Roman"/>
          <w:b/>
          <w:bCs/>
          <w:sz w:val="28"/>
          <w:szCs w:val="28"/>
          <w:lang w:val="uk-UA"/>
        </w:rPr>
      </w:pPr>
      <w:r w:rsidRPr="006761DF">
        <w:rPr>
          <w:rFonts w:ascii="Times New Roman" w:eastAsia="Calibri" w:hAnsi="Times New Roman" w:cs="Times New Roman"/>
          <w:b/>
          <w:bCs/>
          <w:sz w:val="28"/>
          <w:szCs w:val="28"/>
          <w:lang w:val="uk-UA"/>
        </w:rPr>
        <w:t>Розділ 3</w:t>
      </w:r>
    </w:p>
    <w:p w14:paraId="1F10F6A6" w14:textId="77777777" w:rsidR="006761DF" w:rsidRPr="006761DF" w:rsidRDefault="006761DF" w:rsidP="006761DF">
      <w:pPr>
        <w:spacing w:after="0" w:line="360" w:lineRule="auto"/>
        <w:ind w:firstLine="567"/>
        <w:jc w:val="center"/>
        <w:rPr>
          <w:rFonts w:ascii="Times New Roman" w:eastAsia="Calibri" w:hAnsi="Times New Roman" w:cs="Times New Roman"/>
          <w:b/>
          <w:bCs/>
          <w:sz w:val="28"/>
          <w:szCs w:val="28"/>
          <w:lang w:val="uk-UA"/>
        </w:rPr>
      </w:pPr>
      <w:r w:rsidRPr="006761DF">
        <w:rPr>
          <w:rFonts w:ascii="Times New Roman" w:eastAsia="Calibri" w:hAnsi="Times New Roman" w:cs="Times New Roman"/>
          <w:b/>
          <w:bCs/>
          <w:sz w:val="28"/>
          <w:szCs w:val="28"/>
          <w:lang w:val="uk-UA"/>
        </w:rPr>
        <w:lastRenderedPageBreak/>
        <w:t>Інституційно-правові технології врегулювання політичних конфліктів</w:t>
      </w:r>
    </w:p>
    <w:p w14:paraId="68D30D0D" w14:textId="77777777" w:rsidR="006761DF" w:rsidRPr="006761DF" w:rsidRDefault="006761DF" w:rsidP="006761DF">
      <w:pPr>
        <w:spacing w:after="0" w:line="360" w:lineRule="auto"/>
        <w:ind w:firstLine="567"/>
        <w:jc w:val="both"/>
        <w:rPr>
          <w:rFonts w:ascii="Times New Roman" w:eastAsia="Calibri" w:hAnsi="Times New Roman" w:cs="Times New Roman"/>
          <w:b/>
          <w:bCs/>
          <w:sz w:val="28"/>
          <w:szCs w:val="28"/>
          <w:lang w:val="uk-UA"/>
        </w:rPr>
      </w:pPr>
    </w:p>
    <w:p w14:paraId="03A8A842" w14:textId="77777777" w:rsidR="006761DF" w:rsidRPr="006761DF" w:rsidRDefault="006761DF" w:rsidP="006761DF">
      <w:pPr>
        <w:spacing w:after="0" w:line="360" w:lineRule="auto"/>
        <w:ind w:firstLine="567"/>
        <w:jc w:val="both"/>
        <w:rPr>
          <w:rFonts w:ascii="Times New Roman" w:eastAsia="Calibri" w:hAnsi="Times New Roman" w:cs="Times New Roman"/>
          <w:b/>
          <w:bCs/>
          <w:sz w:val="28"/>
          <w:szCs w:val="28"/>
          <w:lang w:val="uk-UA"/>
        </w:rPr>
      </w:pPr>
      <w:r w:rsidRPr="006761DF">
        <w:rPr>
          <w:rFonts w:ascii="Times New Roman" w:eastAsia="Calibri" w:hAnsi="Times New Roman" w:cs="Times New Roman"/>
          <w:b/>
          <w:bCs/>
          <w:sz w:val="28"/>
          <w:szCs w:val="28"/>
          <w:lang w:val="uk-UA"/>
        </w:rPr>
        <w:t>3.1. Механізми конституційного та законодавчого врегулювання</w:t>
      </w:r>
    </w:p>
    <w:p w14:paraId="784B9B1A" w14:textId="77777777" w:rsidR="006761DF" w:rsidRPr="006761DF" w:rsidRDefault="006761DF" w:rsidP="006761DF">
      <w:pPr>
        <w:spacing w:after="0" w:line="360" w:lineRule="auto"/>
        <w:ind w:firstLine="567"/>
        <w:jc w:val="both"/>
        <w:rPr>
          <w:rFonts w:ascii="Times New Roman" w:eastAsia="Calibri" w:hAnsi="Times New Roman" w:cs="Times New Roman"/>
          <w:b/>
          <w:bCs/>
          <w:sz w:val="28"/>
          <w:szCs w:val="28"/>
          <w:lang w:val="uk-UA"/>
        </w:rPr>
      </w:pPr>
    </w:p>
    <w:p w14:paraId="078A3E51"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Інституційно-правові механізми відіграють визначальну роль у врегулюванні політичних конфліктів, оскільки саме вони забезпечують формалізацію конфліктної взаємодії, встановлюють правила політичної конкуренції та створюють легітимні рамки для розв’язання суперечностей. У цьому контексті конституційні та законодавчі механізми постають як базовий елемент стабілізації політичного середовища, що дозволяє переводити конфлікти з площини силового або неформального протистояння у правове, процедурно врегульоване русло.</w:t>
      </w:r>
    </w:p>
    <w:p w14:paraId="5D85654B"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Конституція як основний закон держави виконує ключову функцію у системі врегулювання політичних конфліктів, визначаючи фундаментальні принципи організації влади, розподіл повноважень між гілками влади та механізми стримувань і противаг. «Можливі форми прояву політичних конфліктів та способи виходу з них в умовах демократії регламентовані конституцією країни та іншими законодавчими та підзаконними актами» (Чухрай, 2022).</w:t>
      </w:r>
    </w:p>
    <w:p w14:paraId="618BCD1B"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 xml:space="preserve"> Саме через конституційні норми закріплюються базові правила політичної гри, які мають бути обов’язковими для всіх суб’єктів політичного процесу. У ситуаціях політичної кризи або конфлікту апеляція до конституційних положень дозволяє знизити рівень невизначеності, легітимізувати політичні рішення та запобігти ескалації протистояння. «У демократичній політичній системі право виступає безальтернативним механізмом вирішення конфліктів» (Чухрай, 2022).</w:t>
      </w:r>
    </w:p>
    <w:p w14:paraId="4B485D00"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 xml:space="preserve">Важливим аспектом конституційного врегулювання політичних конфліктів є принцип поділу влади, який спрямований на запобігання концентрації політичної влади в руках одного суб’єкта або інституту. Чітке </w:t>
      </w:r>
      <w:r w:rsidRPr="006761DF">
        <w:rPr>
          <w:rFonts w:ascii="Times New Roman" w:eastAsia="Calibri" w:hAnsi="Times New Roman" w:cs="Times New Roman"/>
          <w:sz w:val="28"/>
          <w:szCs w:val="28"/>
          <w:lang w:val="uk-UA"/>
        </w:rPr>
        <w:lastRenderedPageBreak/>
        <w:t>розмежування повноважень між законодавчою, виконавчою та судовою гілками влади створює інституційні запобіжники для врегулювання конфліктів між політичними акторами. У випадку виникнення міжінституційних суперечностей саме конституційні процедури, зокрема механізми конституційного контролю, виступають засобом правового розв’язання конфлікту без застосування позаправових методів.</w:t>
      </w:r>
    </w:p>
    <w:p w14:paraId="32249AD3"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Судова влада, зокрема органи конституційної юрисдикції, посідає особливе місце у системі правового врегулювання політичних конфліктів. Конституційні суди та аналогічні інституції забезпечують офіційне тлумачення норм основного закону, розглядають спори щодо конституційності законів і дій органів влади, а також виконують арбітражну функцію у конфліктах між різними гілками влади. «Якщо під час дискусій, переговорів, роботи погоджувальних комісій не вдається дійти згоди, в демократичній політичній системі існують такі способи його розв’язання як звернення до Конституційного Суду, відставка уряду, розпуск парламенту, імпічмент, проведення референдуму» (Чухрай, 2022). Завдяки цьому судовий механізм виступає інструментом деескалації конфліктів, забезпечуючи їх розв’язання в межах правового поля та на засадах верховенства права.</w:t>
      </w:r>
    </w:p>
    <w:p w14:paraId="4154519E"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Поряд із конституційними нормами важливу роль у врегулюванні політичних конфліктів відіграє законодавство, яке деталізує й конкретизує загальні принципи, закріплені в основному законі. «Мирні шляхи регулювання конфлікту поділяються на політичні та правові, але вони практично завжди взаємопов’язані» (Чухрай, 2022).</w:t>
      </w:r>
    </w:p>
    <w:p w14:paraId="5ACBE061"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Виборче законодавство, закони про політичні партії, парламентські процедури, місцеве самоврядування та доступ до публічної інформації формують правові механізми інституціоналізації політичної конкуренції. Саме через законодавчі процедури конфлікт інтересів між політичними акторами набуває формалізованого характеру, що знижує ризик його переростання у деструктивне протистояння.</w:t>
      </w:r>
    </w:p>
    <w:p w14:paraId="5A6BDC1A"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lastRenderedPageBreak/>
        <w:t>Особливе значення мають законодавчі механізми врегулювання виборчих і поствиборчих конфліктів, які є одними з найпоширеніших у демократичних політичних системах.  «В демократичній політичній системі, за наявності верховенства права, останнє виступає головним механізмом мирної стратегії вирішення конфліктів» (Чухрай, 2022). Чітко визначені правила проведення виборів, процедури оскарження результатів та механізми судового розгляду виборчих спорів створюють правові умови для мирного вирішення політичних суперечностей. За відсутності таких механізмів виборчі конфлікти можуть набувати гострих форм і ставити під загрозу легітимність політичної влади.</w:t>
      </w:r>
    </w:p>
    <w:p w14:paraId="76E7BCBD"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Законодавче врегулювання політичних конфліктів також охоплює механізми захисту прав і свобод людини, які є важливим чинником стабілізації конфліктного середовища. Наявність ефективних правових інструментів захисту громадянських і політичних прав зменшує соціальну напругу та створює канали для мирного висловлення незгоди. У цьому сенсі правова держава виступає як інституційна основа ненасильницького врегулювання політичних конфліктів.</w:t>
      </w:r>
    </w:p>
    <w:p w14:paraId="3340A30F"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Водночас ефективність конституційних і законодавчих механізмів значною мірою залежить від рівня правової культури та легітимності політичних інститутів. Формальна наявність правових норм не гарантує їх дієвості у випадку вибіркового застосування або політизації правосуддя. У таких умовах правові механізми можуть втрачати свою стабілізуючу функцію і, навпаки, ставати джерелом додаткових конфліктів. «Важливими умовами застосування правового механізму... є чіткість та зрозумілість законодавства, а також сприйняття та визнання його всіма членами суспільства» (Чухрай, 2022). Тому важливою передумовою ефективного врегулювання є не лише якість законодавства, а й довіра суспільства до інституцій, що забезпечують його реалізацію.</w:t>
      </w:r>
    </w:p>
    <w:p w14:paraId="51BC4ECA"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p>
    <w:tbl>
      <w:tblPr>
        <w:tblStyle w:val="31"/>
        <w:tblW w:w="0" w:type="auto"/>
        <w:tblInd w:w="0" w:type="dxa"/>
        <w:tblLook w:val="04A0" w:firstRow="1" w:lastRow="0" w:firstColumn="1" w:lastColumn="0" w:noHBand="0" w:noVBand="1"/>
      </w:tblPr>
      <w:tblGrid>
        <w:gridCol w:w="2114"/>
        <w:gridCol w:w="3918"/>
        <w:gridCol w:w="3313"/>
      </w:tblGrid>
      <w:tr w:rsidR="006761DF" w:rsidRPr="006761DF" w14:paraId="390ECDBC" w14:textId="77777777">
        <w:tc>
          <w:tcPr>
            <w:tcW w:w="2122" w:type="dxa"/>
            <w:tcBorders>
              <w:top w:val="single" w:sz="4" w:space="0" w:color="auto"/>
              <w:left w:val="single" w:sz="4" w:space="0" w:color="auto"/>
              <w:bottom w:val="single" w:sz="4" w:space="0" w:color="auto"/>
              <w:right w:val="single" w:sz="4" w:space="0" w:color="auto"/>
            </w:tcBorders>
            <w:hideMark/>
          </w:tcPr>
          <w:p w14:paraId="40277B24" w14:textId="77777777" w:rsidR="006761DF" w:rsidRPr="006761DF" w:rsidRDefault="006761DF" w:rsidP="006761DF">
            <w:pPr>
              <w:spacing w:line="360" w:lineRule="auto"/>
              <w:jc w:val="center"/>
              <w:rPr>
                <w:rFonts w:ascii="Times New Roman" w:hAnsi="Times New Roman"/>
                <w:sz w:val="28"/>
                <w:szCs w:val="28"/>
              </w:rPr>
            </w:pPr>
            <w:r w:rsidRPr="006761DF">
              <w:rPr>
                <w:rFonts w:ascii="Times New Roman" w:hAnsi="Times New Roman"/>
                <w:b/>
                <w:bCs/>
                <w:sz w:val="28"/>
                <w:szCs w:val="28"/>
              </w:rPr>
              <w:lastRenderedPageBreak/>
              <w:t>Механізм</w:t>
            </w:r>
          </w:p>
        </w:tc>
        <w:tc>
          <w:tcPr>
            <w:tcW w:w="4110" w:type="dxa"/>
            <w:tcBorders>
              <w:top w:val="single" w:sz="4" w:space="0" w:color="auto"/>
              <w:left w:val="single" w:sz="4" w:space="0" w:color="auto"/>
              <w:bottom w:val="single" w:sz="4" w:space="0" w:color="auto"/>
              <w:right w:val="single" w:sz="4" w:space="0" w:color="auto"/>
            </w:tcBorders>
            <w:hideMark/>
          </w:tcPr>
          <w:p w14:paraId="45ABF329" w14:textId="77777777" w:rsidR="006761DF" w:rsidRPr="006761DF" w:rsidRDefault="006761DF" w:rsidP="006761DF">
            <w:pPr>
              <w:spacing w:line="360" w:lineRule="auto"/>
              <w:jc w:val="center"/>
              <w:rPr>
                <w:rFonts w:ascii="Times New Roman" w:hAnsi="Times New Roman"/>
                <w:sz w:val="28"/>
                <w:szCs w:val="28"/>
              </w:rPr>
            </w:pPr>
            <w:r w:rsidRPr="006761DF">
              <w:rPr>
                <w:rFonts w:ascii="Times New Roman" w:hAnsi="Times New Roman"/>
                <w:b/>
                <w:bCs/>
                <w:sz w:val="28"/>
                <w:szCs w:val="28"/>
              </w:rPr>
              <w:t>Функції</w:t>
            </w:r>
          </w:p>
        </w:tc>
        <w:tc>
          <w:tcPr>
            <w:tcW w:w="3397" w:type="dxa"/>
            <w:tcBorders>
              <w:top w:val="single" w:sz="4" w:space="0" w:color="auto"/>
              <w:left w:val="single" w:sz="4" w:space="0" w:color="auto"/>
              <w:bottom w:val="single" w:sz="4" w:space="0" w:color="auto"/>
              <w:right w:val="single" w:sz="4" w:space="0" w:color="auto"/>
            </w:tcBorders>
            <w:hideMark/>
          </w:tcPr>
          <w:p w14:paraId="709C58FD" w14:textId="77777777" w:rsidR="006761DF" w:rsidRPr="006761DF" w:rsidRDefault="006761DF" w:rsidP="006761DF">
            <w:pPr>
              <w:spacing w:line="360" w:lineRule="auto"/>
              <w:jc w:val="center"/>
              <w:rPr>
                <w:rFonts w:ascii="Times New Roman" w:hAnsi="Times New Roman"/>
                <w:sz w:val="28"/>
                <w:szCs w:val="28"/>
              </w:rPr>
            </w:pPr>
            <w:r w:rsidRPr="006761DF">
              <w:rPr>
                <w:rFonts w:ascii="Times New Roman" w:hAnsi="Times New Roman"/>
                <w:b/>
                <w:bCs/>
                <w:sz w:val="28"/>
                <w:szCs w:val="28"/>
              </w:rPr>
              <w:t>Роль у врегулюванні конфліктів</w:t>
            </w:r>
          </w:p>
        </w:tc>
      </w:tr>
      <w:tr w:rsidR="006761DF" w:rsidRPr="006761DF" w14:paraId="34FC0F36" w14:textId="77777777">
        <w:tc>
          <w:tcPr>
            <w:tcW w:w="2122" w:type="dxa"/>
            <w:tcBorders>
              <w:top w:val="single" w:sz="4" w:space="0" w:color="auto"/>
              <w:left w:val="single" w:sz="4" w:space="0" w:color="auto"/>
              <w:bottom w:val="single" w:sz="4" w:space="0" w:color="auto"/>
              <w:right w:val="single" w:sz="4" w:space="0" w:color="auto"/>
            </w:tcBorders>
            <w:hideMark/>
          </w:tcPr>
          <w:p w14:paraId="07F76776"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b/>
                <w:bCs/>
                <w:sz w:val="28"/>
                <w:szCs w:val="28"/>
              </w:rPr>
              <w:t>Конституційні механізми</w:t>
            </w:r>
          </w:p>
        </w:tc>
        <w:tc>
          <w:tcPr>
            <w:tcW w:w="4110" w:type="dxa"/>
            <w:tcBorders>
              <w:top w:val="single" w:sz="4" w:space="0" w:color="auto"/>
              <w:left w:val="single" w:sz="4" w:space="0" w:color="auto"/>
              <w:bottom w:val="single" w:sz="4" w:space="0" w:color="auto"/>
              <w:right w:val="single" w:sz="4" w:space="0" w:color="auto"/>
            </w:tcBorders>
            <w:hideMark/>
          </w:tcPr>
          <w:p w14:paraId="3948DC41"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Встановлення фундаментальних принципів організації влади, поділ повноважень, стримування та противаги</w:t>
            </w:r>
          </w:p>
        </w:tc>
        <w:tc>
          <w:tcPr>
            <w:tcW w:w="3397" w:type="dxa"/>
            <w:tcBorders>
              <w:top w:val="single" w:sz="4" w:space="0" w:color="auto"/>
              <w:left w:val="single" w:sz="4" w:space="0" w:color="auto"/>
              <w:bottom w:val="single" w:sz="4" w:space="0" w:color="auto"/>
              <w:right w:val="single" w:sz="4" w:space="0" w:color="auto"/>
            </w:tcBorders>
            <w:hideMark/>
          </w:tcPr>
          <w:p w14:paraId="3B3680E8"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Створюють легітимне поле для політичної взаємодії; знижують ризики ескалації конфліктів</w:t>
            </w:r>
          </w:p>
        </w:tc>
      </w:tr>
      <w:tr w:rsidR="006761DF" w:rsidRPr="006761DF" w14:paraId="669FF4A6" w14:textId="77777777">
        <w:tc>
          <w:tcPr>
            <w:tcW w:w="2122" w:type="dxa"/>
            <w:tcBorders>
              <w:top w:val="single" w:sz="4" w:space="0" w:color="auto"/>
              <w:left w:val="single" w:sz="4" w:space="0" w:color="auto"/>
              <w:bottom w:val="single" w:sz="4" w:space="0" w:color="auto"/>
              <w:right w:val="single" w:sz="4" w:space="0" w:color="auto"/>
            </w:tcBorders>
            <w:hideMark/>
          </w:tcPr>
          <w:p w14:paraId="44E056AB"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b/>
                <w:bCs/>
                <w:sz w:val="28"/>
                <w:szCs w:val="28"/>
              </w:rPr>
              <w:t>Законодавчі механізми</w:t>
            </w:r>
          </w:p>
        </w:tc>
        <w:tc>
          <w:tcPr>
            <w:tcW w:w="4110" w:type="dxa"/>
            <w:tcBorders>
              <w:top w:val="single" w:sz="4" w:space="0" w:color="auto"/>
              <w:left w:val="single" w:sz="4" w:space="0" w:color="auto"/>
              <w:bottom w:val="single" w:sz="4" w:space="0" w:color="auto"/>
              <w:right w:val="single" w:sz="4" w:space="0" w:color="auto"/>
            </w:tcBorders>
            <w:hideMark/>
          </w:tcPr>
          <w:p w14:paraId="6D69C5F8"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Деталізація конституційних норм; формалізація політичної конкуренції через виборче, партійне та парламентське законодавство</w:t>
            </w:r>
          </w:p>
        </w:tc>
        <w:tc>
          <w:tcPr>
            <w:tcW w:w="3397" w:type="dxa"/>
            <w:tcBorders>
              <w:top w:val="single" w:sz="4" w:space="0" w:color="auto"/>
              <w:left w:val="single" w:sz="4" w:space="0" w:color="auto"/>
              <w:bottom w:val="single" w:sz="4" w:space="0" w:color="auto"/>
              <w:right w:val="single" w:sz="4" w:space="0" w:color="auto"/>
            </w:tcBorders>
            <w:hideMark/>
          </w:tcPr>
          <w:p w14:paraId="0DDCB1DC"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Забезпечують правову інституціоналізацію політичної конкуренції</w:t>
            </w:r>
          </w:p>
        </w:tc>
      </w:tr>
      <w:tr w:rsidR="006761DF" w:rsidRPr="006761DF" w14:paraId="4A351385" w14:textId="77777777">
        <w:tc>
          <w:tcPr>
            <w:tcW w:w="2122" w:type="dxa"/>
            <w:tcBorders>
              <w:top w:val="single" w:sz="4" w:space="0" w:color="auto"/>
              <w:left w:val="single" w:sz="4" w:space="0" w:color="auto"/>
              <w:bottom w:val="single" w:sz="4" w:space="0" w:color="auto"/>
              <w:right w:val="single" w:sz="4" w:space="0" w:color="auto"/>
            </w:tcBorders>
            <w:hideMark/>
          </w:tcPr>
          <w:p w14:paraId="21797932"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b/>
                <w:bCs/>
                <w:sz w:val="28"/>
                <w:szCs w:val="28"/>
              </w:rPr>
              <w:t>Судовий механізм</w:t>
            </w:r>
          </w:p>
        </w:tc>
        <w:tc>
          <w:tcPr>
            <w:tcW w:w="4110" w:type="dxa"/>
            <w:tcBorders>
              <w:top w:val="single" w:sz="4" w:space="0" w:color="auto"/>
              <w:left w:val="single" w:sz="4" w:space="0" w:color="auto"/>
              <w:bottom w:val="single" w:sz="4" w:space="0" w:color="auto"/>
              <w:right w:val="single" w:sz="4" w:space="0" w:color="auto"/>
            </w:tcBorders>
            <w:hideMark/>
          </w:tcPr>
          <w:p w14:paraId="4C2B346D"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Тлумачення конституції, арбітраж між гілками влади, розгляд спорів щодо конституційності</w:t>
            </w:r>
          </w:p>
        </w:tc>
        <w:tc>
          <w:tcPr>
            <w:tcW w:w="3397" w:type="dxa"/>
            <w:tcBorders>
              <w:top w:val="single" w:sz="4" w:space="0" w:color="auto"/>
              <w:left w:val="single" w:sz="4" w:space="0" w:color="auto"/>
              <w:bottom w:val="single" w:sz="4" w:space="0" w:color="auto"/>
              <w:right w:val="single" w:sz="4" w:space="0" w:color="auto"/>
            </w:tcBorders>
            <w:hideMark/>
          </w:tcPr>
          <w:p w14:paraId="30871B75"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Сприяють деескалації через правові процедури; підтримують верховенство права</w:t>
            </w:r>
          </w:p>
        </w:tc>
      </w:tr>
      <w:tr w:rsidR="006761DF" w:rsidRPr="006761DF" w14:paraId="65900AA0" w14:textId="77777777">
        <w:tc>
          <w:tcPr>
            <w:tcW w:w="2122" w:type="dxa"/>
            <w:tcBorders>
              <w:top w:val="single" w:sz="4" w:space="0" w:color="auto"/>
              <w:left w:val="single" w:sz="4" w:space="0" w:color="auto"/>
              <w:bottom w:val="single" w:sz="4" w:space="0" w:color="auto"/>
              <w:right w:val="single" w:sz="4" w:space="0" w:color="auto"/>
            </w:tcBorders>
            <w:hideMark/>
          </w:tcPr>
          <w:p w14:paraId="713AC21C"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b/>
                <w:bCs/>
                <w:sz w:val="28"/>
                <w:szCs w:val="28"/>
              </w:rPr>
              <w:t>Механізми виборчого врегулювання</w:t>
            </w:r>
          </w:p>
        </w:tc>
        <w:tc>
          <w:tcPr>
            <w:tcW w:w="4110" w:type="dxa"/>
            <w:tcBorders>
              <w:top w:val="single" w:sz="4" w:space="0" w:color="auto"/>
              <w:left w:val="single" w:sz="4" w:space="0" w:color="auto"/>
              <w:bottom w:val="single" w:sz="4" w:space="0" w:color="auto"/>
              <w:right w:val="single" w:sz="4" w:space="0" w:color="auto"/>
            </w:tcBorders>
            <w:hideMark/>
          </w:tcPr>
          <w:p w14:paraId="7635A27B"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Регулювання виборчого процесу, оскарження результатів, розгляд виборчих спорів</w:t>
            </w:r>
          </w:p>
        </w:tc>
        <w:tc>
          <w:tcPr>
            <w:tcW w:w="3397" w:type="dxa"/>
            <w:tcBorders>
              <w:top w:val="single" w:sz="4" w:space="0" w:color="auto"/>
              <w:left w:val="single" w:sz="4" w:space="0" w:color="auto"/>
              <w:bottom w:val="single" w:sz="4" w:space="0" w:color="auto"/>
              <w:right w:val="single" w:sz="4" w:space="0" w:color="auto"/>
            </w:tcBorders>
            <w:hideMark/>
          </w:tcPr>
          <w:p w14:paraId="02A741B2"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Унеможливлюють деструктивне протистояння після виборів; підтримують легітимність влади</w:t>
            </w:r>
          </w:p>
        </w:tc>
      </w:tr>
      <w:tr w:rsidR="006761DF" w:rsidRPr="006761DF" w14:paraId="77C3E003" w14:textId="77777777">
        <w:tc>
          <w:tcPr>
            <w:tcW w:w="2122" w:type="dxa"/>
            <w:tcBorders>
              <w:top w:val="single" w:sz="4" w:space="0" w:color="auto"/>
              <w:left w:val="single" w:sz="4" w:space="0" w:color="auto"/>
              <w:bottom w:val="single" w:sz="4" w:space="0" w:color="auto"/>
              <w:right w:val="single" w:sz="4" w:space="0" w:color="auto"/>
            </w:tcBorders>
            <w:hideMark/>
          </w:tcPr>
          <w:p w14:paraId="61F48879"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b/>
                <w:bCs/>
                <w:sz w:val="28"/>
                <w:szCs w:val="28"/>
              </w:rPr>
              <w:t>Механізми захисту прав і свобод</w:t>
            </w:r>
          </w:p>
        </w:tc>
        <w:tc>
          <w:tcPr>
            <w:tcW w:w="4110" w:type="dxa"/>
            <w:tcBorders>
              <w:top w:val="single" w:sz="4" w:space="0" w:color="auto"/>
              <w:left w:val="single" w:sz="4" w:space="0" w:color="auto"/>
              <w:bottom w:val="single" w:sz="4" w:space="0" w:color="auto"/>
              <w:right w:val="single" w:sz="4" w:space="0" w:color="auto"/>
            </w:tcBorders>
            <w:hideMark/>
          </w:tcPr>
          <w:p w14:paraId="7D246D75"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Забезпечення реалізації громадянських і політичних прав, зменшення соціальної напруги</w:t>
            </w:r>
          </w:p>
        </w:tc>
        <w:tc>
          <w:tcPr>
            <w:tcW w:w="3397" w:type="dxa"/>
            <w:tcBorders>
              <w:top w:val="single" w:sz="4" w:space="0" w:color="auto"/>
              <w:left w:val="single" w:sz="4" w:space="0" w:color="auto"/>
              <w:bottom w:val="single" w:sz="4" w:space="0" w:color="auto"/>
              <w:right w:val="single" w:sz="4" w:space="0" w:color="auto"/>
            </w:tcBorders>
            <w:hideMark/>
          </w:tcPr>
          <w:p w14:paraId="79882A18"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Формують правові канали мирного висловлення незгоди; стабілізують конфліктне середовище</w:t>
            </w:r>
          </w:p>
        </w:tc>
      </w:tr>
    </w:tbl>
    <w:p w14:paraId="3075D8B0"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p>
    <w:p w14:paraId="3406ACAF"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 xml:space="preserve">Таким чином, конституційні та законодавчі механізми виступають фундаментальним інструментом врегулювання політичних конфліктів у сучасній державі. Вони забезпечують формалізацію конфліктної взаємодії, створюють легітимні процедури розв’язання суперечностей і сприяють </w:t>
      </w:r>
      <w:r w:rsidRPr="006761DF">
        <w:rPr>
          <w:rFonts w:ascii="Times New Roman" w:eastAsia="Calibri" w:hAnsi="Times New Roman" w:cs="Times New Roman"/>
          <w:sz w:val="28"/>
          <w:szCs w:val="28"/>
          <w:lang w:val="uk-UA"/>
        </w:rPr>
        <w:lastRenderedPageBreak/>
        <w:t>стабілізації політичного середовища. У поєднанні з переговорними, медіаційними та інформаційно-комунікаційними технологіями правові механізми формують цілісну систему управління політичними конфліктами, орієнтовану на деескалацію, інституційну стійкість і дотримання демократичних стандартів.</w:t>
      </w:r>
    </w:p>
    <w:p w14:paraId="7F1B79C1"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p>
    <w:p w14:paraId="5C1AEC8E" w14:textId="77777777" w:rsidR="006761DF" w:rsidRPr="006761DF" w:rsidRDefault="006761DF" w:rsidP="006761DF">
      <w:pPr>
        <w:spacing w:after="0" w:line="360" w:lineRule="auto"/>
        <w:ind w:firstLine="567"/>
        <w:jc w:val="both"/>
        <w:rPr>
          <w:rFonts w:ascii="Times New Roman" w:eastAsia="Calibri" w:hAnsi="Times New Roman" w:cs="Times New Roman"/>
          <w:b/>
          <w:bCs/>
          <w:sz w:val="28"/>
          <w:szCs w:val="28"/>
          <w:lang w:val="uk-UA"/>
        </w:rPr>
      </w:pPr>
      <w:r w:rsidRPr="006761DF">
        <w:rPr>
          <w:rFonts w:ascii="Times New Roman" w:eastAsia="Calibri" w:hAnsi="Times New Roman" w:cs="Times New Roman"/>
          <w:b/>
          <w:bCs/>
          <w:sz w:val="28"/>
          <w:szCs w:val="28"/>
          <w:lang w:val="uk-UA"/>
        </w:rPr>
        <w:t>3.2. Інституційні конфліктні технології демократичних країн</w:t>
      </w:r>
    </w:p>
    <w:p w14:paraId="0FF1DEC7" w14:textId="77777777" w:rsidR="006761DF" w:rsidRPr="006761DF" w:rsidRDefault="006761DF" w:rsidP="006761DF">
      <w:pPr>
        <w:spacing w:after="0" w:line="360" w:lineRule="auto"/>
        <w:ind w:firstLine="567"/>
        <w:jc w:val="both"/>
        <w:rPr>
          <w:rFonts w:ascii="Times New Roman" w:eastAsia="Calibri" w:hAnsi="Times New Roman" w:cs="Times New Roman"/>
          <w:b/>
          <w:bCs/>
          <w:sz w:val="28"/>
          <w:szCs w:val="28"/>
          <w:lang w:val="uk-UA"/>
        </w:rPr>
      </w:pPr>
    </w:p>
    <w:p w14:paraId="4CFC2DF1"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У демократичних політичних системах конфлікт розглядається не як загроза самому існуванню держави, а як нормальний і закономірний елемент політичного процесу, що потребує інституційного врегулювання.  Демократичні системи правління мають рівень легітимності, інклюзивності, гнучкості та здатності до постійної адаптації, що дозволяє мирно врегульовувати глибоко вкорінені конфлікти (International IDEA, 1998). Саме тому демократичні країни виробили розгалужений комплекс інституційних конфліктних технологій, спрямованих на каналізацію політичних суперечностей у правове, процедурно контрольоване та легітимне русло. Такі технології дозволяють знижувати рівень політичної напруги, запобігати ескалації протистояння та забезпечувати стабільність політичної системи без застосування силових методів.</w:t>
      </w:r>
    </w:p>
    <w:p w14:paraId="017B527E"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Центральним елементом інституційного врегулювання конфліктів у демократичних країнах є парламент як ключовий майданчик легітимної політичної конкуренції.  Функціонуючі демократичні системи забезпечують багато каналів для врегулювання конфліктів продуктивними, ненасильницькими засобами. Парламенти відіграють ключову роль у демократичному врядуванні, посилюючи базові представницькі, законодавчі та наглядові функції парламентських органів у запобіганні конфліктам і кризовому управлінні  (UNDP, 2005).</w:t>
      </w:r>
    </w:p>
    <w:p w14:paraId="73185A60"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 xml:space="preserve">Парламентські процедури (дебати, комітетська робота, парламентські слухання, механізми парламентського контролю) забезпечують </w:t>
      </w:r>
      <w:r w:rsidRPr="006761DF">
        <w:rPr>
          <w:rFonts w:ascii="Times New Roman" w:eastAsia="Calibri" w:hAnsi="Times New Roman" w:cs="Times New Roman"/>
          <w:sz w:val="28"/>
          <w:szCs w:val="28"/>
          <w:lang w:val="uk-UA"/>
        </w:rPr>
        <w:lastRenderedPageBreak/>
        <w:t>інституціоналізацію конфлікту між владою та опозицією, а також між різними політичними силами. У європейських демократіях парламентська культура компромісу й процедурної дисципліни відіграє визначальну роль у запобіганні радикалізації політичних конфліктів.</w:t>
      </w:r>
    </w:p>
    <w:p w14:paraId="08501455"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 xml:space="preserve">Показовим у цьому контексті є досвід </w:t>
      </w:r>
      <w:r w:rsidRPr="006761DF">
        <w:rPr>
          <w:rFonts w:ascii="Times New Roman" w:eastAsia="Calibri" w:hAnsi="Times New Roman" w:cs="Times New Roman"/>
          <w:b/>
          <w:bCs/>
          <w:sz w:val="28"/>
          <w:szCs w:val="28"/>
          <w:lang w:val="uk-UA"/>
        </w:rPr>
        <w:t>Німеччини</w:t>
      </w:r>
      <w:r w:rsidRPr="006761DF">
        <w:rPr>
          <w:rFonts w:ascii="Times New Roman" w:eastAsia="Calibri" w:hAnsi="Times New Roman" w:cs="Times New Roman"/>
          <w:sz w:val="28"/>
          <w:szCs w:val="28"/>
          <w:lang w:val="uk-UA"/>
        </w:rPr>
        <w:t>, де конфліктні технології тісно пов’язані з принципами федералізму, коаліційного управління та конституційного контролю. Федеративна структура дозволяє розподіляти конфліктні інтереси між федеральним центром і землями, знижуючи напруженість на загальнонаціональному рівні. Коаліційні уряди, характерні для німецької політичної системи, виступають інституційним механізмом узгодження інтересів різних політичних сил, перетворюючи міжпартійний конфлікт на процес переговорів і компромісу. Водночас Федеральний конституційний суд Німеччини відіграє ключову роль у вирішенні міжінституційних конфліктів, виступаючи авторитетним арбітром і гарантом дотримання конституційного балансу.</w:t>
      </w:r>
    </w:p>
    <w:p w14:paraId="0328BED9"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 xml:space="preserve">Французька модель інституційного врегулювання політичних конфліктів демонструє інший, але не менш показовий європейський підхід. У </w:t>
      </w:r>
      <w:r w:rsidRPr="006761DF">
        <w:rPr>
          <w:rFonts w:ascii="Times New Roman" w:eastAsia="Calibri" w:hAnsi="Times New Roman" w:cs="Times New Roman"/>
          <w:b/>
          <w:bCs/>
          <w:sz w:val="28"/>
          <w:szCs w:val="28"/>
          <w:lang w:val="uk-UA"/>
        </w:rPr>
        <w:t>Франції</w:t>
      </w:r>
      <w:r w:rsidRPr="006761DF">
        <w:rPr>
          <w:rFonts w:ascii="Times New Roman" w:eastAsia="Calibri" w:hAnsi="Times New Roman" w:cs="Times New Roman"/>
          <w:sz w:val="28"/>
          <w:szCs w:val="28"/>
          <w:lang w:val="uk-UA"/>
        </w:rPr>
        <w:t xml:space="preserve"> важливу роль відіграє сильна виконавча влада в поєднанні з розвиненими механізмами парламентського та конституційного контролю. Інститут Конституційної ради забезпечує правову оцінку законодавчих актів і виступає інструментом запобігання політичним кризам, пов’язаним із перевищенням повноважень. Водночас практика «співіснування» (cohabitation), коли президент і парламент представляють різні політичні сили, сформувала інституційну культуру врегулювання конфліктів через процедурну взаємодію та розподіл політичної відповідальності, а не через конфронтацію.</w:t>
      </w:r>
    </w:p>
    <w:p w14:paraId="4D2E46A0"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 xml:space="preserve">Європейський вимір інституційних конфліктних технологій посилюється також наднаціональними механізмами Європейського Союзу. Суд ЄС, Європейський парламент і Європейська комісія виконують функції врегулювання конфліктів між державами-членами та між національним і наднаціональним рівнями управління. Таким чином, конфлікти інтересів у </w:t>
      </w:r>
      <w:r w:rsidRPr="006761DF">
        <w:rPr>
          <w:rFonts w:ascii="Times New Roman" w:eastAsia="Calibri" w:hAnsi="Times New Roman" w:cs="Times New Roman"/>
          <w:sz w:val="28"/>
          <w:szCs w:val="28"/>
          <w:lang w:val="uk-UA"/>
        </w:rPr>
        <w:lastRenderedPageBreak/>
        <w:t>межах ЄС інституціоналізуються через правові та процедурні механізми, що знижує ризики міждержавної ескалації та сприяє стабільності європейського політичного простору.</w:t>
      </w:r>
    </w:p>
    <w:p w14:paraId="03584006"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 xml:space="preserve">Поза межами Європи показовим є досвід </w:t>
      </w:r>
      <w:r w:rsidRPr="006761DF">
        <w:rPr>
          <w:rFonts w:ascii="Times New Roman" w:eastAsia="Calibri" w:hAnsi="Times New Roman" w:cs="Times New Roman"/>
          <w:b/>
          <w:bCs/>
          <w:sz w:val="28"/>
          <w:szCs w:val="28"/>
          <w:lang w:val="uk-UA"/>
        </w:rPr>
        <w:t>Канади</w:t>
      </w:r>
      <w:r w:rsidRPr="006761DF">
        <w:rPr>
          <w:rFonts w:ascii="Times New Roman" w:eastAsia="Calibri" w:hAnsi="Times New Roman" w:cs="Times New Roman"/>
          <w:sz w:val="28"/>
          <w:szCs w:val="28"/>
          <w:lang w:val="uk-UA"/>
        </w:rPr>
        <w:t>, де інституційні конфліктні технології ґрунтуються на поєднанні федералізму, багатокультурності та судового арбітражу. Канадська модель дозволяє врегульовувати складні мовні, культурні та регіональні конфлікти, зокрема між федеральним центром і провінцією Квебек, без переходу до насильницьких форм протистояння. Верховний суд Канади відіграє ключову роль у тлумаченні конституційних норм і забезпеченні балансу між правом на самовизначення та принципом територіальної цілісності, що є прикладом ефективного інституційного управління потенційно конфліктними питаннями.</w:t>
      </w:r>
    </w:p>
    <w:p w14:paraId="6B9CCCC4"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 xml:space="preserve">Особливий інтерес становить досвід </w:t>
      </w:r>
      <w:r w:rsidRPr="006761DF">
        <w:rPr>
          <w:rFonts w:ascii="Times New Roman" w:eastAsia="Calibri" w:hAnsi="Times New Roman" w:cs="Times New Roman"/>
          <w:b/>
          <w:bCs/>
          <w:sz w:val="28"/>
          <w:szCs w:val="28"/>
          <w:lang w:val="uk-UA"/>
        </w:rPr>
        <w:t>США</w:t>
      </w:r>
      <w:r w:rsidRPr="006761DF">
        <w:rPr>
          <w:rFonts w:ascii="Times New Roman" w:eastAsia="Calibri" w:hAnsi="Times New Roman" w:cs="Times New Roman"/>
          <w:sz w:val="28"/>
          <w:szCs w:val="28"/>
          <w:lang w:val="uk-UA"/>
        </w:rPr>
        <w:t>, де інституційні конфліктні технології побудовані на жорсткому поділі влади та системі стримувань і противаг. Політичні конфлікти між виконавчою, законодавчою та судовою гілками влади є структурною особливістю американської політичної системи, однак вони врегульовуються через процедурні механізми, судовий контроль і виборчі процеси. Верховний суд США виконує арбітражну функцію у конфліктах конституційного характеру, а федералізм дозволяє знижувати напруженість між центром і штатами. Водночас приклад США демонструє і межі інституційних технологій, коли надмірна політична поляризація може знижувати їхню ефективність.</w:t>
      </w:r>
    </w:p>
    <w:tbl>
      <w:tblPr>
        <w:tblStyle w:val="31"/>
        <w:tblW w:w="0" w:type="auto"/>
        <w:tblInd w:w="0" w:type="dxa"/>
        <w:tblLook w:val="04A0" w:firstRow="1" w:lastRow="0" w:firstColumn="1" w:lastColumn="0" w:noHBand="0" w:noVBand="1"/>
      </w:tblPr>
      <w:tblGrid>
        <w:gridCol w:w="2057"/>
        <w:gridCol w:w="3486"/>
        <w:gridCol w:w="3802"/>
      </w:tblGrid>
      <w:tr w:rsidR="006761DF" w:rsidRPr="006761DF" w14:paraId="4873990A" w14:textId="77777777">
        <w:tc>
          <w:tcPr>
            <w:tcW w:w="2057" w:type="dxa"/>
            <w:tcBorders>
              <w:top w:val="single" w:sz="4" w:space="0" w:color="auto"/>
              <w:left w:val="single" w:sz="4" w:space="0" w:color="auto"/>
              <w:bottom w:val="single" w:sz="4" w:space="0" w:color="auto"/>
              <w:right w:val="single" w:sz="4" w:space="0" w:color="auto"/>
            </w:tcBorders>
            <w:hideMark/>
          </w:tcPr>
          <w:p w14:paraId="796869F2" w14:textId="77777777" w:rsidR="006761DF" w:rsidRPr="006761DF" w:rsidRDefault="006761DF" w:rsidP="006761DF">
            <w:pPr>
              <w:spacing w:line="360" w:lineRule="auto"/>
              <w:jc w:val="center"/>
              <w:rPr>
                <w:rFonts w:ascii="Times New Roman" w:hAnsi="Times New Roman"/>
                <w:sz w:val="28"/>
                <w:szCs w:val="28"/>
              </w:rPr>
            </w:pPr>
            <w:r w:rsidRPr="006761DF">
              <w:rPr>
                <w:rFonts w:ascii="Times New Roman" w:hAnsi="Times New Roman"/>
                <w:b/>
                <w:bCs/>
                <w:sz w:val="28"/>
                <w:szCs w:val="28"/>
              </w:rPr>
              <w:t>Країна</w:t>
            </w:r>
          </w:p>
        </w:tc>
        <w:tc>
          <w:tcPr>
            <w:tcW w:w="3608" w:type="dxa"/>
            <w:tcBorders>
              <w:top w:val="single" w:sz="4" w:space="0" w:color="auto"/>
              <w:left w:val="single" w:sz="4" w:space="0" w:color="auto"/>
              <w:bottom w:val="single" w:sz="4" w:space="0" w:color="auto"/>
              <w:right w:val="single" w:sz="4" w:space="0" w:color="auto"/>
            </w:tcBorders>
            <w:hideMark/>
          </w:tcPr>
          <w:p w14:paraId="35B554BD" w14:textId="77777777" w:rsidR="006761DF" w:rsidRPr="006761DF" w:rsidRDefault="006761DF" w:rsidP="006761DF">
            <w:pPr>
              <w:spacing w:line="360" w:lineRule="auto"/>
              <w:jc w:val="center"/>
              <w:rPr>
                <w:rFonts w:ascii="Times New Roman" w:hAnsi="Times New Roman"/>
                <w:sz w:val="28"/>
                <w:szCs w:val="28"/>
              </w:rPr>
            </w:pPr>
            <w:r w:rsidRPr="006761DF">
              <w:rPr>
                <w:rFonts w:ascii="Times New Roman" w:hAnsi="Times New Roman"/>
                <w:b/>
                <w:bCs/>
                <w:sz w:val="28"/>
                <w:szCs w:val="28"/>
              </w:rPr>
              <w:t>Інституційні механізми</w:t>
            </w:r>
          </w:p>
        </w:tc>
        <w:tc>
          <w:tcPr>
            <w:tcW w:w="3964" w:type="dxa"/>
            <w:tcBorders>
              <w:top w:val="single" w:sz="4" w:space="0" w:color="auto"/>
              <w:left w:val="single" w:sz="4" w:space="0" w:color="auto"/>
              <w:bottom w:val="single" w:sz="4" w:space="0" w:color="auto"/>
              <w:right w:val="single" w:sz="4" w:space="0" w:color="auto"/>
            </w:tcBorders>
            <w:hideMark/>
          </w:tcPr>
          <w:p w14:paraId="088098D3" w14:textId="77777777" w:rsidR="006761DF" w:rsidRPr="006761DF" w:rsidRDefault="006761DF" w:rsidP="006761DF">
            <w:pPr>
              <w:spacing w:line="360" w:lineRule="auto"/>
              <w:jc w:val="center"/>
              <w:rPr>
                <w:rFonts w:ascii="Times New Roman" w:hAnsi="Times New Roman"/>
                <w:sz w:val="28"/>
                <w:szCs w:val="28"/>
              </w:rPr>
            </w:pPr>
            <w:r w:rsidRPr="006761DF">
              <w:rPr>
                <w:rFonts w:ascii="Times New Roman" w:hAnsi="Times New Roman"/>
                <w:b/>
                <w:bCs/>
                <w:sz w:val="28"/>
                <w:szCs w:val="28"/>
              </w:rPr>
              <w:t>Функція у врегулюванні конфліктів</w:t>
            </w:r>
          </w:p>
        </w:tc>
      </w:tr>
      <w:tr w:rsidR="006761DF" w:rsidRPr="006761DF" w14:paraId="56E2C525" w14:textId="77777777">
        <w:tc>
          <w:tcPr>
            <w:tcW w:w="2057" w:type="dxa"/>
            <w:tcBorders>
              <w:top w:val="single" w:sz="4" w:space="0" w:color="auto"/>
              <w:left w:val="single" w:sz="4" w:space="0" w:color="auto"/>
              <w:bottom w:val="single" w:sz="4" w:space="0" w:color="auto"/>
              <w:right w:val="single" w:sz="4" w:space="0" w:color="auto"/>
            </w:tcBorders>
            <w:hideMark/>
          </w:tcPr>
          <w:p w14:paraId="15C2EBED"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b/>
                <w:bCs/>
                <w:sz w:val="28"/>
                <w:szCs w:val="28"/>
              </w:rPr>
              <w:t>Німеччина</w:t>
            </w:r>
          </w:p>
        </w:tc>
        <w:tc>
          <w:tcPr>
            <w:tcW w:w="3608" w:type="dxa"/>
            <w:tcBorders>
              <w:top w:val="single" w:sz="4" w:space="0" w:color="auto"/>
              <w:left w:val="single" w:sz="4" w:space="0" w:color="auto"/>
              <w:bottom w:val="single" w:sz="4" w:space="0" w:color="auto"/>
              <w:right w:val="single" w:sz="4" w:space="0" w:color="auto"/>
            </w:tcBorders>
            <w:hideMark/>
          </w:tcPr>
          <w:p w14:paraId="71E1AE06"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Федералізм, коаліційне управління, Федеральний конституційний суд</w:t>
            </w:r>
          </w:p>
        </w:tc>
        <w:tc>
          <w:tcPr>
            <w:tcW w:w="3964" w:type="dxa"/>
            <w:tcBorders>
              <w:top w:val="single" w:sz="4" w:space="0" w:color="auto"/>
              <w:left w:val="single" w:sz="4" w:space="0" w:color="auto"/>
              <w:bottom w:val="single" w:sz="4" w:space="0" w:color="auto"/>
              <w:right w:val="single" w:sz="4" w:space="0" w:color="auto"/>
            </w:tcBorders>
            <w:hideMark/>
          </w:tcPr>
          <w:p w14:paraId="79DE0E98"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Розподіл конфліктних інтересів між рівнями влади; правовий арбітраж між інституціями</w:t>
            </w:r>
          </w:p>
        </w:tc>
      </w:tr>
      <w:tr w:rsidR="006761DF" w:rsidRPr="006761DF" w14:paraId="79DD4484" w14:textId="77777777">
        <w:tc>
          <w:tcPr>
            <w:tcW w:w="2057" w:type="dxa"/>
            <w:tcBorders>
              <w:top w:val="single" w:sz="4" w:space="0" w:color="auto"/>
              <w:left w:val="single" w:sz="4" w:space="0" w:color="auto"/>
              <w:bottom w:val="single" w:sz="4" w:space="0" w:color="auto"/>
              <w:right w:val="single" w:sz="4" w:space="0" w:color="auto"/>
            </w:tcBorders>
            <w:hideMark/>
          </w:tcPr>
          <w:p w14:paraId="54B1F3E2"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b/>
                <w:bCs/>
                <w:sz w:val="28"/>
                <w:szCs w:val="28"/>
              </w:rPr>
              <w:lastRenderedPageBreak/>
              <w:t>Франція</w:t>
            </w:r>
          </w:p>
        </w:tc>
        <w:tc>
          <w:tcPr>
            <w:tcW w:w="3608" w:type="dxa"/>
            <w:tcBorders>
              <w:top w:val="single" w:sz="4" w:space="0" w:color="auto"/>
              <w:left w:val="single" w:sz="4" w:space="0" w:color="auto"/>
              <w:bottom w:val="single" w:sz="4" w:space="0" w:color="auto"/>
              <w:right w:val="single" w:sz="4" w:space="0" w:color="auto"/>
            </w:tcBorders>
            <w:hideMark/>
          </w:tcPr>
          <w:p w14:paraId="49E5FDF7"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Сильна виконавча влада, Конституційна рада, практика «співіснування»</w:t>
            </w:r>
          </w:p>
        </w:tc>
        <w:tc>
          <w:tcPr>
            <w:tcW w:w="3964" w:type="dxa"/>
            <w:tcBorders>
              <w:top w:val="single" w:sz="4" w:space="0" w:color="auto"/>
              <w:left w:val="single" w:sz="4" w:space="0" w:color="auto"/>
              <w:bottom w:val="single" w:sz="4" w:space="0" w:color="auto"/>
              <w:right w:val="single" w:sz="4" w:space="0" w:color="auto"/>
            </w:tcBorders>
            <w:hideMark/>
          </w:tcPr>
          <w:p w14:paraId="174CD6E8"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Баланс влади через взаємодію президента і парламенту, правовий контроль над законами</w:t>
            </w:r>
          </w:p>
        </w:tc>
      </w:tr>
      <w:tr w:rsidR="006761DF" w:rsidRPr="006761DF" w14:paraId="6FDA65A9" w14:textId="77777777">
        <w:tc>
          <w:tcPr>
            <w:tcW w:w="2057" w:type="dxa"/>
            <w:tcBorders>
              <w:top w:val="single" w:sz="4" w:space="0" w:color="auto"/>
              <w:left w:val="single" w:sz="4" w:space="0" w:color="auto"/>
              <w:bottom w:val="single" w:sz="4" w:space="0" w:color="auto"/>
              <w:right w:val="single" w:sz="4" w:space="0" w:color="auto"/>
            </w:tcBorders>
            <w:hideMark/>
          </w:tcPr>
          <w:p w14:paraId="389A6BAC"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b/>
                <w:bCs/>
                <w:sz w:val="28"/>
                <w:szCs w:val="28"/>
              </w:rPr>
              <w:t>Канада</w:t>
            </w:r>
          </w:p>
        </w:tc>
        <w:tc>
          <w:tcPr>
            <w:tcW w:w="3608" w:type="dxa"/>
            <w:tcBorders>
              <w:top w:val="single" w:sz="4" w:space="0" w:color="auto"/>
              <w:left w:val="single" w:sz="4" w:space="0" w:color="auto"/>
              <w:bottom w:val="single" w:sz="4" w:space="0" w:color="auto"/>
              <w:right w:val="single" w:sz="4" w:space="0" w:color="auto"/>
            </w:tcBorders>
            <w:hideMark/>
          </w:tcPr>
          <w:p w14:paraId="172178BC"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Федералізм, багатокультурність, Верховний суд</w:t>
            </w:r>
          </w:p>
        </w:tc>
        <w:tc>
          <w:tcPr>
            <w:tcW w:w="3964" w:type="dxa"/>
            <w:tcBorders>
              <w:top w:val="single" w:sz="4" w:space="0" w:color="auto"/>
              <w:left w:val="single" w:sz="4" w:space="0" w:color="auto"/>
              <w:bottom w:val="single" w:sz="4" w:space="0" w:color="auto"/>
              <w:right w:val="single" w:sz="4" w:space="0" w:color="auto"/>
            </w:tcBorders>
            <w:hideMark/>
          </w:tcPr>
          <w:p w14:paraId="7A217034"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Регулювання етнокультурних конфліктів; судовий контроль над дотриманням балансу</w:t>
            </w:r>
          </w:p>
        </w:tc>
      </w:tr>
      <w:tr w:rsidR="006761DF" w:rsidRPr="006761DF" w14:paraId="121B93DB" w14:textId="77777777">
        <w:tc>
          <w:tcPr>
            <w:tcW w:w="2057" w:type="dxa"/>
            <w:tcBorders>
              <w:top w:val="single" w:sz="4" w:space="0" w:color="auto"/>
              <w:left w:val="single" w:sz="4" w:space="0" w:color="auto"/>
              <w:bottom w:val="single" w:sz="4" w:space="0" w:color="auto"/>
              <w:right w:val="single" w:sz="4" w:space="0" w:color="auto"/>
            </w:tcBorders>
            <w:hideMark/>
          </w:tcPr>
          <w:p w14:paraId="287AFE74"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b/>
                <w:bCs/>
                <w:sz w:val="28"/>
                <w:szCs w:val="28"/>
              </w:rPr>
              <w:t>США</w:t>
            </w:r>
          </w:p>
        </w:tc>
        <w:tc>
          <w:tcPr>
            <w:tcW w:w="3608" w:type="dxa"/>
            <w:tcBorders>
              <w:top w:val="single" w:sz="4" w:space="0" w:color="auto"/>
              <w:left w:val="single" w:sz="4" w:space="0" w:color="auto"/>
              <w:bottom w:val="single" w:sz="4" w:space="0" w:color="auto"/>
              <w:right w:val="single" w:sz="4" w:space="0" w:color="auto"/>
            </w:tcBorders>
            <w:hideMark/>
          </w:tcPr>
          <w:p w14:paraId="11807DF0"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Система стримувань і противаг, Верховний суд, федералізм</w:t>
            </w:r>
          </w:p>
        </w:tc>
        <w:tc>
          <w:tcPr>
            <w:tcW w:w="3964" w:type="dxa"/>
            <w:tcBorders>
              <w:top w:val="single" w:sz="4" w:space="0" w:color="auto"/>
              <w:left w:val="single" w:sz="4" w:space="0" w:color="auto"/>
              <w:bottom w:val="single" w:sz="4" w:space="0" w:color="auto"/>
              <w:right w:val="single" w:sz="4" w:space="0" w:color="auto"/>
            </w:tcBorders>
            <w:hideMark/>
          </w:tcPr>
          <w:p w14:paraId="096C12D8"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Арбітраж між гілками влади, зниження конфліктності між центром і штатами</w:t>
            </w:r>
          </w:p>
        </w:tc>
      </w:tr>
      <w:tr w:rsidR="006761DF" w:rsidRPr="006761DF" w14:paraId="6002216A" w14:textId="77777777">
        <w:tc>
          <w:tcPr>
            <w:tcW w:w="2057" w:type="dxa"/>
            <w:tcBorders>
              <w:top w:val="single" w:sz="4" w:space="0" w:color="auto"/>
              <w:left w:val="single" w:sz="4" w:space="0" w:color="auto"/>
              <w:bottom w:val="single" w:sz="4" w:space="0" w:color="auto"/>
              <w:right w:val="single" w:sz="4" w:space="0" w:color="auto"/>
            </w:tcBorders>
            <w:hideMark/>
          </w:tcPr>
          <w:p w14:paraId="4703F28E"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b/>
                <w:bCs/>
                <w:sz w:val="28"/>
                <w:szCs w:val="28"/>
              </w:rPr>
              <w:t>Європейський Союз</w:t>
            </w:r>
          </w:p>
        </w:tc>
        <w:tc>
          <w:tcPr>
            <w:tcW w:w="3608" w:type="dxa"/>
            <w:tcBorders>
              <w:top w:val="single" w:sz="4" w:space="0" w:color="auto"/>
              <w:left w:val="single" w:sz="4" w:space="0" w:color="auto"/>
              <w:bottom w:val="single" w:sz="4" w:space="0" w:color="auto"/>
              <w:right w:val="single" w:sz="4" w:space="0" w:color="auto"/>
            </w:tcBorders>
            <w:hideMark/>
          </w:tcPr>
          <w:p w14:paraId="7D7CFBB0"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Суд ЄС, Європейський парламент, Єврокомісія</w:t>
            </w:r>
          </w:p>
        </w:tc>
        <w:tc>
          <w:tcPr>
            <w:tcW w:w="3964" w:type="dxa"/>
            <w:tcBorders>
              <w:top w:val="single" w:sz="4" w:space="0" w:color="auto"/>
              <w:left w:val="single" w:sz="4" w:space="0" w:color="auto"/>
              <w:bottom w:val="single" w:sz="4" w:space="0" w:color="auto"/>
              <w:right w:val="single" w:sz="4" w:space="0" w:color="auto"/>
            </w:tcBorders>
            <w:hideMark/>
          </w:tcPr>
          <w:p w14:paraId="3ED0816E"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Наднаціональний арбітраж, врегулювання міждержавних суперечок</w:t>
            </w:r>
          </w:p>
        </w:tc>
      </w:tr>
      <w:tr w:rsidR="006761DF" w:rsidRPr="006761DF" w14:paraId="5AED1574" w14:textId="77777777">
        <w:tc>
          <w:tcPr>
            <w:tcW w:w="2057" w:type="dxa"/>
            <w:tcBorders>
              <w:top w:val="single" w:sz="4" w:space="0" w:color="auto"/>
              <w:left w:val="single" w:sz="4" w:space="0" w:color="auto"/>
              <w:bottom w:val="single" w:sz="4" w:space="0" w:color="auto"/>
              <w:right w:val="single" w:sz="4" w:space="0" w:color="auto"/>
            </w:tcBorders>
            <w:hideMark/>
          </w:tcPr>
          <w:p w14:paraId="4CC8D226"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b/>
                <w:bCs/>
                <w:sz w:val="28"/>
                <w:szCs w:val="28"/>
              </w:rPr>
              <w:t>Загальні інституції</w:t>
            </w:r>
          </w:p>
        </w:tc>
        <w:tc>
          <w:tcPr>
            <w:tcW w:w="3608" w:type="dxa"/>
            <w:tcBorders>
              <w:top w:val="single" w:sz="4" w:space="0" w:color="auto"/>
              <w:left w:val="single" w:sz="4" w:space="0" w:color="auto"/>
              <w:bottom w:val="single" w:sz="4" w:space="0" w:color="auto"/>
              <w:right w:val="single" w:sz="4" w:space="0" w:color="auto"/>
            </w:tcBorders>
            <w:hideMark/>
          </w:tcPr>
          <w:p w14:paraId="4F32D232"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Парламенти, омбудсмани, антикорупційні органи, виборчі комісії</w:t>
            </w:r>
          </w:p>
        </w:tc>
        <w:tc>
          <w:tcPr>
            <w:tcW w:w="3964" w:type="dxa"/>
            <w:tcBorders>
              <w:top w:val="single" w:sz="4" w:space="0" w:color="auto"/>
              <w:left w:val="single" w:sz="4" w:space="0" w:color="auto"/>
              <w:bottom w:val="single" w:sz="4" w:space="0" w:color="auto"/>
              <w:right w:val="single" w:sz="4" w:space="0" w:color="auto"/>
            </w:tcBorders>
            <w:hideMark/>
          </w:tcPr>
          <w:p w14:paraId="6BB6B28F"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Інституціоналізація політичних суперечок, зниження напруги, легітимація рішень</w:t>
            </w:r>
          </w:p>
        </w:tc>
      </w:tr>
    </w:tbl>
    <w:p w14:paraId="545CE692"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p>
    <w:p w14:paraId="0B064A4E"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Порівняльний аналіз інституційних конфліктних технологій у демократичних країнах свідчить про існування різноманітних, але взаємодоповнювальних моделей врегулювання політичних суперечностей. Незважаючи на відмінності у політичних системах (президентські, парламентські, змішані), всі розвинені демократії формують інституційне середовище, яке дозволяє ефективно каналізувати конфлікти в межах правових норм і процедур.</w:t>
      </w:r>
    </w:p>
    <w:p w14:paraId="0B5D4EF5"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 xml:space="preserve">Федералізм (у Німеччині, Канаді, США) виступає механізмом децентралізації напруги та перерозподілу повноважень між рівнями влади, що зменшує ризик конфліктів на національному рівні. Суди конституційної юрисдикції (Федеральний конституційний суд Німеччини, Верховні суди Канади та США) забезпечують арбітражну функцію, виступаючи остаточними </w:t>
      </w:r>
      <w:r w:rsidRPr="006761DF">
        <w:rPr>
          <w:rFonts w:ascii="Times New Roman" w:eastAsia="Calibri" w:hAnsi="Times New Roman" w:cs="Times New Roman"/>
          <w:sz w:val="28"/>
          <w:szCs w:val="28"/>
          <w:lang w:val="uk-UA"/>
        </w:rPr>
        <w:lastRenderedPageBreak/>
        <w:t>гарантами балансу влади. Парламентські механізми та культура компромісу (зокрема в європейських країнах) сприяють легітимному й ненасильницькому вирішенню суперечностей між політичними силами.</w:t>
      </w:r>
    </w:p>
    <w:p w14:paraId="15AABE76"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Особливої уваги заслуговують наднаціональні механізми врегулювання конфліктів у межах Європейського Союзу, які ілюструють здатність політичних систем вийти за рамки національного суверенітету заради стабільності. Наявність незалежних регуляторних органів, як-от виборчі комісії чи омбудсмани, створює додатковий рівень легітимації політичних процесів і підвищує довіру до інституцій.</w:t>
      </w:r>
    </w:p>
    <w:p w14:paraId="525963D9"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Важливою спільною рисою демократичних країн є наявність незалежних регуляторних і наглядових інституцій (виборчих комісій, омбудсманів, антикорупційних органів, рахункових палат), які виконують стабілізуючу функцію в конфліктних ситуаціях. Вони знижують рівень недовіри до політичного процесу, забезпечують прозорість і створюють правові механізми вирішення спорів у межах демократичних процедур.</w:t>
      </w:r>
    </w:p>
    <w:p w14:paraId="4A585166"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Таким чином, інституційні конфліктні технології демократичних країн формують багаторівневу систему управління політичними суперечностями, що поєднує парламентські процедури, судовий арбітраж, федералізм, коаліційне управління та наднаціональні механізми. Європейський досвід, підсилений прикладами Німеччини та Франції, демонструє високу ефективність інституціоналізації конфлікту як інструменту політичної стабільності. Порівняння з Канадою та США підтверджує універсальність демократичного підходу до врегулювання конфліктів, водночас виявляючи залежність його успішності від рівня політичної культури, довіри до інститутів і дотримання процедурних норм. Саме ці чинники визначають здатність демократичних систем трансформувати конфлікт із деструктивного явища на ресурс політичного розвитку.</w:t>
      </w:r>
    </w:p>
    <w:p w14:paraId="3937A087" w14:textId="77777777" w:rsidR="006761DF" w:rsidRDefault="006761DF" w:rsidP="006761DF">
      <w:pPr>
        <w:spacing w:after="0" w:line="360" w:lineRule="auto"/>
        <w:ind w:firstLine="567"/>
        <w:jc w:val="both"/>
        <w:rPr>
          <w:rFonts w:ascii="Times New Roman" w:eastAsia="Calibri" w:hAnsi="Times New Roman" w:cs="Times New Roman"/>
          <w:b/>
          <w:bCs/>
          <w:sz w:val="28"/>
          <w:szCs w:val="28"/>
          <w:lang w:val="uk-UA"/>
        </w:rPr>
      </w:pPr>
    </w:p>
    <w:p w14:paraId="5D433140" w14:textId="77777777" w:rsidR="00176967" w:rsidRPr="006761DF" w:rsidRDefault="00176967" w:rsidP="006761DF">
      <w:pPr>
        <w:spacing w:after="0" w:line="360" w:lineRule="auto"/>
        <w:ind w:firstLine="567"/>
        <w:jc w:val="both"/>
        <w:rPr>
          <w:rFonts w:ascii="Times New Roman" w:eastAsia="Calibri" w:hAnsi="Times New Roman" w:cs="Times New Roman"/>
          <w:b/>
          <w:bCs/>
          <w:sz w:val="28"/>
          <w:szCs w:val="28"/>
          <w:lang w:val="uk-UA"/>
        </w:rPr>
      </w:pPr>
    </w:p>
    <w:p w14:paraId="26163928" w14:textId="77777777" w:rsidR="006761DF" w:rsidRPr="006761DF" w:rsidRDefault="006761DF" w:rsidP="006761DF">
      <w:pPr>
        <w:spacing w:after="0" w:line="360" w:lineRule="auto"/>
        <w:ind w:firstLine="567"/>
        <w:jc w:val="both"/>
        <w:rPr>
          <w:rFonts w:ascii="Times New Roman" w:eastAsia="Calibri" w:hAnsi="Times New Roman" w:cs="Times New Roman"/>
          <w:b/>
          <w:bCs/>
          <w:sz w:val="28"/>
          <w:szCs w:val="28"/>
          <w:lang w:val="uk-UA"/>
        </w:rPr>
      </w:pPr>
      <w:r w:rsidRPr="006761DF">
        <w:rPr>
          <w:rFonts w:ascii="Times New Roman" w:eastAsia="Calibri" w:hAnsi="Times New Roman" w:cs="Times New Roman"/>
          <w:b/>
          <w:bCs/>
          <w:sz w:val="28"/>
          <w:szCs w:val="28"/>
          <w:lang w:val="uk-UA"/>
        </w:rPr>
        <w:lastRenderedPageBreak/>
        <w:t>3.3. Роль громадянського суспільства у розв’язанні політичних конфліктів</w:t>
      </w:r>
    </w:p>
    <w:p w14:paraId="3D9B6C67" w14:textId="77777777" w:rsidR="006761DF" w:rsidRPr="006761DF" w:rsidRDefault="006761DF" w:rsidP="006761DF">
      <w:pPr>
        <w:spacing w:after="0" w:line="360" w:lineRule="auto"/>
        <w:ind w:firstLine="567"/>
        <w:jc w:val="both"/>
        <w:rPr>
          <w:rFonts w:ascii="Times New Roman" w:eastAsia="Calibri" w:hAnsi="Times New Roman" w:cs="Times New Roman"/>
          <w:b/>
          <w:bCs/>
          <w:sz w:val="28"/>
          <w:szCs w:val="28"/>
          <w:lang w:val="uk-UA"/>
        </w:rPr>
      </w:pPr>
    </w:p>
    <w:p w14:paraId="0E9A8017"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У сучасних демократичних політичних системах громадянське суспільство виступає важливим суб’єктом управління та врегулювання політичних конфліктів, доповнюючи інституційно-правові та переговорні механізми. Його роль полягає не лише в артикуляції суспільних інтересів і контролі за діяльністю влади, а й у формуванні альтернативних каналів діалогу, фасилітації взаємодії між конфліктуючими сторонами та зниженні рівня соціальної напруги. Саме участь громадянського суспільства дозволяє трансформувати конфлікт із суто інституційного або елітарного протистояння у більш інклюзивний процес, орієнтований на довгострокову стабілізацію політичного середовища.</w:t>
      </w:r>
    </w:p>
    <w:p w14:paraId="5830AF92"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Однією з ключових функцій громадянського суспільства у врегулюванні політичних конфліктів є комунікативна функція. Недержавні організації, громадські рухи, експертні спільноти та незалежні медіа створюють простір для публічного діалогу, в якому можуть бути представлені інтереси різних соціальних груп. Через публічні обговорення, громадські консультації, круглі столи та діалогові платформи громадянське суспільство сприяє зниженню рівня поляризації та формуванню культури ненасильницького розв’язання конфліктів. У цьому контексті громадські ініціативи часто виконують фасилітаційну роль, забезпечуючи умови для конструктивної взаємодії між владою та опозицією, центром і регіонами, різними ідентифікаційними групами.</w:t>
      </w:r>
    </w:p>
    <w:p w14:paraId="5ECC5D3D"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 xml:space="preserve">Важливою складовою участі громадянського суспільства є його медіаційна функція, що проявляється у залученні незалежних посередників до процесів врегулювання політичних конфліктів. Представники громадських організацій, релігійних інституцій, професійних спільнот або академічного середовища можуть виступати нейтральними сторонами, здатними знизити рівень недовіри між конфліктуючими акторами. На відміну від державних </w:t>
      </w:r>
      <w:r w:rsidRPr="006761DF">
        <w:rPr>
          <w:rFonts w:ascii="Times New Roman" w:eastAsia="Calibri" w:hAnsi="Times New Roman" w:cs="Times New Roman"/>
          <w:sz w:val="28"/>
          <w:szCs w:val="28"/>
          <w:lang w:val="uk-UA"/>
        </w:rPr>
        <w:lastRenderedPageBreak/>
        <w:t>інститутів, громадянське суспільство часто має вищий рівень довіри з боку населення, що підвищує ефективність його посередницьких зусиль, особливо на локальному та регіональному рівнях.</w:t>
      </w:r>
    </w:p>
    <w:p w14:paraId="6121C7E6"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Значну роль громадянське суспільство відіграє у превенції політичних конфліктів. Завдяки постійному моніторингу суспільних настроїв, порушень прав людини та соціальної нерівності громадські організації здатні виявляти потенційні джерела напруженості на ранніх стадіях. Результати такого моніторингу використовуються для адвокації змін у публічній політиці, що дозволяє запобігати ескалації конфліктів. У цьому сенсі громадянське суспільство виконує роль «раннього попередження», доповнюючи формальні механізми державного управління.</w:t>
      </w:r>
    </w:p>
    <w:p w14:paraId="67FE9B1E"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Окремим виміром участі громадянського суспільства у врегулюванні конфліктів є діяльність у постконфліктний період. Громадські ініціативи з примирення, відновлення довіри, реінтеграції постраждалих груп і подолання соціальних травм сприяють формуванню стійкого миру. Через освітні програми, культурні проєкти та міжгрупові діалоги громадянське суспільство допомагає подолати наслідки конфлікту, які не можуть бути усунуті лише правовими або політичними засобами. У цьому контексті роль громадянського суспільства є критично важливою для запобігання повторній ескалації конфліктів.</w:t>
      </w:r>
    </w:p>
    <w:p w14:paraId="2D91C290"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За Н. Джонсом і Ф. Тембо</w:t>
      </w:r>
      <w:r w:rsidRPr="006761DF">
        <w:rPr>
          <w:rFonts w:ascii="Times New Roman" w:eastAsia="Calibri" w:hAnsi="Times New Roman" w:cs="Times New Roman"/>
          <w:sz w:val="28"/>
          <w:szCs w:val="28"/>
          <w:lang w:val="ru-RU"/>
        </w:rPr>
        <w:t xml:space="preserve"> (</w:t>
      </w:r>
      <w:r w:rsidRPr="006761DF">
        <w:rPr>
          <w:rFonts w:ascii="Times New Roman" w:eastAsia="Calibri" w:hAnsi="Times New Roman" w:cs="Times New Roman"/>
          <w:sz w:val="28"/>
          <w:szCs w:val="28"/>
          <w:lang w:val="uk-UA"/>
        </w:rPr>
        <w:t>Jones&amp; Tembo, 2008</w:t>
      </w:r>
      <w:r w:rsidRPr="006761DF">
        <w:rPr>
          <w:rFonts w:ascii="Times New Roman" w:eastAsia="Calibri" w:hAnsi="Times New Roman" w:cs="Times New Roman"/>
          <w:sz w:val="28"/>
          <w:szCs w:val="28"/>
          <w:lang w:val="ru-RU"/>
        </w:rPr>
        <w:t>)</w:t>
      </w:r>
      <w:r w:rsidRPr="006761DF">
        <w:rPr>
          <w:rFonts w:ascii="Times New Roman" w:eastAsia="Calibri" w:hAnsi="Times New Roman" w:cs="Times New Roman"/>
          <w:sz w:val="28"/>
          <w:szCs w:val="28"/>
          <w:lang w:val="uk-UA"/>
        </w:rPr>
        <w:t xml:space="preserve"> громадянське суспільство сприяти належному управлінню, що б не допустити політичних конфліктів (див. табл.)</w:t>
      </w:r>
      <w:r w:rsidRPr="006761DF">
        <w:rPr>
          <w:rFonts w:ascii="Times New Roman" w:eastAsia="Calibri" w:hAnsi="Times New Roman" w:cs="Times New Roman"/>
          <w:sz w:val="28"/>
          <w:szCs w:val="28"/>
          <w:lang w:val="ru-RU"/>
        </w:rPr>
        <w:t>/</w:t>
      </w:r>
    </w:p>
    <w:p w14:paraId="4BE1E108"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p>
    <w:p w14:paraId="3382DE20"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p>
    <w:tbl>
      <w:tblPr>
        <w:tblStyle w:val="31"/>
        <w:tblW w:w="0" w:type="auto"/>
        <w:tblInd w:w="0" w:type="dxa"/>
        <w:tblLook w:val="04A0" w:firstRow="1" w:lastRow="0" w:firstColumn="1" w:lastColumn="0" w:noHBand="0" w:noVBand="1"/>
      </w:tblPr>
      <w:tblGrid>
        <w:gridCol w:w="825"/>
        <w:gridCol w:w="2539"/>
        <w:gridCol w:w="5981"/>
      </w:tblGrid>
      <w:tr w:rsidR="006761DF" w:rsidRPr="006761DF" w14:paraId="578BB0FF" w14:textId="77777777">
        <w:tc>
          <w:tcPr>
            <w:tcW w:w="846" w:type="dxa"/>
            <w:tcBorders>
              <w:top w:val="single" w:sz="4" w:space="0" w:color="auto"/>
              <w:left w:val="single" w:sz="4" w:space="0" w:color="auto"/>
              <w:bottom w:val="single" w:sz="4" w:space="0" w:color="auto"/>
              <w:right w:val="single" w:sz="4" w:space="0" w:color="auto"/>
            </w:tcBorders>
            <w:hideMark/>
          </w:tcPr>
          <w:p w14:paraId="3E9052E2" w14:textId="77777777" w:rsidR="006761DF" w:rsidRPr="006761DF" w:rsidRDefault="006761DF" w:rsidP="006761DF">
            <w:pPr>
              <w:spacing w:line="360" w:lineRule="auto"/>
              <w:jc w:val="center"/>
              <w:rPr>
                <w:rFonts w:ascii="Times New Roman" w:hAnsi="Times New Roman"/>
                <w:sz w:val="28"/>
                <w:szCs w:val="28"/>
              </w:rPr>
            </w:pPr>
            <w:r w:rsidRPr="006761DF">
              <w:rPr>
                <w:rFonts w:ascii="Times New Roman" w:hAnsi="Times New Roman"/>
                <w:b/>
                <w:bCs/>
                <w:sz w:val="28"/>
                <w:szCs w:val="28"/>
              </w:rPr>
              <w:t>№</w:t>
            </w:r>
          </w:p>
        </w:tc>
        <w:tc>
          <w:tcPr>
            <w:tcW w:w="2551" w:type="dxa"/>
            <w:tcBorders>
              <w:top w:val="single" w:sz="4" w:space="0" w:color="auto"/>
              <w:left w:val="single" w:sz="4" w:space="0" w:color="auto"/>
              <w:bottom w:val="single" w:sz="4" w:space="0" w:color="auto"/>
              <w:right w:val="single" w:sz="4" w:space="0" w:color="auto"/>
            </w:tcBorders>
            <w:hideMark/>
          </w:tcPr>
          <w:p w14:paraId="41C87919" w14:textId="77777777" w:rsidR="006761DF" w:rsidRPr="006761DF" w:rsidRDefault="006761DF" w:rsidP="006761DF">
            <w:pPr>
              <w:spacing w:line="360" w:lineRule="auto"/>
              <w:jc w:val="center"/>
              <w:rPr>
                <w:rFonts w:ascii="Times New Roman" w:hAnsi="Times New Roman"/>
                <w:sz w:val="28"/>
                <w:szCs w:val="28"/>
              </w:rPr>
            </w:pPr>
            <w:r w:rsidRPr="006761DF">
              <w:rPr>
                <w:rFonts w:ascii="Times New Roman" w:hAnsi="Times New Roman"/>
                <w:b/>
                <w:bCs/>
                <w:sz w:val="28"/>
                <w:szCs w:val="28"/>
              </w:rPr>
              <w:t>Спосіб впливу громадянського суспільства</w:t>
            </w:r>
          </w:p>
        </w:tc>
        <w:tc>
          <w:tcPr>
            <w:tcW w:w="6232" w:type="dxa"/>
            <w:tcBorders>
              <w:top w:val="single" w:sz="4" w:space="0" w:color="auto"/>
              <w:left w:val="single" w:sz="4" w:space="0" w:color="auto"/>
              <w:bottom w:val="single" w:sz="4" w:space="0" w:color="auto"/>
              <w:right w:val="single" w:sz="4" w:space="0" w:color="auto"/>
            </w:tcBorders>
            <w:hideMark/>
          </w:tcPr>
          <w:p w14:paraId="42DA9B7C" w14:textId="77777777" w:rsidR="006761DF" w:rsidRPr="006761DF" w:rsidRDefault="006761DF" w:rsidP="006761DF">
            <w:pPr>
              <w:spacing w:line="360" w:lineRule="auto"/>
              <w:jc w:val="center"/>
              <w:rPr>
                <w:rFonts w:ascii="Times New Roman" w:hAnsi="Times New Roman"/>
                <w:sz w:val="28"/>
                <w:szCs w:val="28"/>
              </w:rPr>
            </w:pPr>
            <w:r w:rsidRPr="006761DF">
              <w:rPr>
                <w:rFonts w:ascii="Times New Roman" w:hAnsi="Times New Roman"/>
                <w:b/>
                <w:bCs/>
                <w:sz w:val="28"/>
                <w:szCs w:val="28"/>
              </w:rPr>
              <w:t>Приклади</w:t>
            </w:r>
          </w:p>
        </w:tc>
      </w:tr>
      <w:tr w:rsidR="006761DF" w:rsidRPr="006761DF" w14:paraId="549FF68E" w14:textId="77777777">
        <w:tc>
          <w:tcPr>
            <w:tcW w:w="846" w:type="dxa"/>
            <w:tcBorders>
              <w:top w:val="single" w:sz="4" w:space="0" w:color="auto"/>
              <w:left w:val="single" w:sz="4" w:space="0" w:color="auto"/>
              <w:bottom w:val="single" w:sz="4" w:space="0" w:color="auto"/>
              <w:right w:val="single" w:sz="4" w:space="0" w:color="auto"/>
            </w:tcBorders>
            <w:hideMark/>
          </w:tcPr>
          <w:p w14:paraId="25121562"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lastRenderedPageBreak/>
              <w:t>1</w:t>
            </w:r>
          </w:p>
        </w:tc>
        <w:tc>
          <w:tcPr>
            <w:tcW w:w="2551" w:type="dxa"/>
            <w:tcBorders>
              <w:top w:val="single" w:sz="4" w:space="0" w:color="auto"/>
              <w:left w:val="single" w:sz="4" w:space="0" w:color="auto"/>
              <w:bottom w:val="single" w:sz="4" w:space="0" w:color="auto"/>
              <w:right w:val="single" w:sz="4" w:space="0" w:color="auto"/>
            </w:tcBorders>
            <w:hideMark/>
          </w:tcPr>
          <w:p w14:paraId="41CB15E9"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b/>
                <w:bCs/>
                <w:sz w:val="28"/>
                <w:szCs w:val="28"/>
              </w:rPr>
              <w:t>Посилення потужностей держави</w:t>
            </w:r>
          </w:p>
        </w:tc>
        <w:tc>
          <w:tcPr>
            <w:tcW w:w="6232" w:type="dxa"/>
            <w:tcBorders>
              <w:top w:val="single" w:sz="4" w:space="0" w:color="auto"/>
              <w:left w:val="single" w:sz="4" w:space="0" w:color="auto"/>
              <w:bottom w:val="single" w:sz="4" w:space="0" w:color="auto"/>
              <w:right w:val="single" w:sz="4" w:space="0" w:color="auto"/>
            </w:tcBorders>
            <w:hideMark/>
          </w:tcPr>
          <w:p w14:paraId="27146629"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Формування бюджету, участь у політиці, доступ до правосуддя, підвищення обізнаності громадян про свої права. Приклади: участь у формуванні політик, правова освіта, захист прав пацієнтів, спостереження за судами.</w:t>
            </w:r>
          </w:p>
        </w:tc>
      </w:tr>
      <w:tr w:rsidR="006761DF" w:rsidRPr="006761DF" w14:paraId="07A552F7" w14:textId="77777777">
        <w:tc>
          <w:tcPr>
            <w:tcW w:w="846" w:type="dxa"/>
            <w:tcBorders>
              <w:top w:val="single" w:sz="4" w:space="0" w:color="auto"/>
              <w:left w:val="single" w:sz="4" w:space="0" w:color="auto"/>
              <w:bottom w:val="single" w:sz="4" w:space="0" w:color="auto"/>
              <w:right w:val="single" w:sz="4" w:space="0" w:color="auto"/>
            </w:tcBorders>
            <w:hideMark/>
          </w:tcPr>
          <w:p w14:paraId="17C28040"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2</w:t>
            </w:r>
          </w:p>
        </w:tc>
        <w:tc>
          <w:tcPr>
            <w:tcW w:w="2551" w:type="dxa"/>
            <w:tcBorders>
              <w:top w:val="single" w:sz="4" w:space="0" w:color="auto"/>
              <w:left w:val="single" w:sz="4" w:space="0" w:color="auto"/>
              <w:bottom w:val="single" w:sz="4" w:space="0" w:color="auto"/>
              <w:right w:val="single" w:sz="4" w:space="0" w:color="auto"/>
            </w:tcBorders>
            <w:hideMark/>
          </w:tcPr>
          <w:p w14:paraId="1BBEE8D9"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b/>
                <w:bCs/>
                <w:sz w:val="28"/>
                <w:szCs w:val="28"/>
              </w:rPr>
              <w:t>Створення державної підзвітності</w:t>
            </w:r>
          </w:p>
        </w:tc>
        <w:tc>
          <w:tcPr>
            <w:tcW w:w="6232" w:type="dxa"/>
            <w:tcBorders>
              <w:top w:val="single" w:sz="4" w:space="0" w:color="auto"/>
              <w:left w:val="single" w:sz="4" w:space="0" w:color="auto"/>
              <w:bottom w:val="single" w:sz="4" w:space="0" w:color="auto"/>
              <w:right w:val="single" w:sz="4" w:space="0" w:color="auto"/>
            </w:tcBorders>
            <w:hideMark/>
          </w:tcPr>
          <w:p w14:paraId="05F79F42"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Встановлення стандартів прозорості, протидія зловживанням. Приклади: соціальний аудит, запити до держави, моніторинг публічної політики, парламентські слухання, протестні акції.</w:t>
            </w:r>
          </w:p>
        </w:tc>
      </w:tr>
      <w:tr w:rsidR="006761DF" w:rsidRPr="006761DF" w14:paraId="3766925F" w14:textId="77777777">
        <w:tc>
          <w:tcPr>
            <w:tcW w:w="846" w:type="dxa"/>
            <w:tcBorders>
              <w:top w:val="single" w:sz="4" w:space="0" w:color="auto"/>
              <w:left w:val="single" w:sz="4" w:space="0" w:color="auto"/>
              <w:bottom w:val="single" w:sz="4" w:space="0" w:color="auto"/>
              <w:right w:val="single" w:sz="4" w:space="0" w:color="auto"/>
            </w:tcBorders>
            <w:hideMark/>
          </w:tcPr>
          <w:p w14:paraId="6C6C72BE"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3</w:t>
            </w:r>
          </w:p>
        </w:tc>
        <w:tc>
          <w:tcPr>
            <w:tcW w:w="2551" w:type="dxa"/>
            <w:tcBorders>
              <w:top w:val="single" w:sz="4" w:space="0" w:color="auto"/>
              <w:left w:val="single" w:sz="4" w:space="0" w:color="auto"/>
              <w:bottom w:val="single" w:sz="4" w:space="0" w:color="auto"/>
              <w:right w:val="single" w:sz="4" w:space="0" w:color="auto"/>
            </w:tcBorders>
            <w:hideMark/>
          </w:tcPr>
          <w:p w14:paraId="177AD8E3"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b/>
                <w:bCs/>
                <w:sz w:val="28"/>
                <w:szCs w:val="28"/>
              </w:rPr>
              <w:t>Розбудова відповідальності держави</w:t>
            </w:r>
          </w:p>
        </w:tc>
        <w:tc>
          <w:tcPr>
            <w:tcW w:w="6232" w:type="dxa"/>
            <w:tcBorders>
              <w:top w:val="single" w:sz="4" w:space="0" w:color="auto"/>
              <w:left w:val="single" w:sz="4" w:space="0" w:color="auto"/>
              <w:bottom w:val="single" w:sz="4" w:space="0" w:color="auto"/>
              <w:right w:val="single" w:sz="4" w:space="0" w:color="auto"/>
            </w:tcBorders>
            <w:hideMark/>
          </w:tcPr>
          <w:p w14:paraId="5EDF4BAA"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Виявлення потреб громад, подання пропозицій, соціальні оцінки та мобілізація. Приклади: аналітичні звіти, публічні обговорення, адвокаційні кампанії.</w:t>
            </w:r>
          </w:p>
        </w:tc>
      </w:tr>
    </w:tbl>
    <w:p w14:paraId="750A29A4"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p>
    <w:p w14:paraId="21EC5E55"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Представлена таблиця відображає ключові способи впливу громадянського суспільства на належне врядування, які, у контексті врегулювання політичних конфліктів, набувають особливої значущості. Роль громадянського суспільства у цьому процесі є багатовимірною і включає як посилення потенціалу державних інституцій, так і формування підзвітності та відповідальності органів влади. Через участь у формуванні політик, підвищення обізнаності громадян про їхні права, здійснення громадського контролю, а також формування суспільного тиску через адвокацію та мобілізацію, громадянське суспільство створює легітимні механізми для деескалації конфліктів та їхнього інституційного врегулювання.</w:t>
      </w:r>
    </w:p>
    <w:p w14:paraId="03EBB022"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 xml:space="preserve">Зокрема, діяльність громадських організацій у сфері моніторингу державної політики, публічного контролю над органами влади, ініціювання парламентських слухань або підтримки постраждалих груп дозволяє знижувати рівень соціальної напруги та попереджувати радикалізацію. Такі практики сприяють трансформації політичних конфліктів у врегульовану </w:t>
      </w:r>
      <w:r w:rsidRPr="006761DF">
        <w:rPr>
          <w:rFonts w:ascii="Times New Roman" w:eastAsia="Calibri" w:hAnsi="Times New Roman" w:cs="Times New Roman"/>
          <w:sz w:val="28"/>
          <w:szCs w:val="28"/>
          <w:lang w:val="uk-UA"/>
        </w:rPr>
        <w:lastRenderedPageBreak/>
        <w:t>форму конструктивного діалогу та посилюють довіру громадян до інститутів демократії. Отже, громадянське суспільство постає не лише пасивним спостерігачем, а активним учасником врегулювання політичних суперечностей через ненасильницькі, правові та інституціоналізовані засоби впливу.</w:t>
      </w:r>
    </w:p>
    <w:p w14:paraId="03D0C63F"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Український досвід розвитку громадянського суспільства в умовах тривалого політичного та збройного протистояння є показовим прикладом його значення у технологіях розв’язання конфліктів. Після 2014 року громадські організації, волонтерські рухи та експертні платформи стали активними учасниками процесів діалогу, гуманітарної підтримки та інформаційної стабілізації. Вони відіграли важливу роль у зниженні соціальної напруги, підтримці внутрішньо переміщених осіб і формуванні горизонтальних зв’язків між різними регіонами країни. У багатьох випадках саме громадянське суспільство компенсувало обмежені можливості державних інституцій у сфері постконфліктного відновлення.</w:t>
      </w:r>
    </w:p>
    <w:p w14:paraId="7B5213B5"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Водночас участь громадянського суспільства у врегулюванні політичних конфліктів має свої обмеження. Ефективність громадських ініціатив значною мірою залежить від рівня їхньої інституційної спроможності, доступу до ресурсів і готовності державних органів до співпраці. У разі політизації громадського сектору або його фрагментації громадянське суспільство може втрачати роль нейтрального посередника й навіть ставати додатковим чинником конфліктності. Це актуалізує потребу в інституціалізації взаємодії між державою та громадянським суспільством на засадах партнерства та взаємної довіри.</w:t>
      </w:r>
    </w:p>
    <w:p w14:paraId="16CB0922"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 xml:space="preserve">Таким чином, громадянське суспільство виступає невід’ємним елементом сучасних технологій розв’язання політичних конфліктів, забезпечуючи інклюзивність, гнучкість і соціальну легітимність процесів врегулювання. Його роль полягає у доповненні формальних інституційних механізмів через фасилітацію діалогу, медіацію, превенцію конфліктів і постконфліктне відновлення. У поєднанні з конституційно-правовими, переговорними та </w:t>
      </w:r>
      <w:r w:rsidRPr="006761DF">
        <w:rPr>
          <w:rFonts w:ascii="Times New Roman" w:eastAsia="Calibri" w:hAnsi="Times New Roman" w:cs="Times New Roman"/>
          <w:sz w:val="28"/>
          <w:szCs w:val="28"/>
          <w:lang w:val="uk-UA"/>
        </w:rPr>
        <w:lastRenderedPageBreak/>
        <w:t>інформаційно-комунікаційними інструментами громадянське суспільство формує комплексну модель управління політичними конфліктами, орієнтовану на деескалацію, стійкість і демократичний розвиток.</w:t>
      </w:r>
    </w:p>
    <w:p w14:paraId="062A12EE" w14:textId="77777777" w:rsidR="006761DF" w:rsidRDefault="006761DF" w:rsidP="006761DF">
      <w:pPr>
        <w:spacing w:after="0" w:line="360" w:lineRule="auto"/>
        <w:ind w:firstLine="567"/>
        <w:jc w:val="both"/>
        <w:rPr>
          <w:rFonts w:ascii="Times New Roman" w:eastAsia="Calibri" w:hAnsi="Times New Roman" w:cs="Times New Roman"/>
          <w:sz w:val="28"/>
          <w:szCs w:val="28"/>
          <w:lang w:val="uk-UA"/>
        </w:rPr>
      </w:pPr>
    </w:p>
    <w:p w14:paraId="3F1A1DF2" w14:textId="77777777" w:rsidR="001B620D" w:rsidRPr="006761DF" w:rsidRDefault="001B620D" w:rsidP="006761DF">
      <w:pPr>
        <w:spacing w:after="0" w:line="360" w:lineRule="auto"/>
        <w:ind w:firstLine="567"/>
        <w:jc w:val="both"/>
        <w:rPr>
          <w:rFonts w:ascii="Times New Roman" w:eastAsia="Calibri" w:hAnsi="Times New Roman" w:cs="Times New Roman"/>
          <w:sz w:val="28"/>
          <w:szCs w:val="28"/>
          <w:lang w:val="uk-UA"/>
        </w:rPr>
      </w:pPr>
    </w:p>
    <w:p w14:paraId="1724E312" w14:textId="77777777" w:rsidR="006761DF" w:rsidRPr="006761DF" w:rsidRDefault="006761DF" w:rsidP="006761DF">
      <w:pPr>
        <w:spacing w:after="0" w:line="360" w:lineRule="auto"/>
        <w:ind w:firstLine="567"/>
        <w:jc w:val="both"/>
        <w:rPr>
          <w:rFonts w:ascii="Times New Roman" w:eastAsia="Calibri" w:hAnsi="Times New Roman" w:cs="Times New Roman"/>
          <w:i/>
          <w:iCs/>
          <w:sz w:val="28"/>
          <w:szCs w:val="28"/>
          <w:lang w:val="uk-UA"/>
        </w:rPr>
      </w:pPr>
      <w:r w:rsidRPr="006761DF">
        <w:rPr>
          <w:rFonts w:ascii="Times New Roman" w:eastAsia="Calibri" w:hAnsi="Times New Roman" w:cs="Times New Roman"/>
          <w:i/>
          <w:iCs/>
          <w:sz w:val="28"/>
          <w:szCs w:val="28"/>
          <w:lang w:val="uk-UA"/>
        </w:rPr>
        <w:t>Висновок до третього розділу</w:t>
      </w:r>
    </w:p>
    <w:p w14:paraId="7D27DC43"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Інституційно-правові технології врегулювання політичних конфліктів є фундаментом для забезпечення політичної стабільності, демократичної легітимності та ненасильницького розв’язання суперечностей у сучасних державах. Аналіз механізмів конституційного й законодавчого врегулювання демонструє, що саме формалізація політичної взаємодії та правове закріплення процедур дозволяють знизити рівень конфліктності, створити умови для врівноваження інтересів різних політичних сил і запобігти ескалації протистояння.</w:t>
      </w:r>
    </w:p>
    <w:p w14:paraId="7D39F56A"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Інституційні конфліктні технології, притаманні демократичним країнам, свідчать про багаторівневий і взаємодоповнювальний характер систем врегулювання — від парламентських процедур до наднаціональних арбітражних механізмів. Практики Німеччини, Франції, США, Канади та ЄС ілюструють, що ключовими інструментами інституціоналізації конфлікту є федералізм, судовий арбітраж, коаліційне управління та культура компромісу. Водночас ефективність цих технологій залежить від рівня довіри до інститутів, дотримання процедурних норм та політичної культури.</w:t>
      </w:r>
    </w:p>
    <w:p w14:paraId="3388E61C"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 xml:space="preserve">Роль громадянського суспільства в технологіях розв’язання політичних конфліктів проявляється у формуванні альтернативних каналів діалогу, здійсненні медіації, превенції напруженості та участі в постконфліктному відновленні. Активність громадських організацій, незалежних медіа, експертних спільнот і волонтерських рухів сприяє підвищенню інклюзивності процесів врегулювання, особливо в умовах обмежених ресурсів або неефективності державних інститутів. Водночас для реалізації повного потенціалу громадянського суспільства необхідне його інституційне </w:t>
      </w:r>
      <w:r w:rsidRPr="006761DF">
        <w:rPr>
          <w:rFonts w:ascii="Times New Roman" w:eastAsia="Calibri" w:hAnsi="Times New Roman" w:cs="Times New Roman"/>
          <w:sz w:val="28"/>
          <w:szCs w:val="28"/>
          <w:lang w:val="uk-UA"/>
        </w:rPr>
        <w:lastRenderedPageBreak/>
        <w:t>зміцнення, забезпечення ресурсної стійкості та партнерська взаємодія з державою.</w:t>
      </w:r>
    </w:p>
    <w:p w14:paraId="25F08ABA"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У сукупності інституційно-правові, інституційні та громадські технології формують цілісну модель демократичного управління політичними конфліктами, що орієнтована на деескалацію, збереження стабільності та забезпечення легітимного розвитку політичної системи.</w:t>
      </w:r>
    </w:p>
    <w:p w14:paraId="1806D126"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p>
    <w:p w14:paraId="34189829" w14:textId="77777777" w:rsidR="00687125" w:rsidRPr="006761DF" w:rsidRDefault="00687125">
      <w:pPr>
        <w:rPr>
          <w:rFonts w:ascii="Times New Roman" w:hAnsi="Times New Roman" w:cs="Times New Roman"/>
          <w:sz w:val="28"/>
          <w:szCs w:val="28"/>
          <w:lang w:val="uk-UA"/>
        </w:rPr>
      </w:pPr>
    </w:p>
    <w:p w14:paraId="3AAAE266" w14:textId="77777777" w:rsidR="006761DF" w:rsidRPr="006761DF" w:rsidRDefault="006761DF">
      <w:pPr>
        <w:rPr>
          <w:rFonts w:ascii="Times New Roman" w:hAnsi="Times New Roman" w:cs="Times New Roman"/>
          <w:sz w:val="28"/>
          <w:szCs w:val="28"/>
          <w:lang w:val="uk-UA"/>
        </w:rPr>
      </w:pPr>
    </w:p>
    <w:p w14:paraId="767945E1" w14:textId="77777777" w:rsidR="006761DF" w:rsidRPr="006761DF" w:rsidRDefault="006761DF">
      <w:pPr>
        <w:rPr>
          <w:rFonts w:ascii="Times New Roman" w:hAnsi="Times New Roman" w:cs="Times New Roman"/>
          <w:sz w:val="28"/>
          <w:szCs w:val="28"/>
          <w:lang w:val="uk-UA"/>
        </w:rPr>
      </w:pPr>
    </w:p>
    <w:p w14:paraId="731C900D" w14:textId="77777777" w:rsidR="006761DF" w:rsidRPr="006761DF" w:rsidRDefault="006761DF">
      <w:pPr>
        <w:rPr>
          <w:rFonts w:ascii="Times New Roman" w:hAnsi="Times New Roman" w:cs="Times New Roman"/>
          <w:sz w:val="28"/>
          <w:szCs w:val="28"/>
          <w:lang w:val="uk-UA"/>
        </w:rPr>
      </w:pPr>
    </w:p>
    <w:p w14:paraId="102A65B5" w14:textId="77777777" w:rsidR="006761DF" w:rsidRPr="006761DF" w:rsidRDefault="006761DF">
      <w:pPr>
        <w:rPr>
          <w:rFonts w:ascii="Times New Roman" w:hAnsi="Times New Roman" w:cs="Times New Roman"/>
          <w:sz w:val="28"/>
          <w:szCs w:val="28"/>
          <w:lang w:val="uk-UA"/>
        </w:rPr>
      </w:pPr>
    </w:p>
    <w:p w14:paraId="39F34608" w14:textId="77777777" w:rsidR="006761DF" w:rsidRPr="006761DF" w:rsidRDefault="006761DF">
      <w:pPr>
        <w:rPr>
          <w:rFonts w:ascii="Times New Roman" w:hAnsi="Times New Roman" w:cs="Times New Roman"/>
          <w:sz w:val="28"/>
          <w:szCs w:val="28"/>
          <w:lang w:val="uk-UA"/>
        </w:rPr>
      </w:pPr>
    </w:p>
    <w:p w14:paraId="56494AC3" w14:textId="77777777" w:rsidR="006761DF" w:rsidRPr="006761DF" w:rsidRDefault="006761DF">
      <w:pPr>
        <w:rPr>
          <w:rFonts w:ascii="Times New Roman" w:hAnsi="Times New Roman" w:cs="Times New Roman"/>
          <w:sz w:val="28"/>
          <w:szCs w:val="28"/>
          <w:lang w:val="uk-UA"/>
        </w:rPr>
      </w:pPr>
    </w:p>
    <w:p w14:paraId="4917AB15" w14:textId="77777777" w:rsidR="006761DF" w:rsidRPr="006761DF" w:rsidRDefault="006761DF">
      <w:pPr>
        <w:rPr>
          <w:rFonts w:ascii="Times New Roman" w:hAnsi="Times New Roman" w:cs="Times New Roman"/>
          <w:sz w:val="28"/>
          <w:szCs w:val="28"/>
          <w:lang w:val="uk-UA"/>
        </w:rPr>
      </w:pPr>
    </w:p>
    <w:p w14:paraId="408B9F8D" w14:textId="77777777" w:rsidR="006761DF" w:rsidRPr="006761DF" w:rsidRDefault="006761DF">
      <w:pPr>
        <w:rPr>
          <w:rFonts w:ascii="Times New Roman" w:hAnsi="Times New Roman" w:cs="Times New Roman"/>
          <w:sz w:val="28"/>
          <w:szCs w:val="28"/>
          <w:lang w:val="uk-UA"/>
        </w:rPr>
      </w:pPr>
    </w:p>
    <w:p w14:paraId="65C8D0AE" w14:textId="77777777" w:rsidR="006761DF" w:rsidRPr="006761DF" w:rsidRDefault="006761DF">
      <w:pPr>
        <w:rPr>
          <w:rFonts w:ascii="Times New Roman" w:hAnsi="Times New Roman" w:cs="Times New Roman"/>
          <w:sz w:val="28"/>
          <w:szCs w:val="28"/>
          <w:lang w:val="uk-UA"/>
        </w:rPr>
      </w:pPr>
    </w:p>
    <w:p w14:paraId="1DA475FD" w14:textId="77777777" w:rsidR="006761DF" w:rsidRPr="006761DF" w:rsidRDefault="006761DF">
      <w:pPr>
        <w:rPr>
          <w:rFonts w:ascii="Times New Roman" w:hAnsi="Times New Roman" w:cs="Times New Roman"/>
          <w:sz w:val="28"/>
          <w:szCs w:val="28"/>
          <w:lang w:val="uk-UA"/>
        </w:rPr>
      </w:pPr>
    </w:p>
    <w:p w14:paraId="7E6F898D" w14:textId="77777777" w:rsidR="006761DF" w:rsidRPr="006761DF" w:rsidRDefault="006761DF">
      <w:pPr>
        <w:rPr>
          <w:rFonts w:ascii="Times New Roman" w:hAnsi="Times New Roman" w:cs="Times New Roman"/>
          <w:sz w:val="28"/>
          <w:szCs w:val="28"/>
          <w:lang w:val="uk-UA"/>
        </w:rPr>
      </w:pPr>
    </w:p>
    <w:p w14:paraId="5C3A941B" w14:textId="77777777" w:rsidR="006761DF" w:rsidRPr="006761DF" w:rsidRDefault="006761DF">
      <w:pPr>
        <w:rPr>
          <w:rFonts w:ascii="Times New Roman" w:hAnsi="Times New Roman" w:cs="Times New Roman"/>
          <w:sz w:val="28"/>
          <w:szCs w:val="28"/>
          <w:lang w:val="uk-UA"/>
        </w:rPr>
      </w:pPr>
    </w:p>
    <w:p w14:paraId="07A8B58F" w14:textId="77777777" w:rsidR="006761DF" w:rsidRPr="006761DF" w:rsidRDefault="006761DF">
      <w:pPr>
        <w:rPr>
          <w:rFonts w:ascii="Times New Roman" w:hAnsi="Times New Roman" w:cs="Times New Roman"/>
          <w:sz w:val="28"/>
          <w:szCs w:val="28"/>
          <w:lang w:val="uk-UA"/>
        </w:rPr>
      </w:pPr>
    </w:p>
    <w:p w14:paraId="2263AE13" w14:textId="77777777" w:rsidR="006761DF" w:rsidRPr="006761DF" w:rsidRDefault="006761DF">
      <w:pPr>
        <w:rPr>
          <w:rFonts w:ascii="Times New Roman" w:hAnsi="Times New Roman" w:cs="Times New Roman"/>
          <w:sz w:val="28"/>
          <w:szCs w:val="28"/>
          <w:lang w:val="uk-UA"/>
        </w:rPr>
      </w:pPr>
    </w:p>
    <w:p w14:paraId="2BDAAB87" w14:textId="77777777" w:rsidR="006761DF" w:rsidRPr="006761DF" w:rsidRDefault="006761DF">
      <w:pPr>
        <w:rPr>
          <w:rFonts w:ascii="Times New Roman" w:hAnsi="Times New Roman" w:cs="Times New Roman"/>
          <w:sz w:val="28"/>
          <w:szCs w:val="28"/>
          <w:lang w:val="uk-UA"/>
        </w:rPr>
      </w:pPr>
    </w:p>
    <w:p w14:paraId="50E11061" w14:textId="77777777" w:rsidR="006761DF" w:rsidRPr="006761DF" w:rsidRDefault="006761DF">
      <w:pPr>
        <w:rPr>
          <w:rFonts w:ascii="Times New Roman" w:hAnsi="Times New Roman" w:cs="Times New Roman"/>
          <w:sz w:val="28"/>
          <w:szCs w:val="28"/>
          <w:lang w:val="uk-UA"/>
        </w:rPr>
      </w:pPr>
    </w:p>
    <w:p w14:paraId="1FB5C6DE" w14:textId="77777777" w:rsidR="006761DF" w:rsidRPr="006761DF" w:rsidRDefault="006761DF">
      <w:pPr>
        <w:rPr>
          <w:rFonts w:ascii="Times New Roman" w:hAnsi="Times New Roman" w:cs="Times New Roman"/>
          <w:sz w:val="28"/>
          <w:szCs w:val="28"/>
          <w:lang w:val="uk-UA"/>
        </w:rPr>
      </w:pPr>
    </w:p>
    <w:p w14:paraId="252135C2" w14:textId="77777777" w:rsidR="006761DF" w:rsidRPr="006761DF" w:rsidRDefault="006761DF">
      <w:pPr>
        <w:rPr>
          <w:rFonts w:ascii="Times New Roman" w:hAnsi="Times New Roman" w:cs="Times New Roman"/>
          <w:sz w:val="28"/>
          <w:szCs w:val="28"/>
          <w:lang w:val="uk-UA"/>
        </w:rPr>
      </w:pPr>
    </w:p>
    <w:p w14:paraId="65C66E2B" w14:textId="77777777" w:rsidR="006761DF" w:rsidRPr="006761DF" w:rsidRDefault="006761DF">
      <w:pPr>
        <w:rPr>
          <w:rFonts w:ascii="Times New Roman" w:hAnsi="Times New Roman" w:cs="Times New Roman"/>
          <w:sz w:val="28"/>
          <w:szCs w:val="28"/>
          <w:lang w:val="uk-UA"/>
        </w:rPr>
      </w:pPr>
    </w:p>
    <w:p w14:paraId="2FB68FB7" w14:textId="77777777" w:rsidR="006761DF" w:rsidRDefault="006761DF">
      <w:pPr>
        <w:rPr>
          <w:rFonts w:ascii="Times New Roman" w:hAnsi="Times New Roman" w:cs="Times New Roman"/>
          <w:sz w:val="28"/>
          <w:szCs w:val="28"/>
          <w:lang w:val="uk-UA"/>
        </w:rPr>
      </w:pPr>
    </w:p>
    <w:p w14:paraId="1F865D2F" w14:textId="77777777" w:rsidR="006761DF" w:rsidRPr="006761DF" w:rsidRDefault="006761DF" w:rsidP="006761DF">
      <w:pPr>
        <w:spacing w:after="0" w:line="360" w:lineRule="auto"/>
        <w:ind w:firstLine="567"/>
        <w:jc w:val="center"/>
        <w:rPr>
          <w:rFonts w:ascii="Times New Roman" w:eastAsia="Calibri" w:hAnsi="Times New Roman" w:cs="Times New Roman"/>
          <w:b/>
          <w:bCs/>
          <w:sz w:val="28"/>
          <w:szCs w:val="28"/>
          <w:lang w:val="uk-UA"/>
        </w:rPr>
      </w:pPr>
      <w:r w:rsidRPr="006761DF">
        <w:rPr>
          <w:rFonts w:ascii="Times New Roman" w:eastAsia="Calibri" w:hAnsi="Times New Roman" w:cs="Times New Roman"/>
          <w:b/>
          <w:bCs/>
          <w:sz w:val="28"/>
          <w:szCs w:val="28"/>
          <w:lang w:val="uk-UA"/>
        </w:rPr>
        <w:lastRenderedPageBreak/>
        <w:t>Розділ 4</w:t>
      </w:r>
    </w:p>
    <w:p w14:paraId="00B1A29A" w14:textId="77777777" w:rsidR="006761DF" w:rsidRPr="006761DF" w:rsidRDefault="006761DF" w:rsidP="006761DF">
      <w:pPr>
        <w:spacing w:after="0" w:line="360" w:lineRule="auto"/>
        <w:ind w:firstLine="567"/>
        <w:jc w:val="center"/>
        <w:rPr>
          <w:rFonts w:ascii="Times New Roman" w:eastAsia="Calibri" w:hAnsi="Times New Roman" w:cs="Times New Roman"/>
          <w:b/>
          <w:bCs/>
          <w:sz w:val="28"/>
          <w:szCs w:val="28"/>
          <w:lang w:val="uk-UA"/>
        </w:rPr>
      </w:pPr>
      <w:r w:rsidRPr="006761DF">
        <w:rPr>
          <w:rFonts w:ascii="Times New Roman" w:eastAsia="Calibri" w:hAnsi="Times New Roman" w:cs="Times New Roman"/>
          <w:b/>
          <w:bCs/>
          <w:sz w:val="28"/>
          <w:szCs w:val="28"/>
          <w:lang w:val="uk-UA"/>
        </w:rPr>
        <w:t>Роль інформаційно-комунікаційних технологій у врегулюванні політичних конфліктів</w:t>
      </w:r>
    </w:p>
    <w:p w14:paraId="39B7AF35" w14:textId="77777777" w:rsidR="006761DF" w:rsidRPr="006761DF" w:rsidRDefault="006761DF" w:rsidP="006761DF">
      <w:pPr>
        <w:spacing w:after="0" w:line="360" w:lineRule="auto"/>
        <w:ind w:firstLine="567"/>
        <w:jc w:val="center"/>
        <w:rPr>
          <w:rFonts w:ascii="Times New Roman" w:eastAsia="Calibri" w:hAnsi="Times New Roman" w:cs="Times New Roman"/>
          <w:b/>
          <w:bCs/>
          <w:sz w:val="28"/>
          <w:szCs w:val="28"/>
          <w:lang w:val="uk-UA"/>
        </w:rPr>
      </w:pPr>
    </w:p>
    <w:p w14:paraId="56C9661C" w14:textId="77777777" w:rsidR="006761DF" w:rsidRPr="006761DF" w:rsidRDefault="006761DF" w:rsidP="006761DF">
      <w:pPr>
        <w:spacing w:after="0" w:line="360" w:lineRule="auto"/>
        <w:ind w:firstLine="567"/>
        <w:jc w:val="both"/>
        <w:rPr>
          <w:rFonts w:ascii="Times New Roman" w:eastAsia="Calibri" w:hAnsi="Times New Roman" w:cs="Times New Roman"/>
          <w:b/>
          <w:bCs/>
          <w:sz w:val="28"/>
          <w:szCs w:val="28"/>
          <w:lang w:val="uk-UA"/>
        </w:rPr>
      </w:pPr>
      <w:r w:rsidRPr="006761DF">
        <w:rPr>
          <w:rFonts w:ascii="Times New Roman" w:eastAsia="Calibri" w:hAnsi="Times New Roman" w:cs="Times New Roman"/>
          <w:b/>
          <w:bCs/>
          <w:sz w:val="28"/>
          <w:szCs w:val="28"/>
          <w:lang w:val="uk-UA"/>
        </w:rPr>
        <w:t>4.1. Цифрова дипломатія як інструмент деескалації</w:t>
      </w:r>
    </w:p>
    <w:p w14:paraId="075F2E05"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p>
    <w:p w14:paraId="6975343B"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 xml:space="preserve">У сучасних умовах глобалізації та стрімкого розвитку інформаційно-комунікаційних технологій цифрова дипломатія перетворюється на один із ключових інструментів впливу на динаміку політичних конфліктів. Її значення зумовлене не лише технологічними змінами у сфері міжнародних відносин, а й трансформацією самого характеру конфліктів, які дедалі частіше набувають гібридних форм і супроводжуються інформаційними атаками, маніпуляціями громадською думкою та боротьбою за символічне домінування. </w:t>
      </w:r>
    </w:p>
    <w:p w14:paraId="5061A109"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У цьому контексті цифрова дипломатія постає як важливий механізм деескалації конфліктів, спрямований на управління інформаційними потоками, формування міжнародного дискурсу та зниження рівня конфронтаційної риторики.</w:t>
      </w:r>
    </w:p>
    <w:p w14:paraId="4C6BBBCC"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 xml:space="preserve">Цифрову дипломатію доцільно визначати як сукупність практик і технологій зовнішньополітичної діяльності держав та міжнародних акторів, що здійснюються з використанням цифрових платформ, соціальних мереж, онлайн-комунікацій і мережевих інструментів впливу. На відміну від традиційної дипломатії, яка ґрунтується переважно на закритих каналах взаємодії між офіційними представниками держав, цифрова дипломатія орієнтована на відкритість, публічність і пряме звернення до широкої міжнародної аудиторії., що розширює можливості держав у формуванні власного іміджу, просуванні політичних позицій та протидії дезінформації в умовах конфлікту. </w:t>
      </w:r>
    </w:p>
    <w:p w14:paraId="5C105FAB"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На думку А. Руднєвої та Ю. Мальованої «До основних інструментів цифрової дипломатії можна віднести:</w:t>
      </w:r>
    </w:p>
    <w:p w14:paraId="7B3305CC"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lastRenderedPageBreak/>
        <w:t xml:space="preserve"> – веб-сайти та блоги: створення та робота вебсайтів міністерств закордонних справ, посольств та міжнародних організацій дозволяє поширювати свої позиції, аналізувати події та коментувати актуальні питання (служать для пояснення та транслювання їхньої національної зовнішньої політики та спростування неприйнятних дій чи претензій інших держав); </w:t>
      </w:r>
    </w:p>
    <w:p w14:paraId="6F726BC7"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 електронна дипломатія: використання електронних комунікаційних каналів, таких як електронна пошта та відеоконференції, дозволяє ефективно проводити дипломатичні переговори та обмін інформацією з іншими країнами;</w:t>
      </w:r>
    </w:p>
    <w:p w14:paraId="139D9720"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 соціальні медіа: поширення онлайн-каналів сприяє зростанню принципів відкритості та прозорості, соціальні мережі (Twitter, Facebook, Instagram, YouTube, TikTok) забезпечують платформу для відкритого спілкування та стають найпотужнішим інструментом комунікації» (Руднєва &amp;Мальована, 2023).</w:t>
      </w:r>
    </w:p>
    <w:p w14:paraId="1FBB5469"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 xml:space="preserve">У контексті деескалації політичних конфліктів цифрова дипломатія виконує кілька взаємопов’язаних функцій. </w:t>
      </w:r>
    </w:p>
    <w:p w14:paraId="70A1F2F1"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 xml:space="preserve">По-перше, вона слугує інструментом стратегічної комунікації, що дозволяє оперативно доносити офіційну позицію держави, знижувати рівень невизначеності та запобігати поширенню конфронтаційних інтерпретацій подій. </w:t>
      </w:r>
    </w:p>
    <w:p w14:paraId="0FF20D9A"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 xml:space="preserve">По-друге, цифрова дипломатія сприяє формуванню альтернативних наративів, орієнтованих на діалог, мирне врегулювання та дотримання міжнародного права. </w:t>
      </w:r>
    </w:p>
    <w:p w14:paraId="54007EC6"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По-третє, вона створює умови для неформальної взаємодії між політичними акторами, експертними спільнотами та громадянським суспільством, що є важливим чинником зниження напруженості.</w:t>
      </w:r>
    </w:p>
    <w:p w14:paraId="320C43C1" w14:textId="77777777" w:rsid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Т. Мірошниченко і Г. Федорова запропонували таблицю, що відображає «+» та «-» аспекти цифрової дипломатії  (Мірошниченко</w:t>
      </w:r>
      <w:r w:rsidRPr="006761DF">
        <w:rPr>
          <w:rFonts w:ascii="Times New Roman" w:eastAsia="Calibri" w:hAnsi="Times New Roman" w:cs="Times New Roman"/>
          <w:sz w:val="28"/>
          <w:szCs w:val="28"/>
          <w:lang w:val="ru-RU"/>
        </w:rPr>
        <w:t>&amp;</w:t>
      </w:r>
      <w:r w:rsidRPr="006761DF">
        <w:rPr>
          <w:rFonts w:ascii="Times New Roman" w:eastAsia="Calibri" w:hAnsi="Times New Roman" w:cs="Times New Roman"/>
          <w:sz w:val="28"/>
          <w:szCs w:val="28"/>
          <w:lang w:val="uk-UA"/>
        </w:rPr>
        <w:t>Федорова, 2021)</w:t>
      </w:r>
    </w:p>
    <w:p w14:paraId="46EABF18" w14:textId="77777777" w:rsidR="001B620D" w:rsidRDefault="001B620D" w:rsidP="006761DF">
      <w:pPr>
        <w:spacing w:after="0" w:line="360" w:lineRule="auto"/>
        <w:ind w:firstLine="567"/>
        <w:jc w:val="both"/>
        <w:rPr>
          <w:rFonts w:ascii="Times New Roman" w:eastAsia="Calibri" w:hAnsi="Times New Roman" w:cs="Times New Roman"/>
          <w:sz w:val="28"/>
          <w:szCs w:val="28"/>
          <w:lang w:val="uk-UA"/>
        </w:rPr>
      </w:pPr>
    </w:p>
    <w:p w14:paraId="5D32B973" w14:textId="77777777" w:rsidR="001B620D" w:rsidRPr="006761DF" w:rsidRDefault="001B620D" w:rsidP="006761DF">
      <w:pPr>
        <w:spacing w:after="0" w:line="360" w:lineRule="auto"/>
        <w:ind w:firstLine="567"/>
        <w:jc w:val="both"/>
        <w:rPr>
          <w:rFonts w:ascii="Times New Roman" w:eastAsia="Calibri" w:hAnsi="Times New Roman" w:cs="Times New Roman"/>
          <w:sz w:val="28"/>
          <w:szCs w:val="28"/>
          <w:lang w:val="uk-UA"/>
        </w:rPr>
      </w:pPr>
    </w:p>
    <w:tbl>
      <w:tblPr>
        <w:tblStyle w:val="41"/>
        <w:tblW w:w="0" w:type="auto"/>
        <w:tblInd w:w="0" w:type="dxa"/>
        <w:tblLook w:val="04A0" w:firstRow="1" w:lastRow="0" w:firstColumn="1" w:lastColumn="0" w:noHBand="0" w:noVBand="1"/>
      </w:tblPr>
      <w:tblGrid>
        <w:gridCol w:w="5475"/>
        <w:gridCol w:w="3870"/>
      </w:tblGrid>
      <w:tr w:rsidR="006761DF" w:rsidRPr="006761DF" w14:paraId="3A1618C1" w14:textId="77777777">
        <w:tc>
          <w:tcPr>
            <w:tcW w:w="5665" w:type="dxa"/>
            <w:tcBorders>
              <w:top w:val="single" w:sz="4" w:space="0" w:color="auto"/>
              <w:left w:val="single" w:sz="4" w:space="0" w:color="auto"/>
              <w:bottom w:val="single" w:sz="4" w:space="0" w:color="auto"/>
              <w:right w:val="single" w:sz="4" w:space="0" w:color="auto"/>
            </w:tcBorders>
            <w:hideMark/>
          </w:tcPr>
          <w:p w14:paraId="1B900414" w14:textId="77777777" w:rsidR="006761DF" w:rsidRPr="006761DF" w:rsidRDefault="006761DF" w:rsidP="006761DF">
            <w:pPr>
              <w:spacing w:line="360" w:lineRule="auto"/>
              <w:jc w:val="center"/>
              <w:rPr>
                <w:rFonts w:ascii="Times New Roman" w:hAnsi="Times New Roman"/>
                <w:sz w:val="28"/>
                <w:szCs w:val="28"/>
              </w:rPr>
            </w:pPr>
            <w:r w:rsidRPr="006761DF">
              <w:rPr>
                <w:rFonts w:ascii="Times New Roman" w:hAnsi="Times New Roman"/>
                <w:b/>
                <w:bCs/>
                <w:sz w:val="28"/>
                <w:szCs w:val="28"/>
              </w:rPr>
              <w:lastRenderedPageBreak/>
              <w:t>Переваги</w:t>
            </w:r>
          </w:p>
        </w:tc>
        <w:tc>
          <w:tcPr>
            <w:tcW w:w="3964" w:type="dxa"/>
            <w:tcBorders>
              <w:top w:val="single" w:sz="4" w:space="0" w:color="auto"/>
              <w:left w:val="single" w:sz="4" w:space="0" w:color="auto"/>
              <w:bottom w:val="single" w:sz="4" w:space="0" w:color="auto"/>
              <w:right w:val="single" w:sz="4" w:space="0" w:color="auto"/>
            </w:tcBorders>
            <w:hideMark/>
          </w:tcPr>
          <w:p w14:paraId="7EF9393F" w14:textId="77777777" w:rsidR="006761DF" w:rsidRPr="006761DF" w:rsidRDefault="006761DF" w:rsidP="006761DF">
            <w:pPr>
              <w:spacing w:line="360" w:lineRule="auto"/>
              <w:jc w:val="center"/>
              <w:rPr>
                <w:rFonts w:ascii="Times New Roman" w:hAnsi="Times New Roman"/>
                <w:sz w:val="28"/>
                <w:szCs w:val="28"/>
              </w:rPr>
            </w:pPr>
            <w:r w:rsidRPr="006761DF">
              <w:rPr>
                <w:rFonts w:ascii="Times New Roman" w:hAnsi="Times New Roman"/>
                <w:b/>
                <w:bCs/>
                <w:sz w:val="28"/>
                <w:szCs w:val="28"/>
              </w:rPr>
              <w:t>Недоліки</w:t>
            </w:r>
          </w:p>
        </w:tc>
      </w:tr>
      <w:tr w:rsidR="006761DF" w:rsidRPr="006761DF" w14:paraId="628997D9" w14:textId="77777777">
        <w:tc>
          <w:tcPr>
            <w:tcW w:w="5665" w:type="dxa"/>
            <w:tcBorders>
              <w:top w:val="single" w:sz="4" w:space="0" w:color="auto"/>
              <w:left w:val="single" w:sz="4" w:space="0" w:color="auto"/>
              <w:bottom w:val="single" w:sz="4" w:space="0" w:color="auto"/>
              <w:right w:val="single" w:sz="4" w:space="0" w:color="auto"/>
            </w:tcBorders>
            <w:hideMark/>
          </w:tcPr>
          <w:p w14:paraId="7CC0691E"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1. Соціальні мережі дозволяють дипломатам спостерігати за подіями, збирати інформацію та виявляти ключові фактори впливу, надавати канали впливу поза традиційною аудиторією.</w:t>
            </w:r>
          </w:p>
        </w:tc>
        <w:tc>
          <w:tcPr>
            <w:tcW w:w="3964" w:type="dxa"/>
            <w:tcBorders>
              <w:top w:val="single" w:sz="4" w:space="0" w:color="auto"/>
              <w:left w:val="single" w:sz="4" w:space="0" w:color="auto"/>
              <w:bottom w:val="single" w:sz="4" w:space="0" w:color="auto"/>
              <w:right w:val="single" w:sz="4" w:space="0" w:color="auto"/>
            </w:tcBorders>
            <w:hideMark/>
          </w:tcPr>
          <w:p w14:paraId="7C8DAF43"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1. Відсутність достатніх технологій.</w:t>
            </w:r>
          </w:p>
        </w:tc>
      </w:tr>
      <w:tr w:rsidR="006761DF" w:rsidRPr="006761DF" w14:paraId="172181CC" w14:textId="77777777">
        <w:tc>
          <w:tcPr>
            <w:tcW w:w="5665" w:type="dxa"/>
            <w:tcBorders>
              <w:top w:val="single" w:sz="4" w:space="0" w:color="auto"/>
              <w:left w:val="single" w:sz="4" w:space="0" w:color="auto"/>
              <w:bottom w:val="single" w:sz="4" w:space="0" w:color="auto"/>
              <w:right w:val="single" w:sz="4" w:space="0" w:color="auto"/>
            </w:tcBorders>
            <w:hideMark/>
          </w:tcPr>
          <w:p w14:paraId="53933912"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2. Можливість швидкої та ефективної комунікації.</w:t>
            </w:r>
          </w:p>
        </w:tc>
        <w:tc>
          <w:tcPr>
            <w:tcW w:w="3964" w:type="dxa"/>
            <w:tcBorders>
              <w:top w:val="single" w:sz="4" w:space="0" w:color="auto"/>
              <w:left w:val="single" w:sz="4" w:space="0" w:color="auto"/>
              <w:bottom w:val="single" w:sz="4" w:space="0" w:color="auto"/>
              <w:right w:val="single" w:sz="4" w:space="0" w:color="auto"/>
            </w:tcBorders>
            <w:hideMark/>
          </w:tcPr>
          <w:p w14:paraId="52014E31"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2. Необхідність покращення навичок цифрового спілкування.</w:t>
            </w:r>
          </w:p>
        </w:tc>
      </w:tr>
      <w:tr w:rsidR="006761DF" w:rsidRPr="006761DF" w14:paraId="76B8920F" w14:textId="77777777">
        <w:tc>
          <w:tcPr>
            <w:tcW w:w="5665" w:type="dxa"/>
            <w:tcBorders>
              <w:top w:val="single" w:sz="4" w:space="0" w:color="auto"/>
              <w:left w:val="single" w:sz="4" w:space="0" w:color="auto"/>
              <w:bottom w:val="single" w:sz="4" w:space="0" w:color="auto"/>
              <w:right w:val="single" w:sz="4" w:space="0" w:color="auto"/>
            </w:tcBorders>
            <w:hideMark/>
          </w:tcPr>
          <w:p w14:paraId="7B7D3A56"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3. Близькість з аудиторією.</w:t>
            </w:r>
          </w:p>
        </w:tc>
        <w:tc>
          <w:tcPr>
            <w:tcW w:w="3964" w:type="dxa"/>
            <w:tcBorders>
              <w:top w:val="single" w:sz="4" w:space="0" w:color="auto"/>
              <w:left w:val="single" w:sz="4" w:space="0" w:color="auto"/>
              <w:bottom w:val="single" w:sz="4" w:space="0" w:color="auto"/>
              <w:right w:val="single" w:sz="4" w:space="0" w:color="auto"/>
            </w:tcBorders>
            <w:hideMark/>
          </w:tcPr>
          <w:p w14:paraId="0E33DD2C"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3. Централізовані та негнучкі адміністративні системи.</w:t>
            </w:r>
          </w:p>
        </w:tc>
      </w:tr>
      <w:tr w:rsidR="006761DF" w:rsidRPr="006761DF" w14:paraId="57820B28" w14:textId="77777777">
        <w:tc>
          <w:tcPr>
            <w:tcW w:w="5665" w:type="dxa"/>
            <w:tcBorders>
              <w:top w:val="single" w:sz="4" w:space="0" w:color="auto"/>
              <w:left w:val="single" w:sz="4" w:space="0" w:color="auto"/>
              <w:bottom w:val="single" w:sz="4" w:space="0" w:color="auto"/>
              <w:right w:val="single" w:sz="4" w:space="0" w:color="auto"/>
            </w:tcBorders>
            <w:hideMark/>
          </w:tcPr>
          <w:p w14:paraId="21C848AE"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4. Цифрові технології надзвичайно корисні для збору та обробки інформації про дипломатичну діяльність.</w:t>
            </w:r>
          </w:p>
        </w:tc>
        <w:tc>
          <w:tcPr>
            <w:tcW w:w="3964" w:type="dxa"/>
            <w:tcBorders>
              <w:top w:val="single" w:sz="4" w:space="0" w:color="auto"/>
              <w:left w:val="single" w:sz="4" w:space="0" w:color="auto"/>
              <w:bottom w:val="single" w:sz="4" w:space="0" w:color="auto"/>
              <w:right w:val="single" w:sz="4" w:space="0" w:color="auto"/>
            </w:tcBorders>
            <w:hideMark/>
          </w:tcPr>
          <w:p w14:paraId="1B98FF2C"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4. Бюрократичні процеси прийняття рішень.</w:t>
            </w:r>
          </w:p>
        </w:tc>
      </w:tr>
      <w:tr w:rsidR="006761DF" w:rsidRPr="006761DF" w14:paraId="10711191" w14:textId="77777777">
        <w:tc>
          <w:tcPr>
            <w:tcW w:w="5665" w:type="dxa"/>
            <w:tcBorders>
              <w:top w:val="single" w:sz="4" w:space="0" w:color="auto"/>
              <w:left w:val="single" w:sz="4" w:space="0" w:color="auto"/>
              <w:bottom w:val="single" w:sz="4" w:space="0" w:color="auto"/>
              <w:right w:val="single" w:sz="4" w:space="0" w:color="auto"/>
            </w:tcBorders>
            <w:hideMark/>
          </w:tcPr>
          <w:p w14:paraId="32F2E502"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5. Дозволяють урядам аналізувати можливі наслідки тих чи інших подій у різних країнах світу, та вплив таких подій на їхню країну.</w:t>
            </w:r>
          </w:p>
        </w:tc>
        <w:tc>
          <w:tcPr>
            <w:tcW w:w="3964" w:type="dxa"/>
            <w:tcBorders>
              <w:top w:val="single" w:sz="4" w:space="0" w:color="auto"/>
              <w:left w:val="single" w:sz="4" w:space="0" w:color="auto"/>
              <w:bottom w:val="single" w:sz="4" w:space="0" w:color="auto"/>
              <w:right w:val="single" w:sz="4" w:space="0" w:color="auto"/>
            </w:tcBorders>
            <w:hideMark/>
          </w:tcPr>
          <w:p w14:paraId="2B4851A6"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5. Культура анонімності.</w:t>
            </w:r>
          </w:p>
        </w:tc>
      </w:tr>
      <w:tr w:rsidR="006761DF" w:rsidRPr="006761DF" w14:paraId="589CACED" w14:textId="77777777">
        <w:tc>
          <w:tcPr>
            <w:tcW w:w="5665" w:type="dxa"/>
            <w:tcBorders>
              <w:top w:val="single" w:sz="4" w:space="0" w:color="auto"/>
              <w:left w:val="single" w:sz="4" w:space="0" w:color="auto"/>
              <w:bottom w:val="single" w:sz="4" w:space="0" w:color="auto"/>
              <w:right w:val="single" w:sz="4" w:space="0" w:color="auto"/>
            </w:tcBorders>
            <w:hideMark/>
          </w:tcPr>
          <w:p w14:paraId="5CBBAD5C"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6. Низька вартість.</w:t>
            </w:r>
          </w:p>
        </w:tc>
        <w:tc>
          <w:tcPr>
            <w:tcW w:w="3964" w:type="dxa"/>
            <w:tcBorders>
              <w:top w:val="single" w:sz="4" w:space="0" w:color="auto"/>
              <w:left w:val="single" w:sz="4" w:space="0" w:color="auto"/>
              <w:bottom w:val="single" w:sz="4" w:space="0" w:color="auto"/>
              <w:right w:val="single" w:sz="4" w:space="0" w:color="auto"/>
            </w:tcBorders>
            <w:hideMark/>
          </w:tcPr>
          <w:p w14:paraId="26F6796A"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6. Витік інформації.</w:t>
            </w:r>
          </w:p>
        </w:tc>
      </w:tr>
      <w:tr w:rsidR="006761DF" w:rsidRPr="006761DF" w14:paraId="118EBE61" w14:textId="77777777">
        <w:tc>
          <w:tcPr>
            <w:tcW w:w="5665" w:type="dxa"/>
            <w:tcBorders>
              <w:top w:val="single" w:sz="4" w:space="0" w:color="auto"/>
              <w:left w:val="single" w:sz="4" w:space="0" w:color="auto"/>
              <w:bottom w:val="single" w:sz="4" w:space="0" w:color="auto"/>
              <w:right w:val="single" w:sz="4" w:space="0" w:color="auto"/>
            </w:tcBorders>
            <w:hideMark/>
          </w:tcPr>
          <w:p w14:paraId="0DA2DCA3"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7. Дозволяють політикам розширити свій вплив.</w:t>
            </w:r>
          </w:p>
        </w:tc>
        <w:tc>
          <w:tcPr>
            <w:tcW w:w="3964" w:type="dxa"/>
            <w:tcBorders>
              <w:top w:val="single" w:sz="4" w:space="0" w:color="auto"/>
              <w:left w:val="single" w:sz="4" w:space="0" w:color="auto"/>
              <w:bottom w:val="single" w:sz="4" w:space="0" w:color="auto"/>
              <w:right w:val="single" w:sz="4" w:space="0" w:color="auto"/>
            </w:tcBorders>
            <w:hideMark/>
          </w:tcPr>
          <w:p w14:paraId="3BF71934"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7. Хакерські атаки.</w:t>
            </w:r>
          </w:p>
        </w:tc>
      </w:tr>
      <w:tr w:rsidR="006761DF" w:rsidRPr="006761DF" w14:paraId="54AD60D3" w14:textId="77777777">
        <w:tc>
          <w:tcPr>
            <w:tcW w:w="5665" w:type="dxa"/>
            <w:tcBorders>
              <w:top w:val="single" w:sz="4" w:space="0" w:color="auto"/>
              <w:left w:val="single" w:sz="4" w:space="0" w:color="auto"/>
              <w:bottom w:val="single" w:sz="4" w:space="0" w:color="auto"/>
              <w:right w:val="single" w:sz="4" w:space="0" w:color="auto"/>
            </w:tcBorders>
            <w:hideMark/>
          </w:tcPr>
          <w:p w14:paraId="2C2A4497"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8. Більше часу на продумування відповідей.</w:t>
            </w:r>
          </w:p>
        </w:tc>
        <w:tc>
          <w:tcPr>
            <w:tcW w:w="3964" w:type="dxa"/>
            <w:tcBorders>
              <w:top w:val="single" w:sz="4" w:space="0" w:color="auto"/>
              <w:left w:val="single" w:sz="4" w:space="0" w:color="auto"/>
              <w:bottom w:val="single" w:sz="4" w:space="0" w:color="auto"/>
              <w:right w:val="single" w:sz="4" w:space="0" w:color="auto"/>
            </w:tcBorders>
            <w:hideMark/>
          </w:tcPr>
          <w:p w14:paraId="6C9614EB"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w:t>
            </w:r>
          </w:p>
        </w:tc>
      </w:tr>
    </w:tbl>
    <w:p w14:paraId="1A685665"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p>
    <w:p w14:paraId="2FC72F11"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 xml:space="preserve">З огляду на таблицю, цифрова дипломатія має суттєвий деескалаційний потенціал, який може реалізовуватись через низку стратегічних напрямів. Насамперед, вона сприяє формуванню інформаційної прозорості, що є критично важливим у періоди політичної нестабільності. Забезпечення відкритості дій державних і міжнародних інституцій через цифрові канали комунікації дозволяє знижувати рівень соціальної напруги та недовіри, яка </w:t>
      </w:r>
      <w:r w:rsidRPr="006761DF">
        <w:rPr>
          <w:rFonts w:ascii="Times New Roman" w:eastAsia="Calibri" w:hAnsi="Times New Roman" w:cs="Times New Roman"/>
          <w:sz w:val="28"/>
          <w:szCs w:val="28"/>
          <w:lang w:val="uk-UA"/>
        </w:rPr>
        <w:lastRenderedPageBreak/>
        <w:t>часто підживлює конфлікти. У цьому контексті прозорість інформаційних потоків виступає запобіжником поширення дезінформації та чуток, що можуть спричинити радикалізацію окремих груп або деструктивні дії.</w:t>
      </w:r>
    </w:p>
    <w:p w14:paraId="076578DE"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Другим важливим аспектом є залучення громадськості до процесу вирішення конфліктів. Цифрові платформи дозволяють організовувати громадські консультації, опитування, краудсорсингові ініціативи, завдяки яким населення не лише отримує доступ до інформації, а й бере участь у формуванні політичних рішень. Такий формат взаємодії посилює легітимність політики урядів і міжнародних організацій, оскільки враховує голос громадянського суспільства.</w:t>
      </w:r>
    </w:p>
    <w:p w14:paraId="5ADAA062"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Оперативність є ще однією ключовою перевагою цифрової дипломатії, зокрема щодо реагування на провокації та спроби дестабілізації. Соціальні мережі та інші цифрові канали забезпечують реальний часовий контакт із широкою аудиторією, що дозволяє миттєво реагувати на інформаційні атаки, викривлення фактів або інші форми маніпуляцій, які можуть загострювати конфлікти. Вчасно донесена офіційна позиція або спростування неправдивої інформації може запобігти ескалації ситуації.</w:t>
      </w:r>
    </w:p>
    <w:p w14:paraId="1047B13D"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Крім того, цифрова дипломатія створює нові можливості для просування мирних ініціатив та міжнародного діалогу на публічних платформах. Онлайн-форуми, віртуальні конференції, дипломатичні блоги та сторінки посольств у соціальних мережах стають простором для транснаціонального обміну ідеями, публічної дипломатії та просування культури миру. Вони дозволяють не лише транслювати офіційну позицію, а й досягати ширшої аудиторії, зокрема молоді, яка активно споживає цифровий контент.</w:t>
      </w:r>
    </w:p>
    <w:p w14:paraId="29671846"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 xml:space="preserve">Однак ефективне використання цифрової дипломатії в контексті врегулювання політичних конфліктів потребує системного підходу. По-перше, слід інституційно посилити цифрову компетентність дипломатичних служб, забезпечити постійне навчання персоналу у сфері цифрових комунікацій, кібербезпеки та управління онлайн-репутацією. По-друге, критично важливо удосконалити захист інформаційної інфраструктури, включаючи </w:t>
      </w:r>
      <w:r w:rsidRPr="006761DF">
        <w:rPr>
          <w:rFonts w:ascii="Times New Roman" w:eastAsia="Calibri" w:hAnsi="Times New Roman" w:cs="Times New Roman"/>
          <w:sz w:val="28"/>
          <w:szCs w:val="28"/>
          <w:lang w:val="uk-UA"/>
        </w:rPr>
        <w:lastRenderedPageBreak/>
        <w:t>дипломатичні сервери, акаунти та системи зберігання даних, які стають потенційними цілями для кібератак. По-третє, необхідно розробити і впровадити етичні стандарти цифрової взаємодії на міжнародному рівні, які б регулювали онлайн-поведінку дипломатів, запобігали маніпуляціям та забезпечували відповідальність за поширення неправдивої інформації.</w:t>
      </w:r>
    </w:p>
    <w:p w14:paraId="731B0839"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Особливістю цифрової дипломатії як інструменту деескалації є її здатність впливати на конфлікт не лише на міждержавному, а й на суспільному рівні. Через соціальні мережі, онлайн-платформи та цифрові медіа держави отримують можливість звертатися безпосередньо до громадян інших країн, формуючи сприятливе сприйняття власних дій і позицій. У ситуаціях політичних криз і конфліктів це дозволяє зменшувати рівень взаємної ворожості, нейтралізувати радикальні меседжі та сприяти підтримці дипломатичних ініціатив з боку міжнародної спільноти.</w:t>
      </w:r>
    </w:p>
    <w:p w14:paraId="6F1767E4"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У міжнародній практиці цифрова дипломатія активно використовується як доповнення до традиційних переговорних і медіаційних процесів. Наприклад, держави та міжнародні організації застосовують цифрові канали для підготовки громадської думки до мирних переговорів, пояснення складних компромісних рішень і запобігання спекуляціям навколо переговорного процесу. У цьому сенсі цифрова дипломатія виконує функцію «м’якого» супроводу офіційної дипломатії, знижуючи ризики ескалації, пов’язані з інформаційними викривленнями та чутками.</w:t>
      </w:r>
    </w:p>
    <w:p w14:paraId="6FF99953"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Водночас цифрова дипломатія є тісно пов’язаною з проблемою інформаційної безпеки, оскільки цифровий простір залишається полем інтенсивної боротьби за вплив. У політичних конфліктах цифрові платформи можуть використовуватися як для деескалації, так і для провокування напруженості, поширення дезінформації та мобілізації конфронтаційних настроїв, що зумовлює необхідність чіткого стратегічного планування цифрово-дипломатичної діяльності, координації між державними інституціями та розвитку механізмів протидії інформаційним атакам.</w:t>
      </w:r>
    </w:p>
    <w:p w14:paraId="557BFCF6"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lastRenderedPageBreak/>
        <w:t>Особливого значення цифрова дипломатія набуває в умовах гібридних конфліктів, де інформаційний вимір стає одним із ключових елементів протистояння. У таких конфліктах деескалація неможлива без активної присутності держави в цифровому середовищі, системного реагування на дезінформацію та просування правдивих і перевірених повідомлень. Цифрова дипломатія в цьому контексті виступає інструментом захисту політичної легітимності та підтримки міжнародної коаліції на засадах спільних цінностей і норм.</w:t>
      </w:r>
    </w:p>
    <w:p w14:paraId="10A4544B"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Український досвід цифрової дипломатії демонструє її зростаючу роль у протидії ескалаційним сценаріям і мобілізації міжнародної підтримки в умовах збройного та інформаційного протистояння. Активне використання соціальних мереж, цифрових кампаній і онлайн-комунікацій українськими дипломатичними структурами сприяло формуванню стійкого міжнародного дискурсу щодо необхідності політико-дипломатичного врегулювання та дотримання норм міжнародного права. Водночас цей досвід виявив і обмеження цифрової дипломатії, зокрема її залежність від довіри аудиторії та загального рівня інформаційної культури.</w:t>
      </w:r>
    </w:p>
    <w:p w14:paraId="0B427C71"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 xml:space="preserve">Таким чином, цифрова дипломатія постає як важливий інструмент деескалації політичних конфліктів, що доповнює традиційні переговорні, медіаційні та інституційно-правові механізми врегулювання. Її ефективність визначається здатністю поєднувати відкриту комунікацію, стратегічне управління інформаційними потоками та орієнтацію на діалог і співпрацю. У сучасних умовах цифрова дипломатія стає невід’ємною складовою комплексних стратегій управління політичними конфліктами, створюючи нові можливості для зниження напруженості та формування передумов для мирного врегулювання </w:t>
      </w:r>
    </w:p>
    <w:p w14:paraId="10ACC190" w14:textId="77777777" w:rsidR="006761DF" w:rsidRDefault="006761DF" w:rsidP="006761DF">
      <w:pPr>
        <w:spacing w:after="0" w:line="360" w:lineRule="auto"/>
        <w:ind w:firstLine="567"/>
        <w:jc w:val="both"/>
        <w:rPr>
          <w:rFonts w:ascii="Times New Roman" w:eastAsia="Calibri" w:hAnsi="Times New Roman" w:cs="Times New Roman"/>
          <w:b/>
          <w:bCs/>
          <w:sz w:val="28"/>
          <w:szCs w:val="28"/>
          <w:lang w:val="uk-UA"/>
        </w:rPr>
      </w:pPr>
    </w:p>
    <w:p w14:paraId="161EF877" w14:textId="77777777" w:rsidR="001B620D" w:rsidRDefault="001B620D" w:rsidP="006761DF">
      <w:pPr>
        <w:spacing w:after="0" w:line="360" w:lineRule="auto"/>
        <w:ind w:firstLine="567"/>
        <w:jc w:val="both"/>
        <w:rPr>
          <w:rFonts w:ascii="Times New Roman" w:eastAsia="Calibri" w:hAnsi="Times New Roman" w:cs="Times New Roman"/>
          <w:b/>
          <w:bCs/>
          <w:sz w:val="28"/>
          <w:szCs w:val="28"/>
          <w:lang w:val="uk-UA"/>
        </w:rPr>
      </w:pPr>
    </w:p>
    <w:p w14:paraId="4253805B" w14:textId="77777777" w:rsidR="001B620D" w:rsidRPr="006761DF" w:rsidRDefault="001B620D" w:rsidP="006761DF">
      <w:pPr>
        <w:spacing w:after="0" w:line="360" w:lineRule="auto"/>
        <w:ind w:firstLine="567"/>
        <w:jc w:val="both"/>
        <w:rPr>
          <w:rFonts w:ascii="Times New Roman" w:eastAsia="Calibri" w:hAnsi="Times New Roman" w:cs="Times New Roman"/>
          <w:b/>
          <w:bCs/>
          <w:sz w:val="28"/>
          <w:szCs w:val="28"/>
          <w:lang w:val="uk-UA"/>
        </w:rPr>
      </w:pPr>
    </w:p>
    <w:p w14:paraId="2DD9501A" w14:textId="38AFDE4F" w:rsidR="006761DF" w:rsidRPr="006761DF" w:rsidRDefault="006761DF" w:rsidP="001B620D">
      <w:pPr>
        <w:spacing w:after="0" w:line="360" w:lineRule="auto"/>
        <w:ind w:firstLine="567"/>
        <w:jc w:val="both"/>
        <w:rPr>
          <w:rFonts w:ascii="Times New Roman" w:eastAsia="Calibri" w:hAnsi="Times New Roman" w:cs="Times New Roman"/>
          <w:b/>
          <w:bCs/>
          <w:sz w:val="28"/>
          <w:szCs w:val="28"/>
          <w:lang w:val="uk-UA"/>
        </w:rPr>
      </w:pPr>
      <w:r w:rsidRPr="006761DF">
        <w:rPr>
          <w:rFonts w:ascii="Times New Roman" w:eastAsia="Calibri" w:hAnsi="Times New Roman" w:cs="Times New Roman"/>
          <w:b/>
          <w:bCs/>
          <w:sz w:val="28"/>
          <w:szCs w:val="28"/>
          <w:lang w:val="uk-UA"/>
        </w:rPr>
        <w:lastRenderedPageBreak/>
        <w:t xml:space="preserve">4.2. Соціальні мережі як простір ескалації та врегулювання політичних конфліктів </w:t>
      </w:r>
    </w:p>
    <w:p w14:paraId="077CCBA4"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Соціальні мережі у сучасному політичному середовищі виступають одним із ключових просторів формування, розвитку та трансформації політичних конфліктів. Їхній вплив на конфліктну динаміку має виразно амбівалентний характер: з одного боку, соціальні платформи здатні прискорювати ескалацію протистояння, радикалізувати позиції акторів і поглиблювати політичну поляризацію; з іншого — вони створюють нові інструменти для комунікації, деескалації та підтримки процесів мирного врегулювання. Саме ця подвійна природа соціальних мереж зумовлює їх центральне місце в системі сучасних інформаційно-комунікаційних технологій розв’язання політичних конфліктів.</w:t>
      </w:r>
    </w:p>
    <w:p w14:paraId="599D0E38"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У конфліктних ситуаціях соціальні мережі насамперед виступають потужним каталізатором ескалації. Одним із найбільш показових міжнародних кейсів є використання платформи Twitter/X у періоди гострих політичних криз і міжнародних протистоянь. Короткий формат повідомлень, висока швидкість поширення інформації та алгоритмічне підсилення емоційно насиченого контенту сприяють швидкому загостренню конфліктної риторики. У міжнародних конфліктах Twitter/X часто використовується політичними лідерами для публічних заяв, які, замість деескалації, можуть посилювати напруженість і провокувати жорсткі реакції з боку опонентів. Подібна «дипломатія через соціальні мережі» знижує простір для компромісу та ускладнює традиційні переговорні процеси.</w:t>
      </w:r>
    </w:p>
    <w:p w14:paraId="79376AA8"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 xml:space="preserve">Facebook, як одна з найбільш масових соціальних платформ, також відіграє значну роль у процесах ескалації політичних конфліктів. У міжнародній практиці зафіксовано численні випадки використання Facebook для поширення дезінформації, політичної пропаганди та мобілізації радикальних груп. Наприклад, у конфліктах у країнах Близького Сходу та Південно-Східної Азії ця платформа використовувалася для розпалювання міжетнічної та міжрелігійної ворожнечі, що призводило до загострення </w:t>
      </w:r>
      <w:r w:rsidRPr="006761DF">
        <w:rPr>
          <w:rFonts w:ascii="Times New Roman" w:eastAsia="Calibri" w:hAnsi="Times New Roman" w:cs="Times New Roman"/>
          <w:sz w:val="28"/>
          <w:szCs w:val="28"/>
          <w:lang w:val="uk-UA"/>
        </w:rPr>
        <w:lastRenderedPageBreak/>
        <w:t>насильства в реальному просторі. Алгоритмічні механізми формування «ехо-камер» посилювали поляризацію, створюючи замкнені інформаційні середовища, у яких конфліктні наративи отримували додаткове підкріплення.</w:t>
      </w:r>
    </w:p>
    <w:p w14:paraId="5E03B9F2"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Особливої уваги потребує роль месенджерів, зокрема Telegram, у сучасних політичних конфліктах. Telegram поєднує ознаки соціальної мережі та закритого комунікаційного середовища, що робить його ефективним інструментом як для мобілізації, так і для маніпуляцій. У міжнародних конфліктах Telegram активно використовується для поширення неперевіреної інформації, координації протестних або радикальних дій, а також для ведення інформаційно-психологічних операцій. Закритість каналів і складність контролю контенту ускладнюють протидію дезінформації та сприяють ескалації конфліктів.</w:t>
      </w:r>
    </w:p>
    <w:p w14:paraId="50017020"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Водночас соціальні мережі мають значний потенціал для врегулювання політичних конфліктів і деескалації напруженості. У цьому контексті вони виступають інструментом цифрової дипломатії, публічної комунікації та підтримки мирних ініціатив. Наприклад, у процесах міжнародного посередництва та мирних переговорів соціальні платформи використовуються для інформування громадськості про перебіг діалогу, роз’яснення складних компромісних рішень і зниження рівня суспільної напруги. Таким чином, соціальні мережі виконують функцію комунікативного супроводу переговорних і медіаційних процесів.</w:t>
      </w:r>
    </w:p>
    <w:p w14:paraId="62375516"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У міжнародній практиці соціальні мережі також застосовуються для формування наративів, орієнтованих на мир і співпрацю. Офіційні сторінки міжнародних організацій, таких як ООН або Європейський Союз, використовуються для просування меседжів про необхідність дипломатичного врегулювання конфліктів, дотримання прав людини та міжнародного права. Через соціальні мережі здійснюється взаємодія з експертними спільнотами, журналістами та представниками громадянського суспільства, що сприяє створенню ширшої коаліції на підтримку деескалаційних ініціатив.</w:t>
      </w:r>
    </w:p>
    <w:p w14:paraId="7FC8288C"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lastRenderedPageBreak/>
        <w:t>Український кейс після 2022 р. є особливо показовим для аналізу подвійної ролі соціальних мереж у конфлікті. З одного боку, платформи Facebook, Twitter/X і Telegram активно використовуються як інструменти інформаційної війни, поширення фейків, деморалізуючих повідомлень і маніпуляцій. З іншого боку, саме соціальні мережі стали ключовим каналом міжнародної комунікації України, мобілізації глобальної підтримки та пояснення позиції держави на міжнародній арені. Офіційні сторінки органів державної влади, дипломатичних представництв і політичних лідерів виконують функцію цифрової дипломатії, сприяючи формуванню стійкого міжнародного дискурсу на підтримку політико-дипломатичного врегулювання.</w:t>
      </w:r>
    </w:p>
    <w:p w14:paraId="3CC870DB"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Крім того, в Україні соціальні мережі відіграють важливу роль у діяльності громадянського суспільства, зокрема в реалізації ініціатив діалогу, підтримки внутрішньо переміщених осіб і зниження соціальної напруги в громадах. Через цифрові платформи організовуються фасилітовані обговорення, інформаційні кампанії з протидії мові ненависті та проєкти, спрямовані на відновлення довіри й соціальної згуртованості. У цьому вимірі соціальні мережі виступають не лише простором інформаційного протистояння, а й інструментом постконфліктної стабілізації.</w:t>
      </w:r>
    </w:p>
    <w:p w14:paraId="709E4DE8"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 xml:space="preserve">На думку У. Ільницької  «актуалізація цифрової (віртуальної) дипломатії зумовлює транспарентність світових та регіональних політичних процесів, активізацію та оперативність міжнародного співробітництва, миттєвість інформаційних потоків, збільшення обсягів та масштабів поширення інформації, нівелювання просторових та часових меж, а також – максимальну консолідацію акторів міжнародної політики, встановлення партнерських, багатосторонніх відносин між державами та світовою громадськістю у глобальному й регіональному вимірах… …Цифрова дипломатія забезпечує ефективність та результативність вирішення міжнародних конфліктів, оперативне врегулювання кризових ситуацій на регіональному та глобальному рівнях, підвищує довіру між державами та забезпечує транспарентність </w:t>
      </w:r>
      <w:r w:rsidRPr="006761DF">
        <w:rPr>
          <w:rFonts w:ascii="Times New Roman" w:eastAsia="Calibri" w:hAnsi="Times New Roman" w:cs="Times New Roman"/>
          <w:sz w:val="28"/>
          <w:szCs w:val="28"/>
          <w:lang w:val="uk-UA"/>
        </w:rPr>
        <w:lastRenderedPageBreak/>
        <w:t xml:space="preserve">міждержавних взаємодій, публічність світової політики, відкритість та довіру у взаємодії міжнародних інституцій та урядів з світовою громадськістю» (Ільницька). </w:t>
      </w:r>
    </w:p>
    <w:p w14:paraId="041FC102"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Таким чином, соціальні мережі у сучасних політичних конфліктах функціонують як багатовимірний простір, у якому переплітаються процеси ескалації та врегулювання. Їхній вплив визначається не стільки самими технологіями, скільки стратегіями їх використання політичними акторами, рівнем інформаційної культури суспільства та наявністю цілісної політики стратегічних комунікацій. Усвідомлення цієї амбівалентності соціальних мереж є необхідною умовою розробки ефективних підходів до управління політичними конфліктами та інтеграції цифрових інструментів у ширші стратегії деескалації й стабілізації конфліктного середовища.</w:t>
      </w:r>
    </w:p>
    <w:p w14:paraId="513C29CA"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p>
    <w:p w14:paraId="2B985C56" w14:textId="772AB3CE" w:rsidR="006761DF" w:rsidRPr="006761DF" w:rsidRDefault="006761DF" w:rsidP="001B620D">
      <w:pPr>
        <w:spacing w:after="0" w:line="360" w:lineRule="auto"/>
        <w:ind w:firstLine="567"/>
        <w:jc w:val="both"/>
        <w:rPr>
          <w:rFonts w:ascii="Times New Roman" w:eastAsia="Calibri" w:hAnsi="Times New Roman" w:cs="Times New Roman"/>
          <w:b/>
          <w:bCs/>
          <w:sz w:val="28"/>
          <w:szCs w:val="28"/>
          <w:lang w:val="uk-UA"/>
        </w:rPr>
      </w:pPr>
      <w:r w:rsidRPr="006761DF">
        <w:rPr>
          <w:rFonts w:ascii="Times New Roman" w:eastAsia="Calibri" w:hAnsi="Times New Roman" w:cs="Times New Roman"/>
          <w:b/>
          <w:bCs/>
          <w:sz w:val="28"/>
          <w:szCs w:val="28"/>
          <w:lang w:val="uk-UA"/>
        </w:rPr>
        <w:t>4.3. Протидія інформаційним атакам і маніпуляціям як елемент стабілізації конфліктного середовища</w:t>
      </w:r>
    </w:p>
    <w:p w14:paraId="0F1B0FAF"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У сучасних політичних конфліктах інформаційні атаки та маніпуляції виступають одним із ключових інструментів дестабілізації, що здатні істотно впливати на перебіг конфлікту без застосування прямого силового впливу. Інформаційний простір перетворюється на арену боротьби за інтерпретацію подій, легітимність політичних рішень і контроль над масовою свідомістю. У зв’язку з цим протидія інформаційним атакам розглядається не лише як складова національної або інформаційної безпеки, а як необхідний елемент стабілізації конфліктного середовища та передумова ефективної деескалації політичних протистоянь.</w:t>
      </w:r>
    </w:p>
    <w:p w14:paraId="1C356825"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 xml:space="preserve">Інформаційні атаки в політичних конфліктах мають системний і цілеспрямований характер. Вони включають дезінформаційні кампанії, маніпулятивні наративи, використання фейкових акаунтів і бот-мереж, а також поширення емоційно зарядженого контенту, спрямованого на підрив довіри до державних інститутів і політичних акторів. Класичним прикладом міжнародної практики є втручання в інформаційні простори демократичних </w:t>
      </w:r>
      <w:r w:rsidRPr="006761DF">
        <w:rPr>
          <w:rFonts w:ascii="Times New Roman" w:eastAsia="Calibri" w:hAnsi="Times New Roman" w:cs="Times New Roman"/>
          <w:sz w:val="28"/>
          <w:szCs w:val="28"/>
          <w:lang w:val="uk-UA"/>
        </w:rPr>
        <w:lastRenderedPageBreak/>
        <w:t>держав через соціальні мережі під час виборчих кампаній і політичних криз. Такі дії сприяють загостренню внутрішніх політичних конфліктів, радикалізації суспільства та зниженню ефективності дипломатичних і переговорних зусиль.</w:t>
      </w:r>
    </w:p>
    <w:p w14:paraId="47E9166D"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У відповідь на ці виклики в низці країн і міжнародних організацій були сформовані інституційні механізми протидії інформаційним атакам. Показовим є досвід Європейського Союзу, зокрема діяльність East StratCom Task Force, яка спеціалізується на виявленні та спростуванні дезінформаційних кампаній, спрямованих проти держав ЄС і країн-партнерів. Через систематичний моніторинг інформаційного простору, публікацію аналітичних матеріалів і стратегічні комунікації ця структура сприяє зниженню впливу маніпулятивних наративів і стабілізації політичного середовища в умовах міжнародної напруженості.</w:t>
      </w:r>
    </w:p>
    <w:p w14:paraId="540E3C46"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Іншим прикладом є практика країн Балтії, які, маючи досвід інформаційного тиску, розвинули комплексні моделі протидії дезінформації. Поєднання державних стратегій стратегічних комунікацій, співпраці з незалежними медіа та активної участі громадянського суспільства дозволило знизити ефективність зовнішніх інформаційних атак і підвищити стійкість суспільства до маніпуляцій. У цьому випадку протидія інформаційним загрозам стала елементом ширшої політики національної та демократичної стійкості.</w:t>
      </w:r>
    </w:p>
    <w:p w14:paraId="412B19C1"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Особливо показовим є український досвід протидії інформаційним атакам в умовах збройного та гібридного конфлікту. Після 2014 року, а особливо після повномасштабної агресії, Україна зіткнулася з масштабними дезінформаційними кампаніями, спрямованими на деморалізацію населення, дискредитацію державних інституцій і розкол суспільства. У відповідь було сформовано багаторівневу систему інформаційної протидії, що включає державні центри стратегічних комунікацій, офіційні цифрові канали інформування та тісну взаємодію з громадянським суспільством.</w:t>
      </w:r>
    </w:p>
    <w:p w14:paraId="2D87D02A"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lastRenderedPageBreak/>
        <w:t>Конкретним прикладом є діяльність українських державних структур у сфері стратегічних комунікацій, які оперативно реагують на фейкові повідомлення, надають перевірену інформацію та формують єдиний інформаційний наратив у кризових ситуаціях. Паралельно з цим значну роль відіграють незалежні фактчекінгові ініціативи, що систематично викривають маніпуляції та підвищують рівень медіаграмотності населення. Така взаємодія держави й громадянського суспільства сприяє зниженню панічних настроїв і стабілізації внутрішнього політичного середовища.</w:t>
      </w:r>
    </w:p>
    <w:p w14:paraId="4E49A6EF"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Важливою складовою протидії інформаційним атакам є також робота з міжнародною аудиторією. Українські дипломатичні та комунікаційні структури активно використовують соціальні мережі й цифрові платформи для пояснення своєї позиції, спростування дезінформації та формування міжнародної підтримки, що дозволяє нейтралізувати спроби легітимації агресивних дій через маніпулятивні наративи й зменшує ризики ескалації конфлікту на міжнародному рівні.</w:t>
      </w:r>
    </w:p>
    <w:p w14:paraId="7A960A31"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Разом із тим ефективна протидія інформаційним атакам неможлива без розвитку інформаційної культури та критичного мислення в суспільстві. Досвід як України, так і демократичних країн Заходу свідчить, що довгострокова стабілізація конфліктного середовища досягається не лише через заборонні або реактивні заходи, а через системну освіту, підтримку незалежних медіа та формування навичок критичного аналізу інформації. У цьому сенсі протидія маніпуляціям стає елементом демократичної стійкості, а не лише інструментом безпекової політики.</w:t>
      </w:r>
    </w:p>
    <w:p w14:paraId="6912052A"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Водночас важливим викликом залишається збереження балансу між протидією інформаційним атакам і дотриманням принципів свободи слова та плюралізму. Надмірні обмеження інформаційного простору можуть створювати додаткові конфліктні ризики та підривати довіру до влади. Тому найбільш ефективними є ті моделі протидії дезінформації, які ґрунтуються на прозорості, правовій визначеності та залученні суспільства до спільного захисту інформаційного простору.</w:t>
      </w:r>
    </w:p>
    <w:p w14:paraId="735D16C3"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lastRenderedPageBreak/>
        <w:t>Ми погоджуємося з думкою Р. Вакуленко (2016), що  «інформація на сьогодні стала одним з найнебезпечніших видів зброї. Інформація має досить значний вплив на маси, тобто за умови вдалого маніпулювання свідомістю мас можна досягти практично будь-якої мети: знищити опонента, прибрати з дороги конкурентів чи розпалити війну. Руйнівна потужність інформаційно-психологічного впливу в сучасних умовах настільки велика, що ставить під сумнів не лише незалежність переможеної держави, але і сам факт існування її народу як національної спільноти» (Вакуленко, 2016). Дослідник пропонує наступні методи протидії інформаційним впливам (Див. табл).</w:t>
      </w:r>
    </w:p>
    <w:tbl>
      <w:tblPr>
        <w:tblStyle w:val="41"/>
        <w:tblW w:w="0" w:type="auto"/>
        <w:tblInd w:w="0" w:type="dxa"/>
        <w:tblLook w:val="04A0" w:firstRow="1" w:lastRow="0" w:firstColumn="1" w:lastColumn="0" w:noHBand="0" w:noVBand="1"/>
      </w:tblPr>
      <w:tblGrid>
        <w:gridCol w:w="2386"/>
        <w:gridCol w:w="3825"/>
        <w:gridCol w:w="3134"/>
      </w:tblGrid>
      <w:tr w:rsidR="006761DF" w:rsidRPr="006761DF" w14:paraId="61EC7981" w14:textId="77777777">
        <w:tc>
          <w:tcPr>
            <w:tcW w:w="2405" w:type="dxa"/>
            <w:tcBorders>
              <w:top w:val="single" w:sz="4" w:space="0" w:color="auto"/>
              <w:left w:val="single" w:sz="4" w:space="0" w:color="auto"/>
              <w:bottom w:val="single" w:sz="4" w:space="0" w:color="auto"/>
              <w:right w:val="single" w:sz="4" w:space="0" w:color="auto"/>
            </w:tcBorders>
            <w:hideMark/>
          </w:tcPr>
          <w:p w14:paraId="553F365E" w14:textId="77777777" w:rsidR="006761DF" w:rsidRPr="006761DF" w:rsidRDefault="006761DF" w:rsidP="006761DF">
            <w:pPr>
              <w:spacing w:line="360" w:lineRule="auto"/>
              <w:jc w:val="center"/>
              <w:rPr>
                <w:rFonts w:ascii="Times New Roman" w:hAnsi="Times New Roman"/>
                <w:sz w:val="28"/>
                <w:szCs w:val="28"/>
              </w:rPr>
            </w:pPr>
            <w:r w:rsidRPr="006761DF">
              <w:rPr>
                <w:rFonts w:ascii="Times New Roman" w:hAnsi="Times New Roman"/>
                <w:b/>
                <w:bCs/>
                <w:sz w:val="28"/>
                <w:szCs w:val="28"/>
              </w:rPr>
              <w:t>Метод протидії</w:t>
            </w:r>
          </w:p>
        </w:tc>
        <w:tc>
          <w:tcPr>
            <w:tcW w:w="4014" w:type="dxa"/>
            <w:tcBorders>
              <w:top w:val="single" w:sz="4" w:space="0" w:color="auto"/>
              <w:left w:val="single" w:sz="4" w:space="0" w:color="auto"/>
              <w:bottom w:val="single" w:sz="4" w:space="0" w:color="auto"/>
              <w:right w:val="single" w:sz="4" w:space="0" w:color="auto"/>
            </w:tcBorders>
            <w:hideMark/>
          </w:tcPr>
          <w:p w14:paraId="751593FB" w14:textId="77777777" w:rsidR="006761DF" w:rsidRPr="006761DF" w:rsidRDefault="006761DF" w:rsidP="006761DF">
            <w:pPr>
              <w:spacing w:line="360" w:lineRule="auto"/>
              <w:jc w:val="center"/>
              <w:rPr>
                <w:rFonts w:ascii="Times New Roman" w:hAnsi="Times New Roman"/>
                <w:sz w:val="28"/>
                <w:szCs w:val="28"/>
              </w:rPr>
            </w:pPr>
            <w:r w:rsidRPr="006761DF">
              <w:rPr>
                <w:rFonts w:ascii="Times New Roman" w:hAnsi="Times New Roman"/>
                <w:b/>
                <w:bCs/>
                <w:sz w:val="28"/>
                <w:szCs w:val="28"/>
              </w:rPr>
              <w:t>Опис</w:t>
            </w:r>
          </w:p>
        </w:tc>
        <w:tc>
          <w:tcPr>
            <w:tcW w:w="3210" w:type="dxa"/>
            <w:tcBorders>
              <w:top w:val="single" w:sz="4" w:space="0" w:color="auto"/>
              <w:left w:val="single" w:sz="4" w:space="0" w:color="auto"/>
              <w:bottom w:val="single" w:sz="4" w:space="0" w:color="auto"/>
              <w:right w:val="single" w:sz="4" w:space="0" w:color="auto"/>
            </w:tcBorders>
          </w:tcPr>
          <w:p w14:paraId="57DAEA3C" w14:textId="77777777" w:rsidR="006761DF" w:rsidRPr="006761DF" w:rsidRDefault="006761DF" w:rsidP="006761DF">
            <w:pPr>
              <w:spacing w:line="360" w:lineRule="auto"/>
              <w:jc w:val="center"/>
              <w:rPr>
                <w:rFonts w:ascii="Times New Roman" w:hAnsi="Times New Roman"/>
                <w:b/>
                <w:bCs/>
              </w:rPr>
            </w:pPr>
            <w:r w:rsidRPr="006761DF">
              <w:rPr>
                <w:rFonts w:ascii="Times New Roman" w:hAnsi="Times New Roman"/>
                <w:b/>
                <w:bCs/>
                <w:sz w:val="28"/>
                <w:szCs w:val="28"/>
              </w:rPr>
              <w:t>Очікуваний ефект</w:t>
            </w:r>
          </w:p>
          <w:p w14:paraId="0458E8ED" w14:textId="77777777" w:rsidR="006761DF" w:rsidRPr="006761DF" w:rsidRDefault="006761DF" w:rsidP="006761DF">
            <w:pPr>
              <w:spacing w:line="360" w:lineRule="auto"/>
              <w:jc w:val="center"/>
              <w:rPr>
                <w:rFonts w:ascii="Times New Roman" w:hAnsi="Times New Roman"/>
              </w:rPr>
            </w:pPr>
          </w:p>
        </w:tc>
      </w:tr>
      <w:tr w:rsidR="006761DF" w:rsidRPr="006761DF" w14:paraId="24B875E6" w14:textId="77777777">
        <w:tc>
          <w:tcPr>
            <w:tcW w:w="2405" w:type="dxa"/>
            <w:tcBorders>
              <w:top w:val="single" w:sz="4" w:space="0" w:color="auto"/>
              <w:left w:val="single" w:sz="4" w:space="0" w:color="auto"/>
              <w:bottom w:val="single" w:sz="4" w:space="0" w:color="auto"/>
              <w:right w:val="single" w:sz="4" w:space="0" w:color="auto"/>
            </w:tcBorders>
            <w:hideMark/>
          </w:tcPr>
          <w:p w14:paraId="47FE268D"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b/>
                <w:bCs/>
                <w:sz w:val="28"/>
                <w:szCs w:val="28"/>
              </w:rPr>
              <w:t>Формування критичного мислення</w:t>
            </w:r>
          </w:p>
        </w:tc>
        <w:tc>
          <w:tcPr>
            <w:tcW w:w="4014" w:type="dxa"/>
            <w:tcBorders>
              <w:top w:val="single" w:sz="4" w:space="0" w:color="auto"/>
              <w:left w:val="single" w:sz="4" w:space="0" w:color="auto"/>
              <w:bottom w:val="single" w:sz="4" w:space="0" w:color="auto"/>
              <w:right w:val="single" w:sz="4" w:space="0" w:color="auto"/>
            </w:tcBorders>
            <w:hideMark/>
          </w:tcPr>
          <w:p w14:paraId="7C19BD25"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Освіта, медіаграмотність, розвиток аналітичних навичок у громадян</w:t>
            </w:r>
          </w:p>
        </w:tc>
        <w:tc>
          <w:tcPr>
            <w:tcW w:w="3210" w:type="dxa"/>
            <w:tcBorders>
              <w:top w:val="single" w:sz="4" w:space="0" w:color="auto"/>
              <w:left w:val="single" w:sz="4" w:space="0" w:color="auto"/>
              <w:bottom w:val="single" w:sz="4" w:space="0" w:color="auto"/>
              <w:right w:val="single" w:sz="4" w:space="0" w:color="auto"/>
            </w:tcBorders>
            <w:hideMark/>
          </w:tcPr>
          <w:p w14:paraId="027A310D"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Зменшення сприйнятливості до дезінформації</w:t>
            </w:r>
          </w:p>
        </w:tc>
      </w:tr>
      <w:tr w:rsidR="006761DF" w:rsidRPr="006761DF" w14:paraId="4633260D" w14:textId="77777777">
        <w:tc>
          <w:tcPr>
            <w:tcW w:w="2405" w:type="dxa"/>
            <w:tcBorders>
              <w:top w:val="single" w:sz="4" w:space="0" w:color="auto"/>
              <w:left w:val="single" w:sz="4" w:space="0" w:color="auto"/>
              <w:bottom w:val="single" w:sz="4" w:space="0" w:color="auto"/>
              <w:right w:val="single" w:sz="4" w:space="0" w:color="auto"/>
            </w:tcBorders>
            <w:hideMark/>
          </w:tcPr>
          <w:p w14:paraId="538FB88C"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b/>
                <w:bCs/>
                <w:sz w:val="28"/>
                <w:szCs w:val="28"/>
              </w:rPr>
              <w:t>Інформаційна прозорість влади</w:t>
            </w:r>
          </w:p>
        </w:tc>
        <w:tc>
          <w:tcPr>
            <w:tcW w:w="4014" w:type="dxa"/>
            <w:tcBorders>
              <w:top w:val="single" w:sz="4" w:space="0" w:color="auto"/>
              <w:left w:val="single" w:sz="4" w:space="0" w:color="auto"/>
              <w:bottom w:val="single" w:sz="4" w:space="0" w:color="auto"/>
              <w:right w:val="single" w:sz="4" w:space="0" w:color="auto"/>
            </w:tcBorders>
            <w:hideMark/>
          </w:tcPr>
          <w:p w14:paraId="4BA7A1FC"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Оперативне та достовірне інформування населення, відкриті дані</w:t>
            </w:r>
          </w:p>
        </w:tc>
        <w:tc>
          <w:tcPr>
            <w:tcW w:w="3210" w:type="dxa"/>
            <w:tcBorders>
              <w:top w:val="single" w:sz="4" w:space="0" w:color="auto"/>
              <w:left w:val="single" w:sz="4" w:space="0" w:color="auto"/>
              <w:bottom w:val="single" w:sz="4" w:space="0" w:color="auto"/>
              <w:right w:val="single" w:sz="4" w:space="0" w:color="auto"/>
            </w:tcBorders>
            <w:hideMark/>
          </w:tcPr>
          <w:p w14:paraId="78FE1331"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Підвищення довіри до інституцій, зниження впливу чуток і паніки</w:t>
            </w:r>
          </w:p>
        </w:tc>
      </w:tr>
      <w:tr w:rsidR="006761DF" w:rsidRPr="006761DF" w14:paraId="6E84A00B" w14:textId="77777777">
        <w:tc>
          <w:tcPr>
            <w:tcW w:w="2405" w:type="dxa"/>
            <w:tcBorders>
              <w:top w:val="single" w:sz="4" w:space="0" w:color="auto"/>
              <w:left w:val="single" w:sz="4" w:space="0" w:color="auto"/>
              <w:bottom w:val="single" w:sz="4" w:space="0" w:color="auto"/>
              <w:right w:val="single" w:sz="4" w:space="0" w:color="auto"/>
            </w:tcBorders>
            <w:hideMark/>
          </w:tcPr>
          <w:p w14:paraId="3347A640"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b/>
                <w:bCs/>
                <w:sz w:val="28"/>
                <w:szCs w:val="28"/>
              </w:rPr>
              <w:t>Моніторинг інформаційного простору</w:t>
            </w:r>
          </w:p>
        </w:tc>
        <w:tc>
          <w:tcPr>
            <w:tcW w:w="4014" w:type="dxa"/>
            <w:tcBorders>
              <w:top w:val="single" w:sz="4" w:space="0" w:color="auto"/>
              <w:left w:val="single" w:sz="4" w:space="0" w:color="auto"/>
              <w:bottom w:val="single" w:sz="4" w:space="0" w:color="auto"/>
              <w:right w:val="single" w:sz="4" w:space="0" w:color="auto"/>
            </w:tcBorders>
            <w:hideMark/>
          </w:tcPr>
          <w:p w14:paraId="5EC1C3CF"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Використання технологій та аналітичних інструментів для виявлення дезінформації</w:t>
            </w:r>
          </w:p>
        </w:tc>
        <w:tc>
          <w:tcPr>
            <w:tcW w:w="3210" w:type="dxa"/>
            <w:tcBorders>
              <w:top w:val="single" w:sz="4" w:space="0" w:color="auto"/>
              <w:left w:val="single" w:sz="4" w:space="0" w:color="auto"/>
              <w:bottom w:val="single" w:sz="4" w:space="0" w:color="auto"/>
              <w:right w:val="single" w:sz="4" w:space="0" w:color="auto"/>
            </w:tcBorders>
            <w:hideMark/>
          </w:tcPr>
          <w:p w14:paraId="4A81BEE1"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Раннє виявлення загроз, можливість швидкого реагування</w:t>
            </w:r>
          </w:p>
        </w:tc>
      </w:tr>
      <w:tr w:rsidR="006761DF" w:rsidRPr="006761DF" w14:paraId="2B58F4FC" w14:textId="77777777">
        <w:tc>
          <w:tcPr>
            <w:tcW w:w="2405" w:type="dxa"/>
            <w:tcBorders>
              <w:top w:val="single" w:sz="4" w:space="0" w:color="auto"/>
              <w:left w:val="single" w:sz="4" w:space="0" w:color="auto"/>
              <w:bottom w:val="single" w:sz="4" w:space="0" w:color="auto"/>
              <w:right w:val="single" w:sz="4" w:space="0" w:color="auto"/>
            </w:tcBorders>
            <w:hideMark/>
          </w:tcPr>
          <w:p w14:paraId="70FCABD2"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b/>
                <w:bCs/>
                <w:sz w:val="28"/>
                <w:szCs w:val="28"/>
              </w:rPr>
              <w:t>Правове регулювання</w:t>
            </w:r>
          </w:p>
        </w:tc>
        <w:tc>
          <w:tcPr>
            <w:tcW w:w="4014" w:type="dxa"/>
            <w:tcBorders>
              <w:top w:val="single" w:sz="4" w:space="0" w:color="auto"/>
              <w:left w:val="single" w:sz="4" w:space="0" w:color="auto"/>
              <w:bottom w:val="single" w:sz="4" w:space="0" w:color="auto"/>
              <w:right w:val="single" w:sz="4" w:space="0" w:color="auto"/>
            </w:tcBorders>
            <w:hideMark/>
          </w:tcPr>
          <w:p w14:paraId="285891CC"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Законодавчі акти щодо відповідальності за поширення фейків, регулювання платформ</w:t>
            </w:r>
          </w:p>
        </w:tc>
        <w:tc>
          <w:tcPr>
            <w:tcW w:w="3210" w:type="dxa"/>
            <w:tcBorders>
              <w:top w:val="single" w:sz="4" w:space="0" w:color="auto"/>
              <w:left w:val="single" w:sz="4" w:space="0" w:color="auto"/>
              <w:bottom w:val="single" w:sz="4" w:space="0" w:color="auto"/>
              <w:right w:val="single" w:sz="4" w:space="0" w:color="auto"/>
            </w:tcBorders>
            <w:hideMark/>
          </w:tcPr>
          <w:p w14:paraId="68DE1859"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Стримування поширення шкідливого контенту</w:t>
            </w:r>
          </w:p>
        </w:tc>
      </w:tr>
      <w:tr w:rsidR="006761DF" w:rsidRPr="006761DF" w14:paraId="72436AB7" w14:textId="77777777">
        <w:tc>
          <w:tcPr>
            <w:tcW w:w="2405" w:type="dxa"/>
            <w:tcBorders>
              <w:top w:val="single" w:sz="4" w:space="0" w:color="auto"/>
              <w:left w:val="single" w:sz="4" w:space="0" w:color="auto"/>
              <w:bottom w:val="single" w:sz="4" w:space="0" w:color="auto"/>
              <w:right w:val="single" w:sz="4" w:space="0" w:color="auto"/>
            </w:tcBorders>
            <w:hideMark/>
          </w:tcPr>
          <w:p w14:paraId="0EBB3B8B"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b/>
                <w:bCs/>
                <w:sz w:val="28"/>
                <w:szCs w:val="28"/>
              </w:rPr>
              <w:t>Координація з міжнародними партнерами</w:t>
            </w:r>
          </w:p>
        </w:tc>
        <w:tc>
          <w:tcPr>
            <w:tcW w:w="4014" w:type="dxa"/>
            <w:tcBorders>
              <w:top w:val="single" w:sz="4" w:space="0" w:color="auto"/>
              <w:left w:val="single" w:sz="4" w:space="0" w:color="auto"/>
              <w:bottom w:val="single" w:sz="4" w:space="0" w:color="auto"/>
              <w:right w:val="single" w:sz="4" w:space="0" w:color="auto"/>
            </w:tcBorders>
            <w:hideMark/>
          </w:tcPr>
          <w:p w14:paraId="3FE80EB9"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Обмін інформацією, спільні ініціативи з кібербезпеки та інформаційної гігієни</w:t>
            </w:r>
          </w:p>
        </w:tc>
        <w:tc>
          <w:tcPr>
            <w:tcW w:w="3210" w:type="dxa"/>
            <w:tcBorders>
              <w:top w:val="single" w:sz="4" w:space="0" w:color="auto"/>
              <w:left w:val="single" w:sz="4" w:space="0" w:color="auto"/>
              <w:bottom w:val="single" w:sz="4" w:space="0" w:color="auto"/>
              <w:right w:val="single" w:sz="4" w:space="0" w:color="auto"/>
            </w:tcBorders>
            <w:hideMark/>
          </w:tcPr>
          <w:p w14:paraId="4489B722"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Підвищення ефективності протидії транснаціональним кампаніям</w:t>
            </w:r>
          </w:p>
        </w:tc>
      </w:tr>
      <w:tr w:rsidR="006761DF" w:rsidRPr="006761DF" w14:paraId="7479D16A" w14:textId="77777777">
        <w:tc>
          <w:tcPr>
            <w:tcW w:w="2405" w:type="dxa"/>
            <w:tcBorders>
              <w:top w:val="single" w:sz="4" w:space="0" w:color="auto"/>
              <w:left w:val="single" w:sz="4" w:space="0" w:color="auto"/>
              <w:bottom w:val="single" w:sz="4" w:space="0" w:color="auto"/>
              <w:right w:val="single" w:sz="4" w:space="0" w:color="auto"/>
            </w:tcBorders>
            <w:hideMark/>
          </w:tcPr>
          <w:p w14:paraId="1F61E6BE"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b/>
                <w:bCs/>
                <w:sz w:val="28"/>
                <w:szCs w:val="28"/>
              </w:rPr>
              <w:lastRenderedPageBreak/>
              <w:t>Розвиток власного контенту</w:t>
            </w:r>
          </w:p>
        </w:tc>
        <w:tc>
          <w:tcPr>
            <w:tcW w:w="4014" w:type="dxa"/>
            <w:tcBorders>
              <w:top w:val="single" w:sz="4" w:space="0" w:color="auto"/>
              <w:left w:val="single" w:sz="4" w:space="0" w:color="auto"/>
              <w:bottom w:val="single" w:sz="4" w:space="0" w:color="auto"/>
              <w:right w:val="single" w:sz="4" w:space="0" w:color="auto"/>
            </w:tcBorders>
            <w:hideMark/>
          </w:tcPr>
          <w:p w14:paraId="09DDCF08"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Створення якісного, патріотичного, аналітичного контенту</w:t>
            </w:r>
          </w:p>
        </w:tc>
        <w:tc>
          <w:tcPr>
            <w:tcW w:w="3210" w:type="dxa"/>
            <w:tcBorders>
              <w:top w:val="single" w:sz="4" w:space="0" w:color="auto"/>
              <w:left w:val="single" w:sz="4" w:space="0" w:color="auto"/>
              <w:bottom w:val="single" w:sz="4" w:space="0" w:color="auto"/>
              <w:right w:val="single" w:sz="4" w:space="0" w:color="auto"/>
            </w:tcBorders>
            <w:hideMark/>
          </w:tcPr>
          <w:p w14:paraId="1D5C2EBD"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Формування альтернативи до маніпулятивних джерел</w:t>
            </w:r>
          </w:p>
        </w:tc>
      </w:tr>
      <w:tr w:rsidR="006761DF" w:rsidRPr="006761DF" w14:paraId="4744CB3A" w14:textId="77777777">
        <w:tc>
          <w:tcPr>
            <w:tcW w:w="2405" w:type="dxa"/>
            <w:tcBorders>
              <w:top w:val="single" w:sz="4" w:space="0" w:color="auto"/>
              <w:left w:val="single" w:sz="4" w:space="0" w:color="auto"/>
              <w:bottom w:val="single" w:sz="4" w:space="0" w:color="auto"/>
              <w:right w:val="single" w:sz="4" w:space="0" w:color="auto"/>
            </w:tcBorders>
            <w:hideMark/>
          </w:tcPr>
          <w:p w14:paraId="0063B7AA"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b/>
                <w:bCs/>
                <w:sz w:val="28"/>
                <w:szCs w:val="28"/>
              </w:rPr>
              <w:t>Робота з соціальними мережами</w:t>
            </w:r>
          </w:p>
        </w:tc>
        <w:tc>
          <w:tcPr>
            <w:tcW w:w="4014" w:type="dxa"/>
            <w:tcBorders>
              <w:top w:val="single" w:sz="4" w:space="0" w:color="auto"/>
              <w:left w:val="single" w:sz="4" w:space="0" w:color="auto"/>
              <w:bottom w:val="single" w:sz="4" w:space="0" w:color="auto"/>
              <w:right w:val="single" w:sz="4" w:space="0" w:color="auto"/>
            </w:tcBorders>
            <w:hideMark/>
          </w:tcPr>
          <w:p w14:paraId="0C899475"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Співпраця з платформами, алгоритми блокування фейкових акаунтів і поширення дезінформації</w:t>
            </w:r>
          </w:p>
        </w:tc>
        <w:tc>
          <w:tcPr>
            <w:tcW w:w="3210" w:type="dxa"/>
            <w:tcBorders>
              <w:top w:val="single" w:sz="4" w:space="0" w:color="auto"/>
              <w:left w:val="single" w:sz="4" w:space="0" w:color="auto"/>
              <w:bottom w:val="single" w:sz="4" w:space="0" w:color="auto"/>
              <w:right w:val="single" w:sz="4" w:space="0" w:color="auto"/>
            </w:tcBorders>
            <w:hideMark/>
          </w:tcPr>
          <w:p w14:paraId="1510F99D" w14:textId="77777777" w:rsidR="006761DF" w:rsidRPr="006761DF" w:rsidRDefault="006761DF" w:rsidP="006761DF">
            <w:pPr>
              <w:spacing w:line="360" w:lineRule="auto"/>
              <w:jc w:val="both"/>
              <w:rPr>
                <w:rFonts w:ascii="Times New Roman" w:hAnsi="Times New Roman"/>
                <w:sz w:val="28"/>
                <w:szCs w:val="28"/>
              </w:rPr>
            </w:pPr>
            <w:r w:rsidRPr="006761DF">
              <w:rPr>
                <w:rFonts w:ascii="Times New Roman" w:hAnsi="Times New Roman"/>
                <w:sz w:val="28"/>
                <w:szCs w:val="28"/>
              </w:rPr>
              <w:t>Обмеження впливу ворожих інформаційних кампаній</w:t>
            </w:r>
          </w:p>
        </w:tc>
      </w:tr>
    </w:tbl>
    <w:p w14:paraId="560FAC0F" w14:textId="77777777" w:rsidR="006761DF" w:rsidRPr="006761DF" w:rsidRDefault="006761DF" w:rsidP="001B620D">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Аналіз таблиці свідчить, що ефективна протидія деструктивним інформаційним впливам у політичних конфліктах потребує системного та комплексного підходу. Жодна з технологій не є самодостатньою, але саме їхня взаємодія формує стійке інформаційне середовище. Зокрема, формування критичного мислення громадян та інформаційна прозорість влади створюють підґрунтя для довіри та зменшення впливу маніпуляцій. Технічні засоби моніторингу, разом із правовим регулюванням, дозволяють оперативно реагувати на загрози, а міжнародна співпраця — масштабувати зусилля до глобального рівня. Водночас виробництво власного якісного контенту й активна присутність у соціальних мережах сприяють інформаційній перевазі та формуванню наративів, що конкурують з ворожими. Таким чином, реалізація наведених стратегій дозволяє не лише нейтралізувати загрози, а й перетворити інформаційний простір на ресурс стабільності та консолідації суспільства в умовах політичних криз.</w:t>
      </w:r>
    </w:p>
    <w:p w14:paraId="32489F54"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 xml:space="preserve">Таким чином, протидія інформаційним атакам і маніпуляціям у сучасних політичних конфліктах виступає важливим чинником стабілізації конфліктного середовища. Міжнародний і український досвід переконливо демонструє, що поєднання державних стратегічних комунікацій, інституційної координації та активної ролі громадянського суспільства створює передумови для зниження ескалаційного потенціалу конфліктів. У взаємодії з цифровою дипломатією, медіацією та багаторівневими переговорними технологіями протидія інформаційним загрозам формує цілісну модель сучасного </w:t>
      </w:r>
      <w:r w:rsidRPr="006761DF">
        <w:rPr>
          <w:rFonts w:ascii="Times New Roman" w:eastAsia="Calibri" w:hAnsi="Times New Roman" w:cs="Times New Roman"/>
          <w:sz w:val="28"/>
          <w:szCs w:val="28"/>
          <w:lang w:val="uk-UA"/>
        </w:rPr>
        <w:lastRenderedPageBreak/>
        <w:t>управління політичними конфліктами та сприяє переходу від конфронтації до керованої деескалації.</w:t>
      </w:r>
    </w:p>
    <w:p w14:paraId="2715383A"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p>
    <w:p w14:paraId="741AD352" w14:textId="77777777" w:rsidR="006761DF" w:rsidRPr="006761DF" w:rsidRDefault="006761DF" w:rsidP="006761DF">
      <w:pPr>
        <w:spacing w:after="0" w:line="360" w:lineRule="auto"/>
        <w:ind w:firstLine="567"/>
        <w:jc w:val="both"/>
        <w:rPr>
          <w:rFonts w:ascii="Times New Roman" w:eastAsia="Calibri" w:hAnsi="Times New Roman" w:cs="Times New Roman"/>
          <w:i/>
          <w:iCs/>
          <w:sz w:val="28"/>
          <w:szCs w:val="28"/>
          <w:lang w:val="uk-UA"/>
        </w:rPr>
      </w:pPr>
      <w:r w:rsidRPr="006761DF">
        <w:rPr>
          <w:rFonts w:ascii="Times New Roman" w:eastAsia="Calibri" w:hAnsi="Times New Roman" w:cs="Times New Roman"/>
          <w:i/>
          <w:iCs/>
          <w:sz w:val="28"/>
          <w:szCs w:val="28"/>
          <w:lang w:val="uk-UA"/>
        </w:rPr>
        <w:t>Висновок до четвертого розділу</w:t>
      </w:r>
    </w:p>
    <w:p w14:paraId="4429F137"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p>
    <w:p w14:paraId="1817B1B6"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Цифрова дипломатія має суттєвий потенціал для зниження напруженості завдяки формуванню інформаційної прозорості, залученню громадськості до процесів прийняття рішень, оперативному реагуванню на інформаційні провокації та просуванню мирних ініціатив через відкриті публічні платформи. Водночас її ефективність значною мірою залежить від рівня цифрової компетентності дипломатичних служб, інформаційної безпеки та наявності етичних стандартів взаємодії в онлайн-просторі.</w:t>
      </w:r>
    </w:p>
    <w:p w14:paraId="600947B7"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Соціальні мережі постають амбівалентним чинником: з одного боку, вони сприяють ескалації через поширення дезінформації та поляризацію, з іншого — створюють нові формати комунікації, підтримки миру та взаємодії з громадянським суспільством. Їх роль у формуванні наративів, мобілізації підтримки та підтримці діалогу є незамінною, особливо в гібридних конфліктах.</w:t>
      </w:r>
    </w:p>
    <w:p w14:paraId="5F1124F3" w14:textId="77777777" w:rsidR="006761DF" w:rsidRP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Протидія інформаційним атакам розглядається як ключовий елемент стабілізації політичного середовища. Вона включає розвиток критичного мислення, медіаграмотності, інституційну координацію, правове регулювання інформаційного простору та міжнародну співпрацю. Поєднання цих факторів формує захищене інформаційне середовище, здатне протистояти зовнішнім і внутрішнім загрозам.</w:t>
      </w:r>
    </w:p>
    <w:p w14:paraId="2FC36694" w14:textId="77777777" w:rsidR="006761DF" w:rsidRDefault="006761DF" w:rsidP="006761DF">
      <w:pPr>
        <w:spacing w:after="0" w:line="360" w:lineRule="auto"/>
        <w:ind w:firstLine="567"/>
        <w:jc w:val="both"/>
        <w:rPr>
          <w:rFonts w:ascii="Times New Roman" w:eastAsia="Calibri" w:hAnsi="Times New Roman" w:cs="Times New Roman"/>
          <w:sz w:val="28"/>
          <w:szCs w:val="28"/>
          <w:lang w:val="uk-UA"/>
        </w:rPr>
      </w:pPr>
      <w:r w:rsidRPr="006761DF">
        <w:rPr>
          <w:rFonts w:ascii="Times New Roman" w:eastAsia="Calibri" w:hAnsi="Times New Roman" w:cs="Times New Roman"/>
          <w:sz w:val="28"/>
          <w:szCs w:val="28"/>
          <w:lang w:val="uk-UA"/>
        </w:rPr>
        <w:t>Таким чином, у сучасних умовах інформаційно-комунікаційні технології не лише формують нові виклики, а й відкривають можливості для ефективного мирного врегулювання конфліктів. Їхнє інтегроване застосування в рамках комплексної стратегії деескалації є запорукою стабільності, політичної легітимності та безпеки у XXI ст.</w:t>
      </w:r>
    </w:p>
    <w:p w14:paraId="4CFE903B" w14:textId="77777777" w:rsidR="00A23077" w:rsidRPr="006761DF" w:rsidRDefault="00A23077" w:rsidP="006761DF">
      <w:pPr>
        <w:spacing w:after="0" w:line="360" w:lineRule="auto"/>
        <w:ind w:firstLine="567"/>
        <w:jc w:val="both"/>
        <w:rPr>
          <w:rFonts w:ascii="Times New Roman" w:eastAsia="Calibri" w:hAnsi="Times New Roman" w:cs="Times New Roman"/>
          <w:sz w:val="28"/>
          <w:szCs w:val="28"/>
          <w:lang w:val="uk-UA"/>
        </w:rPr>
      </w:pPr>
    </w:p>
    <w:p w14:paraId="2A7BC402" w14:textId="77777777" w:rsidR="002369E7" w:rsidRPr="002369E7" w:rsidRDefault="002369E7" w:rsidP="002369E7">
      <w:pPr>
        <w:spacing w:after="0" w:line="360" w:lineRule="auto"/>
        <w:ind w:firstLine="567"/>
        <w:jc w:val="center"/>
        <w:rPr>
          <w:rFonts w:ascii="Times New Roman" w:eastAsia="Calibri" w:hAnsi="Times New Roman" w:cs="Times New Roman"/>
          <w:b/>
          <w:bCs/>
          <w:sz w:val="28"/>
          <w:szCs w:val="28"/>
          <w:lang w:val="uk-UA"/>
        </w:rPr>
      </w:pPr>
      <w:r w:rsidRPr="002369E7">
        <w:rPr>
          <w:rFonts w:ascii="Times New Roman" w:eastAsia="Calibri" w:hAnsi="Times New Roman" w:cs="Times New Roman"/>
          <w:b/>
          <w:bCs/>
          <w:sz w:val="28"/>
          <w:szCs w:val="28"/>
          <w:lang w:val="uk-UA"/>
        </w:rPr>
        <w:lastRenderedPageBreak/>
        <w:t>ВИСНОВКИ</w:t>
      </w:r>
    </w:p>
    <w:p w14:paraId="691B3F84" w14:textId="77777777" w:rsidR="002369E7" w:rsidRPr="002369E7" w:rsidRDefault="002369E7" w:rsidP="002369E7">
      <w:pPr>
        <w:spacing w:after="0" w:line="360" w:lineRule="auto"/>
        <w:ind w:firstLine="567"/>
        <w:jc w:val="center"/>
        <w:rPr>
          <w:rFonts w:ascii="Times New Roman" w:eastAsia="Calibri" w:hAnsi="Times New Roman" w:cs="Times New Roman"/>
          <w:sz w:val="28"/>
          <w:szCs w:val="28"/>
          <w:lang w:val="uk-UA"/>
        </w:rPr>
      </w:pPr>
    </w:p>
    <w:p w14:paraId="55608D09" w14:textId="77777777" w:rsidR="002369E7" w:rsidRPr="002369E7" w:rsidRDefault="002369E7" w:rsidP="002369E7">
      <w:pPr>
        <w:spacing w:after="0" w:line="360" w:lineRule="auto"/>
        <w:ind w:firstLine="567"/>
        <w:jc w:val="both"/>
        <w:rPr>
          <w:rFonts w:ascii="Times New Roman" w:eastAsia="Calibri" w:hAnsi="Times New Roman" w:cs="Times New Roman"/>
          <w:sz w:val="28"/>
          <w:szCs w:val="28"/>
          <w:lang w:val="uk-UA"/>
        </w:rPr>
      </w:pPr>
      <w:r w:rsidRPr="002369E7">
        <w:rPr>
          <w:rFonts w:ascii="Times New Roman" w:eastAsia="Calibri" w:hAnsi="Times New Roman" w:cs="Times New Roman"/>
          <w:sz w:val="28"/>
          <w:szCs w:val="28"/>
          <w:lang w:val="uk-UA"/>
        </w:rPr>
        <w:t>На підставі аналізу матеріалів чотирьох розділів та з урахуванням мети й завдань дослідження, сформульованих у вступі, можна зробити такі узагальнюючі висновки:</w:t>
      </w:r>
    </w:p>
    <w:p w14:paraId="740F6330" w14:textId="77777777" w:rsidR="002369E7" w:rsidRPr="002369E7" w:rsidRDefault="002369E7" w:rsidP="002369E7">
      <w:pPr>
        <w:numPr>
          <w:ilvl w:val="0"/>
          <w:numId w:val="2"/>
        </w:numPr>
        <w:spacing w:after="0" w:line="360" w:lineRule="auto"/>
        <w:jc w:val="both"/>
        <w:rPr>
          <w:rFonts w:ascii="Times New Roman" w:eastAsia="Calibri" w:hAnsi="Times New Roman" w:cs="Times New Roman"/>
          <w:sz w:val="28"/>
          <w:szCs w:val="28"/>
          <w:lang w:val="uk-UA"/>
        </w:rPr>
      </w:pPr>
      <w:r w:rsidRPr="002369E7">
        <w:rPr>
          <w:rFonts w:ascii="Times New Roman" w:eastAsia="Calibri" w:hAnsi="Times New Roman" w:cs="Times New Roman"/>
          <w:sz w:val="28"/>
          <w:szCs w:val="28"/>
          <w:lang w:val="uk-UA"/>
        </w:rPr>
        <w:t>Теоретико-методологічні підходи до аналізу політичних конфліктів засвідчують, що політичний конфлікт є невід’ємною складовою політичного процесу, що виникає на ґрунті суперечностей інтересів, цінностей і ресурсів. Його аналіз ґрунтується на структурно-функціональному, системному, інституційному, компаративному та конструктивістському підходах. Такий міждисциплінарний підхід дозволяє комплексно досліджувати природу конфлікту, ідентифікувати його динаміку та виокремити ефективні механізми врегулювання.</w:t>
      </w:r>
    </w:p>
    <w:p w14:paraId="0D5D2F3D" w14:textId="77777777" w:rsidR="002369E7" w:rsidRPr="002369E7" w:rsidRDefault="002369E7" w:rsidP="002369E7">
      <w:pPr>
        <w:numPr>
          <w:ilvl w:val="0"/>
          <w:numId w:val="2"/>
        </w:numPr>
        <w:spacing w:after="0" w:line="360" w:lineRule="auto"/>
        <w:jc w:val="both"/>
        <w:rPr>
          <w:rFonts w:ascii="Times New Roman" w:eastAsia="Calibri" w:hAnsi="Times New Roman" w:cs="Times New Roman"/>
          <w:sz w:val="28"/>
          <w:szCs w:val="28"/>
          <w:lang w:val="uk-UA"/>
        </w:rPr>
      </w:pPr>
      <w:r w:rsidRPr="002369E7">
        <w:rPr>
          <w:rFonts w:ascii="Times New Roman" w:eastAsia="Calibri" w:hAnsi="Times New Roman" w:cs="Times New Roman"/>
          <w:sz w:val="28"/>
          <w:szCs w:val="28"/>
          <w:lang w:val="uk-UA"/>
        </w:rPr>
        <w:t>Правові та інституційні механізми врегулювання політичних конфліктів, зокрема конституційні положення, виборче законодавство, парламентські процедури та судова практика, забезпечують стабільність політичної системи, формалізують суперечності та створюють правові рамки для їх розв’язання. Важливими є принципи верховенства права, поділу влади, політичної відповідальності та легітимності.</w:t>
      </w:r>
    </w:p>
    <w:p w14:paraId="4AE9E1F2" w14:textId="77777777" w:rsidR="002369E7" w:rsidRPr="002369E7" w:rsidRDefault="002369E7" w:rsidP="002369E7">
      <w:pPr>
        <w:numPr>
          <w:ilvl w:val="0"/>
          <w:numId w:val="2"/>
        </w:numPr>
        <w:spacing w:after="0" w:line="360" w:lineRule="auto"/>
        <w:jc w:val="both"/>
        <w:rPr>
          <w:rFonts w:ascii="Times New Roman" w:eastAsia="Calibri" w:hAnsi="Times New Roman" w:cs="Times New Roman"/>
          <w:sz w:val="28"/>
          <w:szCs w:val="28"/>
          <w:lang w:val="uk-UA"/>
        </w:rPr>
      </w:pPr>
      <w:r w:rsidRPr="002369E7">
        <w:rPr>
          <w:rFonts w:ascii="Times New Roman" w:eastAsia="Calibri" w:hAnsi="Times New Roman" w:cs="Times New Roman"/>
          <w:sz w:val="28"/>
          <w:szCs w:val="28"/>
          <w:lang w:val="uk-UA"/>
        </w:rPr>
        <w:t>Інституційні конфліктні технології демократичних країн (Німеччини, Франції, США, Канади, країн ЄС) демонструють високу ефективність каналізації конфліктів у межах демократичних процедур. До таких технологій належать коаліційне управління, федералізм, парламентський контроль, конституційна юрисдикція та наднаціональне посередництво. Ключовими умовами їх ефективності є розвинена політична культура, дотримання процедур і наявність незалежних арбітражних інституцій.</w:t>
      </w:r>
    </w:p>
    <w:p w14:paraId="098DCFE4" w14:textId="77777777" w:rsidR="002369E7" w:rsidRPr="002369E7" w:rsidRDefault="002369E7" w:rsidP="002369E7">
      <w:pPr>
        <w:numPr>
          <w:ilvl w:val="0"/>
          <w:numId w:val="2"/>
        </w:numPr>
        <w:spacing w:after="0" w:line="360" w:lineRule="auto"/>
        <w:jc w:val="both"/>
        <w:rPr>
          <w:rFonts w:ascii="Times New Roman" w:eastAsia="Calibri" w:hAnsi="Times New Roman" w:cs="Times New Roman"/>
          <w:sz w:val="28"/>
          <w:szCs w:val="28"/>
          <w:lang w:val="uk-UA"/>
        </w:rPr>
      </w:pPr>
      <w:r w:rsidRPr="002369E7">
        <w:rPr>
          <w:rFonts w:ascii="Times New Roman" w:eastAsia="Calibri" w:hAnsi="Times New Roman" w:cs="Times New Roman"/>
          <w:sz w:val="28"/>
          <w:szCs w:val="28"/>
          <w:lang w:val="uk-UA"/>
        </w:rPr>
        <w:t xml:space="preserve">Громадянське суспільство та цифрова дипломатія відіграють зростаючу роль у деескалації політичних конфліктів. Через механізми громадського моніторингу, правозахисну діяльність, антикорупційні ініціативи, </w:t>
      </w:r>
      <w:r w:rsidRPr="002369E7">
        <w:rPr>
          <w:rFonts w:ascii="Times New Roman" w:eastAsia="Calibri" w:hAnsi="Times New Roman" w:cs="Times New Roman"/>
          <w:sz w:val="28"/>
          <w:szCs w:val="28"/>
          <w:lang w:val="uk-UA"/>
        </w:rPr>
        <w:lastRenderedPageBreak/>
        <w:t>онлайн-кампанії та міжнародну цифрову взаємодію формується новий вимір суспільного впливу на політичні процеси. Цифрова дипломатія сприяє прозорості, підвищенню довіри та залученню широких верств населення до врегулювання конфліктів.</w:t>
      </w:r>
    </w:p>
    <w:p w14:paraId="206D228A" w14:textId="77777777" w:rsidR="002369E7" w:rsidRPr="002369E7" w:rsidRDefault="002369E7" w:rsidP="002369E7">
      <w:pPr>
        <w:numPr>
          <w:ilvl w:val="0"/>
          <w:numId w:val="2"/>
        </w:numPr>
        <w:spacing w:after="0" w:line="360" w:lineRule="auto"/>
        <w:jc w:val="both"/>
        <w:rPr>
          <w:rFonts w:ascii="Times New Roman" w:eastAsia="Calibri" w:hAnsi="Times New Roman" w:cs="Times New Roman"/>
          <w:sz w:val="28"/>
          <w:szCs w:val="28"/>
          <w:lang w:val="uk-UA"/>
        </w:rPr>
      </w:pPr>
      <w:r w:rsidRPr="002369E7">
        <w:rPr>
          <w:rFonts w:ascii="Times New Roman" w:eastAsia="Calibri" w:hAnsi="Times New Roman" w:cs="Times New Roman"/>
          <w:sz w:val="28"/>
          <w:szCs w:val="28"/>
          <w:lang w:val="uk-UA"/>
        </w:rPr>
        <w:t>Цифрові платформи мають значний потенціал у мирному врегулюванні конфліктів. Вони забезпечують оперативний обмін інформацією, нейтралізацію фейків, верифікацію фактів, просування мирних ініціатив і створення віртуальних майданчиків для переговорів. Соціальні медіа, аналітичні інструменти та інтернет-комунікація стають важливою складовою сучасних стратегій політичного посередництва та миротворчої діяльності.</w:t>
      </w:r>
    </w:p>
    <w:p w14:paraId="15D2D144" w14:textId="77777777" w:rsidR="002369E7" w:rsidRPr="002369E7" w:rsidRDefault="002369E7" w:rsidP="002369E7">
      <w:pPr>
        <w:spacing w:after="0" w:line="360" w:lineRule="auto"/>
        <w:ind w:firstLine="567"/>
        <w:jc w:val="both"/>
        <w:rPr>
          <w:rFonts w:ascii="Times New Roman" w:eastAsia="Calibri" w:hAnsi="Times New Roman" w:cs="Times New Roman"/>
          <w:sz w:val="28"/>
          <w:szCs w:val="28"/>
          <w:lang w:val="uk-UA"/>
        </w:rPr>
      </w:pPr>
      <w:r w:rsidRPr="002369E7">
        <w:rPr>
          <w:rFonts w:ascii="Times New Roman" w:eastAsia="Calibri" w:hAnsi="Times New Roman" w:cs="Times New Roman"/>
          <w:sz w:val="28"/>
          <w:szCs w:val="28"/>
          <w:lang w:val="uk-UA"/>
        </w:rPr>
        <w:t>Таким чином, дослідження показало, що розв’язання політичних конфліктів у XXI ст. вимагає поєднання традиційних інституційних практик і сучасних інформаційно-комунікаційних інструментів. Ефективна миротворча стратегія має базуватися на правовому порядку, процедурній легітимності, інклюзивності, а також цифровій спроможності держав і міжнародних акторів до конструктивного діалогу та інформаційної взаємодії.</w:t>
      </w:r>
    </w:p>
    <w:p w14:paraId="53B2DBF8" w14:textId="77777777" w:rsidR="002369E7" w:rsidRPr="002369E7" w:rsidRDefault="002369E7" w:rsidP="002369E7">
      <w:pPr>
        <w:spacing w:after="0" w:line="360" w:lineRule="auto"/>
        <w:ind w:firstLine="567"/>
        <w:jc w:val="both"/>
        <w:rPr>
          <w:rFonts w:ascii="Times New Roman" w:eastAsia="Calibri" w:hAnsi="Times New Roman" w:cs="Times New Roman"/>
          <w:sz w:val="28"/>
          <w:szCs w:val="28"/>
          <w:lang w:val="uk-UA"/>
        </w:rPr>
      </w:pPr>
    </w:p>
    <w:p w14:paraId="76430F9B" w14:textId="77777777" w:rsidR="006761DF" w:rsidRDefault="006761DF" w:rsidP="006761DF">
      <w:pPr>
        <w:spacing w:after="0" w:line="360" w:lineRule="auto"/>
        <w:ind w:firstLine="567"/>
        <w:jc w:val="both"/>
        <w:rPr>
          <w:rFonts w:ascii="Times New Roman" w:eastAsia="Calibri" w:hAnsi="Times New Roman" w:cs="Times New Roman"/>
          <w:sz w:val="28"/>
          <w:szCs w:val="28"/>
          <w:lang w:val="uk-UA"/>
        </w:rPr>
      </w:pPr>
    </w:p>
    <w:p w14:paraId="7EA60663" w14:textId="77777777" w:rsidR="002369E7" w:rsidRDefault="002369E7" w:rsidP="006761DF">
      <w:pPr>
        <w:spacing w:after="0" w:line="360" w:lineRule="auto"/>
        <w:ind w:firstLine="567"/>
        <w:jc w:val="both"/>
        <w:rPr>
          <w:rFonts w:ascii="Times New Roman" w:eastAsia="Calibri" w:hAnsi="Times New Roman" w:cs="Times New Roman"/>
          <w:sz w:val="28"/>
          <w:szCs w:val="28"/>
          <w:lang w:val="uk-UA"/>
        </w:rPr>
      </w:pPr>
    </w:p>
    <w:p w14:paraId="0F419F76" w14:textId="77777777" w:rsidR="002369E7" w:rsidRDefault="002369E7" w:rsidP="006761DF">
      <w:pPr>
        <w:spacing w:after="0" w:line="360" w:lineRule="auto"/>
        <w:ind w:firstLine="567"/>
        <w:jc w:val="both"/>
        <w:rPr>
          <w:rFonts w:ascii="Times New Roman" w:eastAsia="Calibri" w:hAnsi="Times New Roman" w:cs="Times New Roman"/>
          <w:sz w:val="28"/>
          <w:szCs w:val="28"/>
          <w:lang w:val="uk-UA"/>
        </w:rPr>
      </w:pPr>
    </w:p>
    <w:p w14:paraId="084D337A" w14:textId="77777777" w:rsidR="002369E7" w:rsidRDefault="002369E7" w:rsidP="006761DF">
      <w:pPr>
        <w:spacing w:after="0" w:line="360" w:lineRule="auto"/>
        <w:ind w:firstLine="567"/>
        <w:jc w:val="both"/>
        <w:rPr>
          <w:rFonts w:ascii="Times New Roman" w:eastAsia="Calibri" w:hAnsi="Times New Roman" w:cs="Times New Roman"/>
          <w:sz w:val="28"/>
          <w:szCs w:val="28"/>
          <w:lang w:val="uk-UA"/>
        </w:rPr>
      </w:pPr>
    </w:p>
    <w:p w14:paraId="1F853730" w14:textId="77777777" w:rsidR="002369E7" w:rsidRDefault="002369E7" w:rsidP="006761DF">
      <w:pPr>
        <w:spacing w:after="0" w:line="360" w:lineRule="auto"/>
        <w:ind w:firstLine="567"/>
        <w:jc w:val="both"/>
        <w:rPr>
          <w:rFonts w:ascii="Times New Roman" w:eastAsia="Calibri" w:hAnsi="Times New Roman" w:cs="Times New Roman"/>
          <w:sz w:val="28"/>
          <w:szCs w:val="28"/>
          <w:lang w:val="uk-UA"/>
        </w:rPr>
      </w:pPr>
    </w:p>
    <w:p w14:paraId="0A6323EE" w14:textId="77777777" w:rsidR="002369E7" w:rsidRDefault="002369E7" w:rsidP="006761DF">
      <w:pPr>
        <w:spacing w:after="0" w:line="360" w:lineRule="auto"/>
        <w:ind w:firstLine="567"/>
        <w:jc w:val="both"/>
        <w:rPr>
          <w:rFonts w:ascii="Times New Roman" w:eastAsia="Calibri" w:hAnsi="Times New Roman" w:cs="Times New Roman"/>
          <w:sz w:val="28"/>
          <w:szCs w:val="28"/>
          <w:lang w:val="uk-UA"/>
        </w:rPr>
      </w:pPr>
    </w:p>
    <w:p w14:paraId="1EF63018" w14:textId="77777777" w:rsidR="002369E7" w:rsidRDefault="002369E7" w:rsidP="006761DF">
      <w:pPr>
        <w:spacing w:after="0" w:line="360" w:lineRule="auto"/>
        <w:ind w:firstLine="567"/>
        <w:jc w:val="both"/>
        <w:rPr>
          <w:rFonts w:ascii="Times New Roman" w:eastAsia="Calibri" w:hAnsi="Times New Roman" w:cs="Times New Roman"/>
          <w:sz w:val="28"/>
          <w:szCs w:val="28"/>
          <w:lang w:val="uk-UA"/>
        </w:rPr>
      </w:pPr>
    </w:p>
    <w:p w14:paraId="3FE34F38" w14:textId="77777777" w:rsidR="002369E7" w:rsidRDefault="002369E7" w:rsidP="006761DF">
      <w:pPr>
        <w:spacing w:after="0" w:line="360" w:lineRule="auto"/>
        <w:ind w:firstLine="567"/>
        <w:jc w:val="both"/>
        <w:rPr>
          <w:rFonts w:ascii="Times New Roman" w:eastAsia="Calibri" w:hAnsi="Times New Roman" w:cs="Times New Roman"/>
          <w:sz w:val="28"/>
          <w:szCs w:val="28"/>
          <w:lang w:val="uk-UA"/>
        </w:rPr>
      </w:pPr>
    </w:p>
    <w:p w14:paraId="04610E89" w14:textId="77777777" w:rsidR="002369E7" w:rsidRDefault="002369E7" w:rsidP="006761DF">
      <w:pPr>
        <w:spacing w:after="0" w:line="360" w:lineRule="auto"/>
        <w:ind w:firstLine="567"/>
        <w:jc w:val="both"/>
        <w:rPr>
          <w:rFonts w:ascii="Times New Roman" w:eastAsia="Calibri" w:hAnsi="Times New Roman" w:cs="Times New Roman"/>
          <w:sz w:val="28"/>
          <w:szCs w:val="28"/>
          <w:lang w:val="uk-UA"/>
        </w:rPr>
      </w:pPr>
    </w:p>
    <w:p w14:paraId="6E3E1203" w14:textId="77777777" w:rsidR="002369E7" w:rsidRDefault="002369E7" w:rsidP="006761DF">
      <w:pPr>
        <w:spacing w:after="0" w:line="360" w:lineRule="auto"/>
        <w:ind w:firstLine="567"/>
        <w:jc w:val="both"/>
        <w:rPr>
          <w:rFonts w:ascii="Times New Roman" w:eastAsia="Calibri" w:hAnsi="Times New Roman" w:cs="Times New Roman"/>
          <w:sz w:val="28"/>
          <w:szCs w:val="28"/>
          <w:lang w:val="uk-UA"/>
        </w:rPr>
      </w:pPr>
    </w:p>
    <w:p w14:paraId="3E3E1621" w14:textId="77777777" w:rsidR="002369E7" w:rsidRDefault="002369E7" w:rsidP="006761DF">
      <w:pPr>
        <w:spacing w:after="0" w:line="360" w:lineRule="auto"/>
        <w:ind w:firstLine="567"/>
        <w:jc w:val="both"/>
        <w:rPr>
          <w:rFonts w:ascii="Times New Roman" w:eastAsia="Calibri" w:hAnsi="Times New Roman" w:cs="Times New Roman"/>
          <w:sz w:val="28"/>
          <w:szCs w:val="28"/>
          <w:lang w:val="uk-UA"/>
        </w:rPr>
      </w:pPr>
    </w:p>
    <w:p w14:paraId="32444CE4" w14:textId="77777777" w:rsidR="002369E7" w:rsidRDefault="002369E7" w:rsidP="006761DF">
      <w:pPr>
        <w:spacing w:after="0" w:line="360" w:lineRule="auto"/>
        <w:ind w:firstLine="567"/>
        <w:jc w:val="both"/>
        <w:rPr>
          <w:rFonts w:ascii="Times New Roman" w:eastAsia="Calibri" w:hAnsi="Times New Roman" w:cs="Times New Roman"/>
          <w:sz w:val="28"/>
          <w:szCs w:val="28"/>
          <w:lang w:val="uk-UA"/>
        </w:rPr>
      </w:pPr>
    </w:p>
    <w:p w14:paraId="6629C2D1" w14:textId="77777777" w:rsidR="00462659" w:rsidRPr="009D4ADA" w:rsidRDefault="00462659" w:rsidP="00462659">
      <w:pPr>
        <w:spacing w:line="259" w:lineRule="auto"/>
        <w:jc w:val="center"/>
        <w:rPr>
          <w:rFonts w:ascii="Times New Roman" w:hAnsi="Times New Roman"/>
          <w:b/>
          <w:sz w:val="28"/>
          <w:szCs w:val="28"/>
          <w:lang w:val="uk-UA"/>
        </w:rPr>
      </w:pPr>
      <w:r w:rsidRPr="009D4ADA">
        <w:rPr>
          <w:rFonts w:ascii="Times New Roman" w:hAnsi="Times New Roman"/>
          <w:b/>
          <w:sz w:val="28"/>
          <w:szCs w:val="28"/>
          <w:lang w:val="uk-UA"/>
        </w:rPr>
        <w:lastRenderedPageBreak/>
        <w:t>СПИСОК ВИКОРИСТАНИХ ДЖЕРЕЛ</w:t>
      </w:r>
    </w:p>
    <w:p w14:paraId="4B28266C" w14:textId="77777777" w:rsidR="00462659" w:rsidRPr="00462659" w:rsidRDefault="00462659" w:rsidP="00462659">
      <w:pPr>
        <w:spacing w:after="0" w:line="360" w:lineRule="auto"/>
        <w:ind w:firstLine="567"/>
        <w:jc w:val="center"/>
        <w:rPr>
          <w:rFonts w:ascii="Times New Roman" w:eastAsia="Calibri" w:hAnsi="Times New Roman" w:cs="Times New Roman"/>
          <w:sz w:val="28"/>
          <w:szCs w:val="28"/>
          <w:lang w:val="uk-UA"/>
        </w:rPr>
      </w:pPr>
    </w:p>
    <w:p w14:paraId="5E56E11D" w14:textId="77777777" w:rsidR="00462659" w:rsidRPr="00462659" w:rsidRDefault="00462659" w:rsidP="00462659">
      <w:pPr>
        <w:numPr>
          <w:ilvl w:val="0"/>
          <w:numId w:val="3"/>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r w:rsidRPr="00462659">
        <w:rPr>
          <w:rFonts w:ascii="Times New Roman" w:eastAsia="Calibri" w:hAnsi="Times New Roman" w:cs="Times New Roman"/>
          <w:sz w:val="28"/>
          <w:szCs w:val="28"/>
          <w:lang w:val="uk-UA"/>
        </w:rPr>
        <w:t xml:space="preserve">Білецька, Ю. (2014). Способи врегулювання національних політичних конфліктів. </w:t>
      </w:r>
      <w:r w:rsidRPr="00462659">
        <w:rPr>
          <w:rFonts w:ascii="Times New Roman" w:eastAsia="Calibri" w:hAnsi="Times New Roman" w:cs="Times New Roman"/>
          <w:i/>
          <w:iCs/>
          <w:sz w:val="28"/>
          <w:szCs w:val="28"/>
          <w:lang w:val="uk-UA"/>
        </w:rPr>
        <w:t>Науковий вісник Одеського національного економічного університету</w:t>
      </w:r>
      <w:r w:rsidRPr="00462659">
        <w:rPr>
          <w:rFonts w:ascii="Times New Roman" w:eastAsia="Calibri" w:hAnsi="Times New Roman" w:cs="Times New Roman"/>
          <w:sz w:val="28"/>
          <w:szCs w:val="28"/>
          <w:lang w:val="uk-UA"/>
        </w:rPr>
        <w:t xml:space="preserve">, (10), 177–188. </w:t>
      </w:r>
      <w:hyperlink r:id="rId7" w:history="1">
        <w:r w:rsidRPr="00462659">
          <w:rPr>
            <w:rFonts w:ascii="Times New Roman" w:eastAsia="Calibri" w:hAnsi="Times New Roman" w:cs="Times New Roman"/>
            <w:color w:val="0563C1" w:themeColor="hyperlink"/>
            <w:sz w:val="28"/>
            <w:szCs w:val="28"/>
            <w:u w:val="single"/>
            <w:lang w:val="uk-UA"/>
          </w:rPr>
          <w:t>http://www.irbis-nbuv.gov.ua/cgi-bin/irbis_nbuv/cgiirbis_64.exe?C21COM=2&amp;I21DBN=UJRN&amp;P21DBN=UJRN&amp;IMAGE_FILE_DOWNLOAD=1&amp;Image_file_name=PDF/Nv_2014_10_18.pdf</w:t>
        </w:r>
      </w:hyperlink>
    </w:p>
    <w:p w14:paraId="4606F43F" w14:textId="77777777" w:rsidR="00462659" w:rsidRPr="00462659" w:rsidRDefault="00462659" w:rsidP="00462659">
      <w:pPr>
        <w:numPr>
          <w:ilvl w:val="0"/>
          <w:numId w:val="3"/>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r w:rsidRPr="00462659">
        <w:rPr>
          <w:rFonts w:ascii="Times New Roman" w:eastAsia="Calibri" w:hAnsi="Times New Roman" w:cs="Times New Roman"/>
          <w:sz w:val="28"/>
          <w:szCs w:val="28"/>
          <w:lang w:val="uk-UA"/>
        </w:rPr>
        <w:t xml:space="preserve">Близнюкова, О. М. Фасилітація як ефективна технологія вирішення проблем. </w:t>
      </w:r>
      <w:r w:rsidRPr="00462659">
        <w:rPr>
          <w:rFonts w:ascii="Times New Roman" w:eastAsia="Calibri" w:hAnsi="Times New Roman" w:cs="Times New Roman"/>
          <w:i/>
          <w:iCs/>
          <w:sz w:val="28"/>
          <w:szCs w:val="28"/>
          <w:lang w:val="ru-RU"/>
        </w:rPr>
        <w:t xml:space="preserve"> </w:t>
      </w:r>
      <w:hyperlink r:id="rId8" w:history="1">
        <w:r w:rsidRPr="00462659">
          <w:rPr>
            <w:rFonts w:ascii="Times New Roman" w:eastAsia="Calibri" w:hAnsi="Times New Roman" w:cs="Times New Roman"/>
            <w:color w:val="0563C1" w:themeColor="hyperlink"/>
            <w:sz w:val="28"/>
            <w:szCs w:val="28"/>
            <w:u w:val="single"/>
            <w:lang w:val="uk-UA"/>
          </w:rPr>
          <w:t>http://dspace.cusu.edu.ua/server/api/core/bitstreams/12805af2-4471-4040-a3a0-e55f9714d664/content</w:t>
        </w:r>
      </w:hyperlink>
    </w:p>
    <w:p w14:paraId="13D4DF25" w14:textId="77777777" w:rsidR="00462659" w:rsidRPr="00462659" w:rsidRDefault="00462659" w:rsidP="00462659">
      <w:pPr>
        <w:numPr>
          <w:ilvl w:val="0"/>
          <w:numId w:val="3"/>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r w:rsidRPr="00462659">
        <w:rPr>
          <w:rFonts w:ascii="Times New Roman" w:eastAsia="Calibri" w:hAnsi="Times New Roman" w:cs="Times New Roman"/>
          <w:sz w:val="28"/>
          <w:szCs w:val="28"/>
          <w:lang w:val="uk-UA"/>
        </w:rPr>
        <w:t xml:space="preserve">Вакуленко, Р. (2016). Огляд та аналіз методів протидії інформаційним впливам супротивника в умовах інформаційної війни. </w:t>
      </w:r>
      <w:hyperlink r:id="rId9" w:history="1">
        <w:r w:rsidRPr="00462659">
          <w:rPr>
            <w:rFonts w:ascii="Times New Roman" w:eastAsia="Calibri" w:hAnsi="Times New Roman" w:cs="Times New Roman"/>
            <w:color w:val="0563C1" w:themeColor="hyperlink"/>
            <w:sz w:val="28"/>
            <w:szCs w:val="28"/>
            <w:u w:val="single"/>
            <w:lang w:val="uk-UA"/>
          </w:rPr>
          <w:t>https://files01.core.ac.uk/download/pdf/84825417.pdf</w:t>
        </w:r>
      </w:hyperlink>
      <w:r w:rsidRPr="00462659">
        <w:rPr>
          <w:rFonts w:ascii="Times New Roman" w:eastAsia="Calibri" w:hAnsi="Times New Roman" w:cs="Times New Roman"/>
          <w:sz w:val="28"/>
          <w:szCs w:val="28"/>
          <w:lang w:val="uk-UA"/>
        </w:rPr>
        <w:t xml:space="preserve">. </w:t>
      </w:r>
    </w:p>
    <w:p w14:paraId="68814224" w14:textId="77777777" w:rsidR="00462659" w:rsidRPr="00462659" w:rsidRDefault="00462659" w:rsidP="00462659">
      <w:pPr>
        <w:numPr>
          <w:ilvl w:val="0"/>
          <w:numId w:val="3"/>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r w:rsidRPr="00462659">
        <w:rPr>
          <w:rFonts w:ascii="Times New Roman" w:eastAsia="Calibri" w:hAnsi="Times New Roman" w:cs="Times New Roman"/>
          <w:sz w:val="28"/>
          <w:szCs w:val="28"/>
          <w:lang w:val="uk-UA"/>
        </w:rPr>
        <w:t xml:space="preserve">Ващенко, К., Корнієнко, В. Політологія для вчителя. </w:t>
      </w:r>
      <w:r w:rsidRPr="00462659">
        <w:rPr>
          <w:rFonts w:ascii="Times New Roman" w:eastAsia="Calibri" w:hAnsi="Times New Roman" w:cs="Times New Roman"/>
          <w:sz w:val="28"/>
          <w:szCs w:val="28"/>
          <w:lang w:val="en-US"/>
        </w:rPr>
        <w:t>URL</w:t>
      </w:r>
      <w:r w:rsidRPr="00462659">
        <w:rPr>
          <w:rFonts w:ascii="Times New Roman" w:eastAsia="Calibri" w:hAnsi="Times New Roman" w:cs="Times New Roman"/>
          <w:sz w:val="28"/>
          <w:szCs w:val="28"/>
          <w:lang w:val="uk-UA"/>
        </w:rPr>
        <w:t xml:space="preserve">: </w:t>
      </w:r>
      <w:hyperlink r:id="rId10" w:history="1">
        <w:r w:rsidRPr="00462659">
          <w:rPr>
            <w:rFonts w:ascii="Times New Roman" w:eastAsia="Calibri" w:hAnsi="Times New Roman" w:cs="Times New Roman"/>
            <w:color w:val="0563C1" w:themeColor="hyperlink"/>
            <w:sz w:val="28"/>
            <w:szCs w:val="28"/>
            <w:u w:val="single"/>
            <w:lang w:val="uk-UA"/>
          </w:rPr>
          <w:t>https://web.posibnyky.vntu.edu.ua/fmib/13vashenko_politologiya_dlya_vchitelya/191..htm</w:t>
        </w:r>
      </w:hyperlink>
      <w:r w:rsidRPr="00462659">
        <w:rPr>
          <w:rFonts w:ascii="Times New Roman" w:eastAsia="Calibri" w:hAnsi="Times New Roman" w:cs="Times New Roman"/>
          <w:sz w:val="28"/>
          <w:szCs w:val="28"/>
          <w:lang w:val="uk-UA"/>
        </w:rPr>
        <w:t xml:space="preserve">. </w:t>
      </w:r>
    </w:p>
    <w:p w14:paraId="41D345A8" w14:textId="77777777" w:rsidR="00462659" w:rsidRPr="00462659" w:rsidRDefault="00462659" w:rsidP="00462659">
      <w:pPr>
        <w:numPr>
          <w:ilvl w:val="0"/>
          <w:numId w:val="3"/>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ru-RU"/>
        </w:rPr>
      </w:pPr>
      <w:r w:rsidRPr="00462659">
        <w:rPr>
          <w:rFonts w:ascii="Times New Roman" w:eastAsia="Calibri" w:hAnsi="Times New Roman" w:cs="Times New Roman"/>
          <w:sz w:val="28"/>
          <w:szCs w:val="28"/>
          <w:lang w:val="uk-UA"/>
        </w:rPr>
        <w:t xml:space="preserve">Виговська, О. (2023). </w:t>
      </w:r>
      <w:r w:rsidRPr="00462659">
        <w:rPr>
          <w:rFonts w:ascii="Times New Roman" w:eastAsia="Calibri" w:hAnsi="Times New Roman" w:cs="Times New Roman"/>
          <w:i/>
          <w:iCs/>
          <w:sz w:val="28"/>
          <w:szCs w:val="28"/>
          <w:lang w:val="uk-UA"/>
        </w:rPr>
        <w:t>Теорія та практика міжнародних переговорів</w:t>
      </w:r>
      <w:r w:rsidRPr="00462659">
        <w:rPr>
          <w:rFonts w:ascii="Times New Roman" w:eastAsia="Calibri" w:hAnsi="Times New Roman" w:cs="Times New Roman"/>
          <w:sz w:val="28"/>
          <w:szCs w:val="28"/>
          <w:lang w:val="uk-UA"/>
        </w:rPr>
        <w:t xml:space="preserve"> (навчально-методичний посібник). Київський університет імені Бориса Грінченка.</w:t>
      </w:r>
      <w:r w:rsidRPr="00462659">
        <w:rPr>
          <w:rFonts w:ascii="Times New Roman" w:eastAsia="Calibri" w:hAnsi="Times New Roman" w:cs="Times New Roman"/>
          <w:sz w:val="28"/>
          <w:szCs w:val="28"/>
          <w:lang w:val="ru-RU"/>
        </w:rPr>
        <w:t xml:space="preserve"> </w:t>
      </w:r>
      <w:hyperlink r:id="rId11" w:history="1">
        <w:r w:rsidRPr="00462659">
          <w:rPr>
            <w:rFonts w:ascii="Times New Roman" w:eastAsia="Calibri" w:hAnsi="Times New Roman" w:cs="Times New Roman"/>
            <w:color w:val="0563C1" w:themeColor="hyperlink"/>
            <w:sz w:val="28"/>
            <w:szCs w:val="28"/>
            <w:u w:val="single"/>
            <w:lang w:val="en-US"/>
          </w:rPr>
          <w:t>https</w:t>
        </w:r>
        <w:r w:rsidRPr="00462659">
          <w:rPr>
            <w:rFonts w:ascii="Times New Roman" w:eastAsia="Calibri" w:hAnsi="Times New Roman" w:cs="Times New Roman"/>
            <w:color w:val="0563C1" w:themeColor="hyperlink"/>
            <w:sz w:val="28"/>
            <w:szCs w:val="28"/>
            <w:u w:val="single"/>
            <w:lang w:val="ru-RU"/>
          </w:rPr>
          <w:t>://</w:t>
        </w:r>
        <w:r w:rsidRPr="00462659">
          <w:rPr>
            <w:rFonts w:ascii="Times New Roman" w:eastAsia="Calibri" w:hAnsi="Times New Roman" w:cs="Times New Roman"/>
            <w:color w:val="0563C1" w:themeColor="hyperlink"/>
            <w:sz w:val="28"/>
            <w:szCs w:val="28"/>
            <w:u w:val="single"/>
            <w:lang w:val="en-US"/>
          </w:rPr>
          <w:t>elibrary</w:t>
        </w:r>
        <w:r w:rsidRPr="00462659">
          <w:rPr>
            <w:rFonts w:ascii="Times New Roman" w:eastAsia="Calibri" w:hAnsi="Times New Roman" w:cs="Times New Roman"/>
            <w:color w:val="0563C1" w:themeColor="hyperlink"/>
            <w:sz w:val="28"/>
            <w:szCs w:val="28"/>
            <w:u w:val="single"/>
            <w:lang w:val="ru-RU"/>
          </w:rPr>
          <w:t>.</w:t>
        </w:r>
        <w:r w:rsidRPr="00462659">
          <w:rPr>
            <w:rFonts w:ascii="Times New Roman" w:eastAsia="Calibri" w:hAnsi="Times New Roman" w:cs="Times New Roman"/>
            <w:color w:val="0563C1" w:themeColor="hyperlink"/>
            <w:sz w:val="28"/>
            <w:szCs w:val="28"/>
            <w:u w:val="single"/>
            <w:lang w:val="en-US"/>
          </w:rPr>
          <w:t>kubg</w:t>
        </w:r>
        <w:r w:rsidRPr="00462659">
          <w:rPr>
            <w:rFonts w:ascii="Times New Roman" w:eastAsia="Calibri" w:hAnsi="Times New Roman" w:cs="Times New Roman"/>
            <w:color w:val="0563C1" w:themeColor="hyperlink"/>
            <w:sz w:val="28"/>
            <w:szCs w:val="28"/>
            <w:u w:val="single"/>
            <w:lang w:val="ru-RU"/>
          </w:rPr>
          <w:t>.</w:t>
        </w:r>
        <w:r w:rsidRPr="00462659">
          <w:rPr>
            <w:rFonts w:ascii="Times New Roman" w:eastAsia="Calibri" w:hAnsi="Times New Roman" w:cs="Times New Roman"/>
            <w:color w:val="0563C1" w:themeColor="hyperlink"/>
            <w:sz w:val="28"/>
            <w:szCs w:val="28"/>
            <w:u w:val="single"/>
            <w:lang w:val="en-US"/>
          </w:rPr>
          <w:t>edu</w:t>
        </w:r>
        <w:r w:rsidRPr="00462659">
          <w:rPr>
            <w:rFonts w:ascii="Times New Roman" w:eastAsia="Calibri" w:hAnsi="Times New Roman" w:cs="Times New Roman"/>
            <w:color w:val="0563C1" w:themeColor="hyperlink"/>
            <w:sz w:val="28"/>
            <w:szCs w:val="28"/>
            <w:u w:val="single"/>
            <w:lang w:val="ru-RU"/>
          </w:rPr>
          <w:t>.</w:t>
        </w:r>
        <w:r w:rsidRPr="00462659">
          <w:rPr>
            <w:rFonts w:ascii="Times New Roman" w:eastAsia="Calibri" w:hAnsi="Times New Roman" w:cs="Times New Roman"/>
            <w:color w:val="0563C1" w:themeColor="hyperlink"/>
            <w:sz w:val="28"/>
            <w:szCs w:val="28"/>
            <w:u w:val="single"/>
            <w:lang w:val="en-US"/>
          </w:rPr>
          <w:t>ua</w:t>
        </w:r>
        <w:r w:rsidRPr="00462659">
          <w:rPr>
            <w:rFonts w:ascii="Times New Roman" w:eastAsia="Calibri" w:hAnsi="Times New Roman" w:cs="Times New Roman"/>
            <w:color w:val="0563C1" w:themeColor="hyperlink"/>
            <w:sz w:val="28"/>
            <w:szCs w:val="28"/>
            <w:u w:val="single"/>
            <w:lang w:val="ru-RU"/>
          </w:rPr>
          <w:t>/</w:t>
        </w:r>
        <w:r w:rsidRPr="00462659">
          <w:rPr>
            <w:rFonts w:ascii="Times New Roman" w:eastAsia="Calibri" w:hAnsi="Times New Roman" w:cs="Times New Roman"/>
            <w:color w:val="0563C1" w:themeColor="hyperlink"/>
            <w:sz w:val="28"/>
            <w:szCs w:val="28"/>
            <w:u w:val="single"/>
            <w:lang w:val="en-US"/>
          </w:rPr>
          <w:t>id</w:t>
        </w:r>
        <w:r w:rsidRPr="00462659">
          <w:rPr>
            <w:rFonts w:ascii="Times New Roman" w:eastAsia="Calibri" w:hAnsi="Times New Roman" w:cs="Times New Roman"/>
            <w:color w:val="0563C1" w:themeColor="hyperlink"/>
            <w:sz w:val="28"/>
            <w:szCs w:val="28"/>
            <w:u w:val="single"/>
            <w:lang w:val="ru-RU"/>
          </w:rPr>
          <w:t>/</w:t>
        </w:r>
        <w:r w:rsidRPr="00462659">
          <w:rPr>
            <w:rFonts w:ascii="Times New Roman" w:eastAsia="Calibri" w:hAnsi="Times New Roman" w:cs="Times New Roman"/>
            <w:color w:val="0563C1" w:themeColor="hyperlink"/>
            <w:sz w:val="28"/>
            <w:szCs w:val="28"/>
            <w:u w:val="single"/>
            <w:lang w:val="en-US"/>
          </w:rPr>
          <w:t>eprint</w:t>
        </w:r>
        <w:r w:rsidRPr="00462659">
          <w:rPr>
            <w:rFonts w:ascii="Times New Roman" w:eastAsia="Calibri" w:hAnsi="Times New Roman" w:cs="Times New Roman"/>
            <w:color w:val="0563C1" w:themeColor="hyperlink"/>
            <w:sz w:val="28"/>
            <w:szCs w:val="28"/>
            <w:u w:val="single"/>
            <w:lang w:val="ru-RU"/>
          </w:rPr>
          <w:t>/46578/1/</w:t>
        </w:r>
        <w:r w:rsidRPr="00462659">
          <w:rPr>
            <w:rFonts w:ascii="Times New Roman" w:eastAsia="Calibri" w:hAnsi="Times New Roman" w:cs="Times New Roman"/>
            <w:color w:val="0563C1" w:themeColor="hyperlink"/>
            <w:sz w:val="28"/>
            <w:szCs w:val="28"/>
            <w:u w:val="single"/>
            <w:lang w:val="en-US"/>
          </w:rPr>
          <w:t>O</w:t>
        </w:r>
        <w:r w:rsidRPr="00462659">
          <w:rPr>
            <w:rFonts w:ascii="Times New Roman" w:eastAsia="Calibri" w:hAnsi="Times New Roman" w:cs="Times New Roman"/>
            <w:color w:val="0563C1" w:themeColor="hyperlink"/>
            <w:sz w:val="28"/>
            <w:szCs w:val="28"/>
            <w:u w:val="single"/>
            <w:lang w:val="ru-RU"/>
          </w:rPr>
          <w:t>_</w:t>
        </w:r>
        <w:r w:rsidRPr="00462659">
          <w:rPr>
            <w:rFonts w:ascii="Times New Roman" w:eastAsia="Calibri" w:hAnsi="Times New Roman" w:cs="Times New Roman"/>
            <w:color w:val="0563C1" w:themeColor="hyperlink"/>
            <w:sz w:val="28"/>
            <w:szCs w:val="28"/>
            <w:u w:val="single"/>
            <w:lang w:val="en-US"/>
          </w:rPr>
          <w:t>Vyhovska</w:t>
        </w:r>
        <w:r w:rsidRPr="00462659">
          <w:rPr>
            <w:rFonts w:ascii="Times New Roman" w:eastAsia="Calibri" w:hAnsi="Times New Roman" w:cs="Times New Roman"/>
            <w:color w:val="0563C1" w:themeColor="hyperlink"/>
            <w:sz w:val="28"/>
            <w:szCs w:val="28"/>
            <w:u w:val="single"/>
            <w:lang w:val="ru-RU"/>
          </w:rPr>
          <w:t>_</w:t>
        </w:r>
        <w:r w:rsidRPr="00462659">
          <w:rPr>
            <w:rFonts w:ascii="Times New Roman" w:eastAsia="Calibri" w:hAnsi="Times New Roman" w:cs="Times New Roman"/>
            <w:color w:val="0563C1" w:themeColor="hyperlink"/>
            <w:sz w:val="28"/>
            <w:szCs w:val="28"/>
            <w:u w:val="single"/>
            <w:lang w:val="en-US"/>
          </w:rPr>
          <w:t>TPMP</w:t>
        </w:r>
        <w:r w:rsidRPr="00462659">
          <w:rPr>
            <w:rFonts w:ascii="Times New Roman" w:eastAsia="Calibri" w:hAnsi="Times New Roman" w:cs="Times New Roman"/>
            <w:color w:val="0563C1" w:themeColor="hyperlink"/>
            <w:sz w:val="28"/>
            <w:szCs w:val="28"/>
            <w:u w:val="single"/>
            <w:lang w:val="ru-RU"/>
          </w:rPr>
          <w:t>.</w:t>
        </w:r>
        <w:r w:rsidRPr="00462659">
          <w:rPr>
            <w:rFonts w:ascii="Times New Roman" w:eastAsia="Calibri" w:hAnsi="Times New Roman" w:cs="Times New Roman"/>
            <w:color w:val="0563C1" w:themeColor="hyperlink"/>
            <w:sz w:val="28"/>
            <w:szCs w:val="28"/>
            <w:u w:val="single"/>
            <w:lang w:val="en-US"/>
          </w:rPr>
          <w:t>pdf</w:t>
        </w:r>
        <w:r w:rsidRPr="00462659">
          <w:rPr>
            <w:rFonts w:ascii="Times New Roman" w:eastAsia="Calibri" w:hAnsi="Times New Roman" w:cs="Times New Roman"/>
            <w:color w:val="0563C1" w:themeColor="hyperlink"/>
            <w:sz w:val="28"/>
            <w:szCs w:val="28"/>
            <w:u w:val="single"/>
            <w:lang w:val="ru-RU"/>
          </w:rPr>
          <w:t>/</w:t>
        </w:r>
      </w:hyperlink>
      <w:r w:rsidRPr="00462659">
        <w:rPr>
          <w:rFonts w:ascii="Times New Roman" w:eastAsia="Calibri" w:hAnsi="Times New Roman" w:cs="Times New Roman"/>
          <w:sz w:val="28"/>
          <w:szCs w:val="28"/>
          <w:lang w:val="ru-RU"/>
        </w:rPr>
        <w:t xml:space="preserve"> </w:t>
      </w:r>
    </w:p>
    <w:p w14:paraId="61240B0E" w14:textId="77777777" w:rsidR="00462659" w:rsidRPr="00462659" w:rsidRDefault="00462659" w:rsidP="00462659">
      <w:pPr>
        <w:numPr>
          <w:ilvl w:val="0"/>
          <w:numId w:val="3"/>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r w:rsidRPr="00462659">
        <w:rPr>
          <w:rFonts w:ascii="Times New Roman" w:eastAsia="Calibri" w:hAnsi="Times New Roman" w:cs="Times New Roman"/>
          <w:sz w:val="28"/>
          <w:szCs w:val="28"/>
          <w:lang w:val="uk-UA"/>
        </w:rPr>
        <w:t xml:space="preserve">Доброва, М. П. (2011). Проблема політичного переговорів в наукових дослідженнях ХХ ст. </w:t>
      </w:r>
      <w:r w:rsidRPr="00462659">
        <w:rPr>
          <w:rFonts w:ascii="Times New Roman" w:eastAsia="Calibri" w:hAnsi="Times New Roman" w:cs="Times New Roman"/>
          <w:i/>
          <w:iCs/>
          <w:sz w:val="28"/>
          <w:szCs w:val="28"/>
          <w:lang w:val="uk-UA"/>
        </w:rPr>
        <w:t>Актуальні проблеми політики</w:t>
      </w:r>
      <w:r w:rsidRPr="00462659">
        <w:rPr>
          <w:rFonts w:ascii="Times New Roman" w:eastAsia="Calibri" w:hAnsi="Times New Roman" w:cs="Times New Roman"/>
          <w:sz w:val="28"/>
          <w:szCs w:val="28"/>
          <w:lang w:val="uk-UA"/>
        </w:rPr>
        <w:t xml:space="preserve">, </w:t>
      </w:r>
      <w:r w:rsidRPr="00462659">
        <w:rPr>
          <w:rFonts w:ascii="Times New Roman" w:eastAsia="Calibri" w:hAnsi="Times New Roman" w:cs="Times New Roman"/>
          <w:i/>
          <w:iCs/>
          <w:sz w:val="28"/>
          <w:szCs w:val="28"/>
          <w:lang w:val="uk-UA"/>
        </w:rPr>
        <w:t>41</w:t>
      </w:r>
      <w:r w:rsidRPr="00462659">
        <w:rPr>
          <w:rFonts w:ascii="Times New Roman" w:eastAsia="Calibri" w:hAnsi="Times New Roman" w:cs="Times New Roman"/>
          <w:sz w:val="28"/>
          <w:szCs w:val="28"/>
          <w:lang w:val="uk-UA"/>
        </w:rPr>
        <w:t>, 87–96.</w:t>
      </w:r>
      <w:r w:rsidRPr="00462659">
        <w:rPr>
          <w:rFonts w:ascii="Times New Roman" w:eastAsia="Calibri" w:hAnsi="Times New Roman" w:cs="Times New Roman"/>
          <w:sz w:val="28"/>
          <w:szCs w:val="28"/>
          <w:lang w:val="en-US"/>
        </w:rPr>
        <w:t xml:space="preserve"> </w:t>
      </w:r>
    </w:p>
    <w:p w14:paraId="3EC90DCC" w14:textId="77777777" w:rsidR="00462659" w:rsidRPr="00462659" w:rsidRDefault="00462659" w:rsidP="00462659">
      <w:pPr>
        <w:numPr>
          <w:ilvl w:val="0"/>
          <w:numId w:val="3"/>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r w:rsidRPr="00462659">
        <w:rPr>
          <w:rFonts w:ascii="Times New Roman" w:eastAsia="Calibri" w:hAnsi="Times New Roman" w:cs="Times New Roman"/>
          <w:sz w:val="28"/>
          <w:szCs w:val="28"/>
          <w:lang w:val="uk-UA"/>
        </w:rPr>
        <w:t xml:space="preserve">Жекало, Г. (2015). Природа та сутність політичного конфлікту. </w:t>
      </w:r>
      <w:r w:rsidRPr="00462659">
        <w:rPr>
          <w:rFonts w:ascii="Times New Roman" w:eastAsia="Calibri" w:hAnsi="Times New Roman" w:cs="Times New Roman"/>
          <w:i/>
          <w:iCs/>
          <w:sz w:val="28"/>
          <w:szCs w:val="28"/>
          <w:lang w:val="uk-UA"/>
        </w:rPr>
        <w:t xml:space="preserve">Грані. </w:t>
      </w:r>
      <w:r w:rsidRPr="00462659">
        <w:rPr>
          <w:rFonts w:ascii="Times New Roman" w:eastAsia="Calibri" w:hAnsi="Times New Roman" w:cs="Times New Roman"/>
          <w:sz w:val="28"/>
          <w:szCs w:val="28"/>
          <w:lang w:val="uk-UA"/>
        </w:rPr>
        <w:t xml:space="preserve">№ 3. </w:t>
      </w:r>
      <w:r w:rsidRPr="00462659">
        <w:rPr>
          <w:rFonts w:ascii="Times New Roman" w:eastAsia="Calibri" w:hAnsi="Times New Roman" w:cs="Times New Roman"/>
          <w:sz w:val="28"/>
          <w:szCs w:val="28"/>
          <w:lang w:val="en-US"/>
        </w:rPr>
        <w:t>URL</w:t>
      </w:r>
      <w:r w:rsidRPr="00462659">
        <w:rPr>
          <w:rFonts w:ascii="Times New Roman" w:eastAsia="Calibri" w:hAnsi="Times New Roman" w:cs="Times New Roman"/>
          <w:sz w:val="28"/>
          <w:szCs w:val="28"/>
          <w:lang w:val="uk-UA"/>
        </w:rPr>
        <w:t xml:space="preserve">:  </w:t>
      </w:r>
      <w:hyperlink r:id="rId12" w:history="1">
        <w:r w:rsidRPr="00462659">
          <w:rPr>
            <w:rFonts w:ascii="Times New Roman" w:eastAsia="Calibri" w:hAnsi="Times New Roman" w:cs="Times New Roman"/>
            <w:color w:val="0563C1" w:themeColor="hyperlink"/>
            <w:sz w:val="28"/>
            <w:szCs w:val="28"/>
            <w:u w:val="single"/>
            <w:lang w:val="uk-UA"/>
          </w:rPr>
          <w:t>https://share.google/mgyLIKOzVSLTze0Xz</w:t>
        </w:r>
      </w:hyperlink>
      <w:r w:rsidRPr="00462659">
        <w:rPr>
          <w:rFonts w:ascii="Times New Roman" w:eastAsia="Calibri" w:hAnsi="Times New Roman" w:cs="Times New Roman"/>
          <w:sz w:val="28"/>
          <w:szCs w:val="28"/>
          <w:lang w:val="uk-UA"/>
        </w:rPr>
        <w:t xml:space="preserve">. </w:t>
      </w:r>
    </w:p>
    <w:p w14:paraId="422332A9" w14:textId="77777777" w:rsidR="00462659" w:rsidRPr="00462659" w:rsidRDefault="00462659" w:rsidP="00462659">
      <w:pPr>
        <w:numPr>
          <w:ilvl w:val="0"/>
          <w:numId w:val="3"/>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r w:rsidRPr="00462659">
        <w:rPr>
          <w:rFonts w:ascii="Times New Roman" w:eastAsia="Calibri" w:hAnsi="Times New Roman" w:cs="Times New Roman"/>
          <w:sz w:val="28"/>
          <w:szCs w:val="28"/>
          <w:lang w:val="uk-UA"/>
        </w:rPr>
        <w:t xml:space="preserve">Завгородня, Ю. В. (2016). Політичний конфлікт та політична криза: теоретичний аналіз. </w:t>
      </w:r>
      <w:r w:rsidRPr="00462659">
        <w:rPr>
          <w:rFonts w:ascii="Times New Roman" w:eastAsia="Calibri" w:hAnsi="Times New Roman" w:cs="Times New Roman"/>
          <w:i/>
          <w:iCs/>
          <w:sz w:val="28"/>
          <w:szCs w:val="28"/>
          <w:lang w:val="uk-UA"/>
        </w:rPr>
        <w:t>Актуальні проблеми політики</w:t>
      </w:r>
      <w:r w:rsidRPr="00462659">
        <w:rPr>
          <w:rFonts w:ascii="Times New Roman" w:eastAsia="Calibri" w:hAnsi="Times New Roman" w:cs="Times New Roman"/>
          <w:sz w:val="28"/>
          <w:szCs w:val="28"/>
          <w:lang w:val="uk-UA"/>
        </w:rPr>
        <w:t xml:space="preserve">, </w:t>
      </w:r>
      <w:r w:rsidRPr="00462659">
        <w:rPr>
          <w:rFonts w:ascii="Times New Roman" w:eastAsia="Calibri" w:hAnsi="Times New Roman" w:cs="Times New Roman"/>
          <w:i/>
          <w:iCs/>
          <w:sz w:val="28"/>
          <w:szCs w:val="28"/>
          <w:lang w:val="uk-UA"/>
        </w:rPr>
        <w:t>57</w:t>
      </w:r>
      <w:r w:rsidRPr="00462659">
        <w:rPr>
          <w:rFonts w:ascii="Times New Roman" w:eastAsia="Calibri" w:hAnsi="Times New Roman" w:cs="Times New Roman"/>
          <w:sz w:val="28"/>
          <w:szCs w:val="28"/>
          <w:lang w:val="uk-UA"/>
        </w:rPr>
        <w:t xml:space="preserve">, 31–37. </w:t>
      </w:r>
      <w:r w:rsidRPr="00462659">
        <w:rPr>
          <w:rFonts w:ascii="Times New Roman" w:eastAsia="Calibri" w:hAnsi="Times New Roman" w:cs="Times New Roman"/>
          <w:sz w:val="28"/>
          <w:szCs w:val="28"/>
          <w:lang w:val="en-US"/>
        </w:rPr>
        <w:t>URL</w:t>
      </w:r>
      <w:r w:rsidRPr="00462659">
        <w:rPr>
          <w:rFonts w:ascii="Times New Roman" w:eastAsia="Calibri" w:hAnsi="Times New Roman" w:cs="Times New Roman"/>
          <w:sz w:val="28"/>
          <w:szCs w:val="28"/>
          <w:lang w:val="uk-UA"/>
        </w:rPr>
        <w:t xml:space="preserve">: </w:t>
      </w:r>
      <w:hyperlink r:id="rId13" w:history="1">
        <w:r w:rsidRPr="00462659">
          <w:rPr>
            <w:rFonts w:ascii="Times New Roman" w:eastAsia="Calibri" w:hAnsi="Times New Roman" w:cs="Times New Roman"/>
            <w:color w:val="0563C1" w:themeColor="hyperlink"/>
            <w:sz w:val="28"/>
            <w:szCs w:val="28"/>
            <w:u w:val="single"/>
            <w:lang w:val="uk-UA"/>
          </w:rPr>
          <w:t>http://app.nuoua.od.ua/archive/57_2016/7.pdf</w:t>
        </w:r>
      </w:hyperlink>
      <w:r w:rsidRPr="00462659">
        <w:rPr>
          <w:rFonts w:ascii="Times New Roman" w:eastAsia="Calibri" w:hAnsi="Times New Roman" w:cs="Times New Roman"/>
          <w:sz w:val="28"/>
          <w:szCs w:val="28"/>
          <w:lang w:val="uk-UA"/>
        </w:rPr>
        <w:t>.</w:t>
      </w:r>
    </w:p>
    <w:p w14:paraId="5B5B5848" w14:textId="77777777" w:rsidR="00462659" w:rsidRPr="00462659" w:rsidRDefault="00462659" w:rsidP="00462659">
      <w:pPr>
        <w:numPr>
          <w:ilvl w:val="0"/>
          <w:numId w:val="3"/>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r w:rsidRPr="00462659">
        <w:rPr>
          <w:rFonts w:ascii="Times New Roman" w:eastAsia="Calibri" w:hAnsi="Times New Roman" w:cs="Times New Roman"/>
          <w:sz w:val="28"/>
          <w:szCs w:val="28"/>
          <w:lang w:val="uk-UA"/>
        </w:rPr>
        <w:t xml:space="preserve">Ільницька, У. ЦИФРОВІ ТЕХНОЛОГІЇ ДИПЛОМАТІЇ І МІЖНАРОДНОЇ ДІЯЛЬНОСТІ УКРАЇНИ У ГЛОБАЛЬНОМУ ІНФОРМАЦІЙНО-КОМУНІКАТИВНОМУ ПРОСТОРІ: ОСОБЛИВОСТІ ТА ТРАНСФОРМАЦІЯ. </w:t>
      </w:r>
      <w:hyperlink r:id="rId14" w:history="1">
        <w:r w:rsidRPr="00462659">
          <w:rPr>
            <w:rFonts w:ascii="Times New Roman" w:eastAsia="Calibri" w:hAnsi="Times New Roman" w:cs="Times New Roman"/>
            <w:color w:val="0563C1" w:themeColor="hyperlink"/>
            <w:sz w:val="28"/>
            <w:szCs w:val="28"/>
            <w:u w:val="single"/>
            <w:lang w:val="uk-UA"/>
          </w:rPr>
          <w:t>https://doi.org/10.30525/978-9934-26-448-1-28</w:t>
        </w:r>
      </w:hyperlink>
      <w:r w:rsidRPr="00462659">
        <w:rPr>
          <w:rFonts w:ascii="Times New Roman" w:eastAsia="Calibri" w:hAnsi="Times New Roman" w:cs="Times New Roman"/>
          <w:sz w:val="28"/>
          <w:szCs w:val="28"/>
          <w:lang w:val="uk-UA"/>
        </w:rPr>
        <w:t xml:space="preserve">  </w:t>
      </w:r>
    </w:p>
    <w:p w14:paraId="5A56A8A8" w14:textId="77777777" w:rsidR="00462659" w:rsidRPr="00462659" w:rsidRDefault="00462659" w:rsidP="00462659">
      <w:pPr>
        <w:numPr>
          <w:ilvl w:val="0"/>
          <w:numId w:val="3"/>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ru-RU"/>
        </w:rPr>
      </w:pPr>
      <w:r w:rsidRPr="00462659">
        <w:rPr>
          <w:rFonts w:ascii="Times New Roman" w:eastAsia="Calibri" w:hAnsi="Times New Roman" w:cs="Times New Roman"/>
          <w:sz w:val="28"/>
          <w:szCs w:val="28"/>
          <w:lang w:val="uk-UA"/>
        </w:rPr>
        <w:lastRenderedPageBreak/>
        <w:t xml:space="preserve">Кирилюк, Ф. М., Обушний, М. І., Хилько, М. І., та ін. (2004). </w:t>
      </w:r>
      <w:r w:rsidRPr="00462659">
        <w:rPr>
          <w:rFonts w:ascii="Times New Roman" w:eastAsia="Calibri" w:hAnsi="Times New Roman" w:cs="Times New Roman"/>
          <w:i/>
          <w:iCs/>
          <w:sz w:val="28"/>
          <w:szCs w:val="28"/>
          <w:lang w:val="uk-UA"/>
        </w:rPr>
        <w:t>Політологія</w:t>
      </w:r>
      <w:r w:rsidRPr="00462659">
        <w:rPr>
          <w:rFonts w:ascii="Times New Roman" w:eastAsia="Calibri" w:hAnsi="Times New Roman" w:cs="Times New Roman"/>
          <w:sz w:val="28"/>
          <w:szCs w:val="28"/>
          <w:lang w:val="uk-UA"/>
        </w:rPr>
        <w:t xml:space="preserve"> (Ф. М. Кирилюк, ред.). Здоров’я.</w:t>
      </w:r>
      <w:r w:rsidRPr="00462659">
        <w:rPr>
          <w:rFonts w:ascii="Times New Roman" w:eastAsia="Calibri" w:hAnsi="Times New Roman" w:cs="Times New Roman"/>
          <w:sz w:val="28"/>
          <w:szCs w:val="28"/>
          <w:lang w:val="ru-RU"/>
        </w:rPr>
        <w:t xml:space="preserve"> </w:t>
      </w:r>
      <w:r w:rsidRPr="00462659">
        <w:rPr>
          <w:rFonts w:ascii="Times New Roman" w:eastAsia="Calibri" w:hAnsi="Times New Roman" w:cs="Times New Roman"/>
          <w:sz w:val="28"/>
          <w:szCs w:val="28"/>
          <w:lang w:val="en-US"/>
        </w:rPr>
        <w:t>URL</w:t>
      </w:r>
      <w:r w:rsidRPr="00462659">
        <w:rPr>
          <w:rFonts w:ascii="Times New Roman" w:eastAsia="Calibri" w:hAnsi="Times New Roman" w:cs="Times New Roman"/>
          <w:sz w:val="28"/>
          <w:szCs w:val="28"/>
          <w:lang w:val="uk-UA"/>
        </w:rPr>
        <w:t>:</w:t>
      </w:r>
      <w:r w:rsidRPr="00462659">
        <w:rPr>
          <w:rFonts w:ascii="Times New Roman" w:eastAsia="Calibri" w:hAnsi="Times New Roman" w:cs="Times New Roman"/>
          <w:sz w:val="28"/>
          <w:szCs w:val="28"/>
          <w:lang w:val="ru-RU"/>
        </w:rPr>
        <w:t xml:space="preserve"> </w:t>
      </w:r>
      <w:hyperlink r:id="rId15" w:history="1">
        <w:r w:rsidRPr="00462659">
          <w:rPr>
            <w:rFonts w:ascii="Times New Roman" w:eastAsia="Calibri" w:hAnsi="Times New Roman" w:cs="Times New Roman"/>
            <w:color w:val="0563C1" w:themeColor="hyperlink"/>
            <w:sz w:val="28"/>
            <w:szCs w:val="28"/>
            <w:u w:val="single"/>
            <w:lang w:val="en-US"/>
          </w:rPr>
          <w:t>https</w:t>
        </w:r>
        <w:r w:rsidRPr="00462659">
          <w:rPr>
            <w:rFonts w:ascii="Times New Roman" w:eastAsia="Calibri" w:hAnsi="Times New Roman" w:cs="Times New Roman"/>
            <w:color w:val="0563C1" w:themeColor="hyperlink"/>
            <w:sz w:val="28"/>
            <w:szCs w:val="28"/>
            <w:u w:val="single"/>
            <w:lang w:val="ru-RU"/>
          </w:rPr>
          <w:t>://</w:t>
        </w:r>
        <w:r w:rsidRPr="00462659">
          <w:rPr>
            <w:rFonts w:ascii="Times New Roman" w:eastAsia="Calibri" w:hAnsi="Times New Roman" w:cs="Times New Roman"/>
            <w:color w:val="0563C1" w:themeColor="hyperlink"/>
            <w:sz w:val="28"/>
            <w:szCs w:val="28"/>
            <w:u w:val="single"/>
            <w:lang w:val="en-US"/>
          </w:rPr>
          <w:t>www</w:t>
        </w:r>
        <w:r w:rsidRPr="00462659">
          <w:rPr>
            <w:rFonts w:ascii="Times New Roman" w:eastAsia="Calibri" w:hAnsi="Times New Roman" w:cs="Times New Roman"/>
            <w:color w:val="0563C1" w:themeColor="hyperlink"/>
            <w:sz w:val="28"/>
            <w:szCs w:val="28"/>
            <w:u w:val="single"/>
            <w:lang w:val="ru-RU"/>
          </w:rPr>
          <w:t>.</w:t>
        </w:r>
        <w:r w:rsidRPr="00462659">
          <w:rPr>
            <w:rFonts w:ascii="Times New Roman" w:eastAsia="Calibri" w:hAnsi="Times New Roman" w:cs="Times New Roman"/>
            <w:color w:val="0563C1" w:themeColor="hyperlink"/>
            <w:sz w:val="28"/>
            <w:szCs w:val="28"/>
            <w:u w:val="single"/>
            <w:lang w:val="en-US"/>
          </w:rPr>
          <w:t>info</w:t>
        </w:r>
        <w:r w:rsidRPr="00462659">
          <w:rPr>
            <w:rFonts w:ascii="Times New Roman" w:eastAsia="Calibri" w:hAnsi="Times New Roman" w:cs="Times New Roman"/>
            <w:color w:val="0563C1" w:themeColor="hyperlink"/>
            <w:sz w:val="28"/>
            <w:szCs w:val="28"/>
            <w:u w:val="single"/>
            <w:lang w:val="ru-RU"/>
          </w:rPr>
          <w:t>-</w:t>
        </w:r>
        <w:r w:rsidRPr="00462659">
          <w:rPr>
            <w:rFonts w:ascii="Times New Roman" w:eastAsia="Calibri" w:hAnsi="Times New Roman" w:cs="Times New Roman"/>
            <w:color w:val="0563C1" w:themeColor="hyperlink"/>
            <w:sz w:val="28"/>
            <w:szCs w:val="28"/>
            <w:u w:val="single"/>
            <w:lang w:val="en-US"/>
          </w:rPr>
          <w:t>library</w:t>
        </w:r>
        <w:r w:rsidRPr="00462659">
          <w:rPr>
            <w:rFonts w:ascii="Times New Roman" w:eastAsia="Calibri" w:hAnsi="Times New Roman" w:cs="Times New Roman"/>
            <w:color w:val="0563C1" w:themeColor="hyperlink"/>
            <w:sz w:val="28"/>
            <w:szCs w:val="28"/>
            <w:u w:val="single"/>
            <w:lang w:val="ru-RU"/>
          </w:rPr>
          <w:t>.</w:t>
        </w:r>
        <w:r w:rsidRPr="00462659">
          <w:rPr>
            <w:rFonts w:ascii="Times New Roman" w:eastAsia="Calibri" w:hAnsi="Times New Roman" w:cs="Times New Roman"/>
            <w:color w:val="0563C1" w:themeColor="hyperlink"/>
            <w:sz w:val="28"/>
            <w:szCs w:val="28"/>
            <w:u w:val="single"/>
            <w:lang w:val="en-US"/>
          </w:rPr>
          <w:t>com</w:t>
        </w:r>
        <w:r w:rsidRPr="00462659">
          <w:rPr>
            <w:rFonts w:ascii="Times New Roman" w:eastAsia="Calibri" w:hAnsi="Times New Roman" w:cs="Times New Roman"/>
            <w:color w:val="0563C1" w:themeColor="hyperlink"/>
            <w:sz w:val="28"/>
            <w:szCs w:val="28"/>
            <w:u w:val="single"/>
            <w:lang w:val="ru-RU"/>
          </w:rPr>
          <w:t>.</w:t>
        </w:r>
        <w:r w:rsidRPr="00462659">
          <w:rPr>
            <w:rFonts w:ascii="Times New Roman" w:eastAsia="Calibri" w:hAnsi="Times New Roman" w:cs="Times New Roman"/>
            <w:color w:val="0563C1" w:themeColor="hyperlink"/>
            <w:sz w:val="28"/>
            <w:szCs w:val="28"/>
            <w:u w:val="single"/>
            <w:lang w:val="en-US"/>
          </w:rPr>
          <w:t>ua</w:t>
        </w:r>
        <w:r w:rsidRPr="00462659">
          <w:rPr>
            <w:rFonts w:ascii="Times New Roman" w:eastAsia="Calibri" w:hAnsi="Times New Roman" w:cs="Times New Roman"/>
            <w:color w:val="0563C1" w:themeColor="hyperlink"/>
            <w:sz w:val="28"/>
            <w:szCs w:val="28"/>
            <w:u w:val="single"/>
            <w:lang w:val="ru-RU"/>
          </w:rPr>
          <w:t>/</w:t>
        </w:r>
        <w:r w:rsidRPr="00462659">
          <w:rPr>
            <w:rFonts w:ascii="Times New Roman" w:eastAsia="Calibri" w:hAnsi="Times New Roman" w:cs="Times New Roman"/>
            <w:color w:val="0563C1" w:themeColor="hyperlink"/>
            <w:sz w:val="28"/>
            <w:szCs w:val="28"/>
            <w:u w:val="single"/>
            <w:lang w:val="en-US"/>
          </w:rPr>
          <w:t>books</w:t>
        </w:r>
        <w:r w:rsidRPr="00462659">
          <w:rPr>
            <w:rFonts w:ascii="Times New Roman" w:eastAsia="Calibri" w:hAnsi="Times New Roman" w:cs="Times New Roman"/>
            <w:color w:val="0563C1" w:themeColor="hyperlink"/>
            <w:sz w:val="28"/>
            <w:szCs w:val="28"/>
            <w:u w:val="single"/>
            <w:lang w:val="ru-RU"/>
          </w:rPr>
          <w:t>-</w:t>
        </w:r>
        <w:r w:rsidRPr="00462659">
          <w:rPr>
            <w:rFonts w:ascii="Times New Roman" w:eastAsia="Calibri" w:hAnsi="Times New Roman" w:cs="Times New Roman"/>
            <w:color w:val="0563C1" w:themeColor="hyperlink"/>
            <w:sz w:val="28"/>
            <w:szCs w:val="28"/>
            <w:u w:val="single"/>
            <w:lang w:val="en-US"/>
          </w:rPr>
          <w:t>book</w:t>
        </w:r>
        <w:r w:rsidRPr="00462659">
          <w:rPr>
            <w:rFonts w:ascii="Times New Roman" w:eastAsia="Calibri" w:hAnsi="Times New Roman" w:cs="Times New Roman"/>
            <w:color w:val="0563C1" w:themeColor="hyperlink"/>
            <w:sz w:val="28"/>
            <w:szCs w:val="28"/>
            <w:u w:val="single"/>
            <w:lang w:val="ru-RU"/>
          </w:rPr>
          <w:t>-137.</w:t>
        </w:r>
        <w:r w:rsidRPr="00462659">
          <w:rPr>
            <w:rFonts w:ascii="Times New Roman" w:eastAsia="Calibri" w:hAnsi="Times New Roman" w:cs="Times New Roman"/>
            <w:color w:val="0563C1" w:themeColor="hyperlink"/>
            <w:sz w:val="28"/>
            <w:szCs w:val="28"/>
            <w:u w:val="single"/>
            <w:lang w:val="en-US"/>
          </w:rPr>
          <w:t>html</w:t>
        </w:r>
      </w:hyperlink>
    </w:p>
    <w:p w14:paraId="49912174" w14:textId="77777777" w:rsidR="00462659" w:rsidRPr="00462659" w:rsidRDefault="00462659" w:rsidP="00462659">
      <w:pPr>
        <w:numPr>
          <w:ilvl w:val="0"/>
          <w:numId w:val="3"/>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r w:rsidRPr="00462659">
        <w:rPr>
          <w:rFonts w:ascii="Times New Roman" w:eastAsia="Calibri" w:hAnsi="Times New Roman" w:cs="Times New Roman"/>
          <w:sz w:val="28"/>
          <w:szCs w:val="28"/>
          <w:lang w:val="uk-UA"/>
        </w:rPr>
        <w:t xml:space="preserve">Коцюруба, О. П., Греб, В. І., &amp; Літинська, С. А. (2020). Сутнісні характеристики політичного конфлікту в українському суспільстві. </w:t>
      </w:r>
      <w:r w:rsidRPr="00462659">
        <w:rPr>
          <w:rFonts w:ascii="Times New Roman" w:eastAsia="Calibri" w:hAnsi="Times New Roman" w:cs="Times New Roman"/>
          <w:i/>
          <w:iCs/>
          <w:sz w:val="28"/>
          <w:szCs w:val="28"/>
          <w:lang w:val="uk-UA"/>
        </w:rPr>
        <w:t>Регіональні студії</w:t>
      </w:r>
      <w:r w:rsidRPr="00462659">
        <w:rPr>
          <w:rFonts w:ascii="Times New Roman" w:eastAsia="Calibri" w:hAnsi="Times New Roman" w:cs="Times New Roman"/>
          <w:sz w:val="28"/>
          <w:szCs w:val="28"/>
          <w:lang w:val="uk-UA"/>
        </w:rPr>
        <w:t xml:space="preserve">, (20), 12–18. </w:t>
      </w:r>
      <w:hyperlink r:id="rId16" w:history="1">
        <w:r w:rsidRPr="00462659">
          <w:rPr>
            <w:rFonts w:ascii="Times New Roman" w:eastAsia="Calibri" w:hAnsi="Times New Roman" w:cs="Times New Roman"/>
            <w:color w:val="0563C1" w:themeColor="hyperlink"/>
            <w:sz w:val="28"/>
            <w:szCs w:val="28"/>
            <w:u w:val="single"/>
            <w:lang w:val="uk-UA"/>
          </w:rPr>
          <w:t>https://doi.org/10.32782/2663-6170/2020.20.2</w:t>
        </w:r>
      </w:hyperlink>
    </w:p>
    <w:p w14:paraId="5FBD329C" w14:textId="77777777" w:rsidR="00462659" w:rsidRPr="00462659" w:rsidRDefault="00462659" w:rsidP="00462659">
      <w:pPr>
        <w:numPr>
          <w:ilvl w:val="0"/>
          <w:numId w:val="3"/>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r w:rsidRPr="00462659">
        <w:rPr>
          <w:rFonts w:ascii="Times New Roman" w:eastAsia="Calibri" w:hAnsi="Times New Roman" w:cs="Times New Roman"/>
          <w:sz w:val="28"/>
          <w:szCs w:val="28"/>
          <w:lang w:val="uk-UA"/>
        </w:rPr>
        <w:t xml:space="preserve">Лисенко, Ю. В., &amp; Маленюк, Ю. М. (2022). Політичний конфлікт і політична криза держави як чинники політичної трансформації. </w:t>
      </w:r>
      <w:r w:rsidRPr="00462659">
        <w:rPr>
          <w:rFonts w:ascii="Times New Roman" w:eastAsia="Calibri" w:hAnsi="Times New Roman" w:cs="Times New Roman"/>
          <w:i/>
          <w:iCs/>
          <w:sz w:val="28"/>
          <w:szCs w:val="28"/>
          <w:lang w:val="uk-UA"/>
        </w:rPr>
        <w:t>Політикус</w:t>
      </w:r>
      <w:r w:rsidRPr="00462659">
        <w:rPr>
          <w:rFonts w:ascii="Times New Roman" w:eastAsia="Calibri" w:hAnsi="Times New Roman" w:cs="Times New Roman"/>
          <w:sz w:val="28"/>
          <w:szCs w:val="28"/>
          <w:lang w:val="uk-UA"/>
        </w:rPr>
        <w:t xml:space="preserve">, (2), 18–23. </w:t>
      </w:r>
      <w:hyperlink r:id="rId17" w:history="1">
        <w:r w:rsidRPr="00462659">
          <w:rPr>
            <w:rFonts w:ascii="Times New Roman" w:eastAsia="Calibri" w:hAnsi="Times New Roman" w:cs="Times New Roman"/>
            <w:color w:val="0563C1" w:themeColor="hyperlink"/>
            <w:sz w:val="28"/>
            <w:szCs w:val="28"/>
            <w:u w:val="single"/>
            <w:lang w:val="uk-UA"/>
          </w:rPr>
          <w:t>https://doi.org/10.24195/2414-9616.2022.2.63</w:t>
        </w:r>
      </w:hyperlink>
      <w:r w:rsidRPr="00462659">
        <w:rPr>
          <w:rFonts w:ascii="Times New Roman" w:eastAsia="Calibri" w:hAnsi="Times New Roman" w:cs="Times New Roman"/>
          <w:sz w:val="28"/>
          <w:szCs w:val="28"/>
          <w:lang w:val="uk-UA"/>
        </w:rPr>
        <w:t>.</w:t>
      </w:r>
    </w:p>
    <w:p w14:paraId="784B71D8" w14:textId="77777777" w:rsidR="00462659" w:rsidRPr="00462659" w:rsidRDefault="00462659" w:rsidP="00462659">
      <w:pPr>
        <w:numPr>
          <w:ilvl w:val="0"/>
          <w:numId w:val="3"/>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r w:rsidRPr="00462659">
        <w:rPr>
          <w:rFonts w:ascii="Times New Roman" w:eastAsia="Calibri" w:hAnsi="Times New Roman" w:cs="Times New Roman"/>
          <w:sz w:val="28"/>
          <w:szCs w:val="28"/>
          <w:lang w:val="uk-UA"/>
        </w:rPr>
        <w:t>Лікарчук, Д. С. (2021). МЕДІАЦІЯ ЯК СПОСІБ ВРЕГУЛЮВАННЯ ПОЛІТИЧНИХ КОНФЛІКТІВ. </w:t>
      </w:r>
      <w:r w:rsidRPr="00462659">
        <w:rPr>
          <w:rFonts w:ascii="Times New Roman" w:eastAsia="Calibri" w:hAnsi="Times New Roman" w:cs="Times New Roman"/>
          <w:i/>
          <w:iCs/>
          <w:sz w:val="28"/>
          <w:szCs w:val="28"/>
          <w:lang w:val="uk-UA"/>
        </w:rPr>
        <w:t>Міжнародні відносини: теоретико-практичні аспекти</w:t>
      </w:r>
      <w:r w:rsidRPr="00462659">
        <w:rPr>
          <w:rFonts w:ascii="Times New Roman" w:eastAsia="Calibri" w:hAnsi="Times New Roman" w:cs="Times New Roman"/>
          <w:sz w:val="28"/>
          <w:szCs w:val="28"/>
          <w:lang w:val="uk-UA"/>
        </w:rPr>
        <w:t xml:space="preserve">, (8), 50–61. </w:t>
      </w:r>
      <w:hyperlink r:id="rId18" w:history="1">
        <w:r w:rsidRPr="00462659">
          <w:rPr>
            <w:rFonts w:ascii="Times New Roman" w:eastAsia="Calibri" w:hAnsi="Times New Roman" w:cs="Times New Roman"/>
            <w:color w:val="0563C1" w:themeColor="hyperlink"/>
            <w:sz w:val="28"/>
            <w:szCs w:val="28"/>
            <w:u w:val="single"/>
            <w:lang w:val="uk-UA"/>
          </w:rPr>
          <w:t>https://doi.org/10.31866/2616-745x.8.2021.249009</w:t>
        </w:r>
      </w:hyperlink>
    </w:p>
    <w:p w14:paraId="015B703F" w14:textId="77777777" w:rsidR="00462659" w:rsidRPr="00462659" w:rsidRDefault="00462659" w:rsidP="00462659">
      <w:pPr>
        <w:numPr>
          <w:ilvl w:val="0"/>
          <w:numId w:val="3"/>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r w:rsidRPr="00462659">
        <w:rPr>
          <w:rFonts w:ascii="Times New Roman" w:eastAsia="Calibri" w:hAnsi="Times New Roman" w:cs="Times New Roman"/>
          <w:sz w:val="28"/>
          <w:szCs w:val="28"/>
          <w:lang w:val="uk-UA"/>
        </w:rPr>
        <w:t xml:space="preserve">Майстренко, О. (2022). Переговори під час вирішення конфліктів. </w:t>
      </w:r>
      <w:r w:rsidRPr="00462659">
        <w:rPr>
          <w:rFonts w:ascii="Times New Roman" w:eastAsia="Calibri" w:hAnsi="Times New Roman" w:cs="Times New Roman"/>
          <w:i/>
          <w:iCs/>
          <w:sz w:val="28"/>
          <w:szCs w:val="28"/>
          <w:lang w:val="uk-UA"/>
        </w:rPr>
        <w:t>Політика. Право. Життя. Інтернет-версія всеукраїнського часопису</w:t>
      </w:r>
      <w:r w:rsidRPr="00462659">
        <w:rPr>
          <w:rFonts w:ascii="Times New Roman" w:eastAsia="Calibri" w:hAnsi="Times New Roman" w:cs="Times New Roman"/>
          <w:sz w:val="28"/>
          <w:szCs w:val="28"/>
          <w:lang w:val="uk-UA"/>
        </w:rPr>
        <w:t xml:space="preserve">. </w:t>
      </w:r>
      <w:hyperlink r:id="rId19" w:tgtFrame="_new" w:history="1">
        <w:r w:rsidRPr="00462659">
          <w:rPr>
            <w:rFonts w:ascii="Times New Roman" w:eastAsia="Calibri" w:hAnsi="Times New Roman" w:cs="Times New Roman"/>
            <w:color w:val="0563C1" w:themeColor="hyperlink"/>
            <w:sz w:val="28"/>
            <w:szCs w:val="28"/>
            <w:u w:val="single"/>
            <w:lang w:val="uk-UA"/>
          </w:rPr>
          <w:t>http://www.pollawlife.com.ua/2021/03/blog-post_30.html</w:t>
        </w:r>
      </w:hyperlink>
    </w:p>
    <w:p w14:paraId="2BEDCF45" w14:textId="77777777" w:rsidR="00462659" w:rsidRPr="00462659" w:rsidRDefault="00462659" w:rsidP="00462659">
      <w:pPr>
        <w:numPr>
          <w:ilvl w:val="0"/>
          <w:numId w:val="3"/>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r w:rsidRPr="00462659">
        <w:rPr>
          <w:rFonts w:ascii="Times New Roman" w:eastAsia="Calibri" w:hAnsi="Times New Roman" w:cs="Times New Roman"/>
          <w:sz w:val="28"/>
          <w:szCs w:val="28"/>
          <w:lang w:val="uk-UA"/>
        </w:rPr>
        <w:t xml:space="preserve">Маркітантов, В. Ю., &amp; Найчук, А. В. (2024). Переговори як механізм запобігання та подолання політичних конфліктів. </w:t>
      </w:r>
      <w:r w:rsidRPr="00462659">
        <w:rPr>
          <w:rFonts w:ascii="Times New Roman" w:eastAsia="Calibri" w:hAnsi="Times New Roman" w:cs="Times New Roman"/>
          <w:i/>
          <w:iCs/>
          <w:sz w:val="28"/>
          <w:szCs w:val="28"/>
          <w:lang w:val="uk-UA"/>
        </w:rPr>
        <w:t>Вісник НТУУ «КПІ». Політологія. Соціологія. Право</w:t>
      </w:r>
      <w:r w:rsidRPr="00462659">
        <w:rPr>
          <w:rFonts w:ascii="Times New Roman" w:eastAsia="Calibri" w:hAnsi="Times New Roman" w:cs="Times New Roman"/>
          <w:sz w:val="28"/>
          <w:szCs w:val="28"/>
          <w:lang w:val="uk-UA"/>
        </w:rPr>
        <w:t xml:space="preserve">, (4(64)), 109–114. </w:t>
      </w:r>
      <w:hyperlink r:id="rId20" w:tgtFrame="_new" w:history="1">
        <w:r w:rsidRPr="00462659">
          <w:rPr>
            <w:rFonts w:ascii="Times New Roman" w:eastAsia="Calibri" w:hAnsi="Times New Roman" w:cs="Times New Roman"/>
            <w:color w:val="0563C1" w:themeColor="hyperlink"/>
            <w:sz w:val="28"/>
            <w:szCs w:val="28"/>
            <w:u w:val="single"/>
            <w:lang w:val="uk-UA"/>
          </w:rPr>
          <w:t>https://doi.org/10.20535/2308-5053.2024.4(64).322729</w:t>
        </w:r>
      </w:hyperlink>
    </w:p>
    <w:p w14:paraId="5D354E40" w14:textId="77777777" w:rsidR="00462659" w:rsidRPr="00462659" w:rsidRDefault="00462659" w:rsidP="00462659">
      <w:pPr>
        <w:numPr>
          <w:ilvl w:val="0"/>
          <w:numId w:val="3"/>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en-US"/>
        </w:rPr>
      </w:pPr>
      <w:r w:rsidRPr="00462659">
        <w:rPr>
          <w:rFonts w:ascii="Times New Roman" w:eastAsia="Calibri" w:hAnsi="Times New Roman" w:cs="Times New Roman"/>
          <w:sz w:val="28"/>
          <w:szCs w:val="28"/>
          <w:lang w:val="uk-UA"/>
        </w:rPr>
        <w:t xml:space="preserve">Мірошниченко, Т., Федорова, Г. (2021). Цифрова дипломатія як сучасний комунікаційний інструмент міжнародних відносин. </w:t>
      </w:r>
      <w:r w:rsidRPr="00462659">
        <w:rPr>
          <w:rFonts w:ascii="Times New Roman" w:eastAsia="Calibri" w:hAnsi="Times New Roman" w:cs="Times New Roman"/>
          <w:i/>
          <w:iCs/>
          <w:sz w:val="28"/>
          <w:szCs w:val="28"/>
          <w:lang w:val="uk-UA"/>
        </w:rPr>
        <w:t xml:space="preserve">Грані. Том 24 № 12. </w:t>
      </w:r>
      <w:r w:rsidRPr="00462659">
        <w:rPr>
          <w:rFonts w:ascii="Times New Roman" w:eastAsia="Calibri" w:hAnsi="Times New Roman" w:cs="Times New Roman"/>
          <w:sz w:val="28"/>
          <w:szCs w:val="28"/>
          <w:lang w:val="uk-UA"/>
        </w:rPr>
        <w:t xml:space="preserve">https://doi.org/ 10.15421/1721119. </w:t>
      </w:r>
    </w:p>
    <w:p w14:paraId="6107DDD4" w14:textId="77777777" w:rsidR="00462659" w:rsidRPr="00462659" w:rsidRDefault="00462659" w:rsidP="00462659">
      <w:pPr>
        <w:numPr>
          <w:ilvl w:val="0"/>
          <w:numId w:val="3"/>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r w:rsidRPr="00462659">
        <w:rPr>
          <w:rFonts w:ascii="Times New Roman" w:eastAsia="Calibri" w:hAnsi="Times New Roman" w:cs="Times New Roman"/>
          <w:sz w:val="28"/>
          <w:szCs w:val="28"/>
          <w:lang w:val="uk-UA"/>
        </w:rPr>
        <w:t xml:space="preserve">Павловська, Т. (2007). Політичні переговори як спосіб розв’язання політичних конфліктів. </w:t>
      </w:r>
      <w:r w:rsidRPr="00462659">
        <w:rPr>
          <w:rFonts w:ascii="Times New Roman" w:eastAsia="Calibri" w:hAnsi="Times New Roman" w:cs="Times New Roman"/>
          <w:i/>
          <w:iCs/>
          <w:sz w:val="28"/>
          <w:szCs w:val="28"/>
          <w:lang w:val="uk-UA"/>
        </w:rPr>
        <w:t>Вісник Київського національного університету імені Тараса Шевченка. Серія: Філософія. Політологія</w:t>
      </w:r>
      <w:r w:rsidRPr="00462659">
        <w:rPr>
          <w:rFonts w:ascii="Times New Roman" w:eastAsia="Calibri" w:hAnsi="Times New Roman" w:cs="Times New Roman"/>
          <w:sz w:val="28"/>
          <w:szCs w:val="28"/>
          <w:lang w:val="uk-UA"/>
        </w:rPr>
        <w:t>, (84–86), 102–105.</w:t>
      </w:r>
    </w:p>
    <w:p w14:paraId="05D5F7D1" w14:textId="77777777" w:rsidR="00462659" w:rsidRPr="00462659" w:rsidRDefault="00462659" w:rsidP="00462659">
      <w:pPr>
        <w:numPr>
          <w:ilvl w:val="0"/>
          <w:numId w:val="3"/>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r w:rsidRPr="00462659">
        <w:rPr>
          <w:rFonts w:ascii="Times New Roman" w:eastAsia="Calibri" w:hAnsi="Times New Roman" w:cs="Times New Roman"/>
          <w:sz w:val="28"/>
          <w:szCs w:val="28"/>
          <w:lang w:val="uk-UA"/>
        </w:rPr>
        <w:t xml:space="preserve">Рудєва, А. О., &amp; Малярова, Ю. Г. (2023). Цифрова дипломатія у формуванні системи національної безпеки України в умовах війни з РФ. </w:t>
      </w:r>
      <w:r w:rsidRPr="00462659">
        <w:rPr>
          <w:rFonts w:ascii="Times New Roman" w:eastAsia="Calibri" w:hAnsi="Times New Roman" w:cs="Times New Roman"/>
          <w:i/>
          <w:iCs/>
          <w:sz w:val="28"/>
          <w:szCs w:val="28"/>
          <w:lang w:val="uk-UA"/>
        </w:rPr>
        <w:t>Регіональні студії</w:t>
      </w:r>
      <w:r w:rsidRPr="00462659">
        <w:rPr>
          <w:rFonts w:ascii="Times New Roman" w:eastAsia="Calibri" w:hAnsi="Times New Roman" w:cs="Times New Roman"/>
          <w:sz w:val="28"/>
          <w:szCs w:val="28"/>
          <w:lang w:val="uk-UA"/>
        </w:rPr>
        <w:t xml:space="preserve">, (1), 111–115. </w:t>
      </w:r>
      <w:hyperlink r:id="rId21" w:history="1">
        <w:r w:rsidRPr="00462659">
          <w:rPr>
            <w:rFonts w:ascii="Times New Roman" w:eastAsia="Calibri" w:hAnsi="Times New Roman" w:cs="Times New Roman"/>
            <w:color w:val="0563C1" w:themeColor="hyperlink"/>
            <w:sz w:val="28"/>
            <w:szCs w:val="28"/>
            <w:u w:val="single"/>
            <w:lang w:val="uk-UA"/>
          </w:rPr>
          <w:t>https://doi.org/10.32782/2663-6170/2023.34.19</w:t>
        </w:r>
      </w:hyperlink>
    </w:p>
    <w:p w14:paraId="7C90D2AE" w14:textId="77777777" w:rsidR="00462659" w:rsidRPr="00462659" w:rsidRDefault="00462659" w:rsidP="00462659">
      <w:pPr>
        <w:numPr>
          <w:ilvl w:val="0"/>
          <w:numId w:val="3"/>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r w:rsidRPr="00462659">
        <w:rPr>
          <w:rFonts w:ascii="Times New Roman" w:eastAsia="Calibri" w:hAnsi="Times New Roman" w:cs="Times New Roman"/>
          <w:sz w:val="28"/>
          <w:szCs w:val="28"/>
          <w:lang w:val="uk-UA"/>
        </w:rPr>
        <w:lastRenderedPageBreak/>
        <w:t xml:space="preserve">Чухрай, Н. М. (2022). ПРАВОВИЙ МЕХАНІЗМ ВИРІШЕННЯ ПОЛІТИЧНИХ КОНФЛІКТІВ. </w:t>
      </w:r>
      <w:r w:rsidRPr="00462659">
        <w:rPr>
          <w:rFonts w:ascii="Times New Roman" w:eastAsia="Calibri" w:hAnsi="Times New Roman" w:cs="Times New Roman"/>
          <w:i/>
          <w:iCs/>
          <w:sz w:val="28"/>
          <w:szCs w:val="28"/>
          <w:lang w:val="uk-UA"/>
        </w:rPr>
        <w:t xml:space="preserve">Регіональні студії. </w:t>
      </w:r>
      <w:r w:rsidRPr="00462659">
        <w:rPr>
          <w:rFonts w:ascii="Times New Roman" w:eastAsia="Calibri" w:hAnsi="Times New Roman" w:cs="Times New Roman"/>
          <w:sz w:val="28"/>
          <w:szCs w:val="28"/>
          <w:lang w:val="uk-UA"/>
        </w:rPr>
        <w:t xml:space="preserve"> 31. 60–64. https://doi.org/10.32782/2663-6170/2022.31.11</w:t>
      </w:r>
    </w:p>
    <w:p w14:paraId="5AEF6188" w14:textId="77777777" w:rsidR="00462659" w:rsidRPr="00462659" w:rsidRDefault="00462659" w:rsidP="00462659">
      <w:pPr>
        <w:numPr>
          <w:ilvl w:val="0"/>
          <w:numId w:val="3"/>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r w:rsidRPr="00462659">
        <w:rPr>
          <w:rFonts w:ascii="Times New Roman" w:eastAsia="Calibri" w:hAnsi="Times New Roman" w:cs="Times New Roman"/>
          <w:sz w:val="28"/>
          <w:szCs w:val="28"/>
          <w:lang w:val="uk-UA"/>
        </w:rPr>
        <w:t xml:space="preserve">Coser, L. A. (1956). </w:t>
      </w:r>
      <w:r w:rsidRPr="00462659">
        <w:rPr>
          <w:rFonts w:ascii="Times New Roman" w:eastAsia="Calibri" w:hAnsi="Times New Roman" w:cs="Times New Roman"/>
          <w:i/>
          <w:iCs/>
          <w:sz w:val="28"/>
          <w:szCs w:val="28"/>
          <w:lang w:val="uk-UA"/>
        </w:rPr>
        <w:t>The Functions of Social Conflict</w:t>
      </w:r>
      <w:r w:rsidRPr="00462659">
        <w:rPr>
          <w:rFonts w:ascii="Times New Roman" w:eastAsia="Calibri" w:hAnsi="Times New Roman" w:cs="Times New Roman"/>
          <w:sz w:val="28"/>
          <w:szCs w:val="28"/>
          <w:lang w:val="uk-UA"/>
        </w:rPr>
        <w:t>. Free Press.</w:t>
      </w:r>
    </w:p>
    <w:p w14:paraId="2C7D9638" w14:textId="77777777" w:rsidR="00462659" w:rsidRPr="00462659" w:rsidRDefault="00462659" w:rsidP="00462659">
      <w:pPr>
        <w:numPr>
          <w:ilvl w:val="0"/>
          <w:numId w:val="3"/>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r w:rsidRPr="00462659">
        <w:rPr>
          <w:rFonts w:ascii="Times New Roman" w:eastAsia="Calibri" w:hAnsi="Times New Roman" w:cs="Times New Roman"/>
          <w:sz w:val="28"/>
          <w:szCs w:val="28"/>
          <w:lang w:val="uk-UA"/>
        </w:rPr>
        <w:t xml:space="preserve">Dahrendorf, R. (1959). </w:t>
      </w:r>
      <w:r w:rsidRPr="00462659">
        <w:rPr>
          <w:rFonts w:ascii="Times New Roman" w:eastAsia="Calibri" w:hAnsi="Times New Roman" w:cs="Times New Roman"/>
          <w:i/>
          <w:iCs/>
          <w:sz w:val="28"/>
          <w:szCs w:val="28"/>
          <w:lang w:val="uk-UA"/>
        </w:rPr>
        <w:t>Class and Conflict in Industrial Society</w:t>
      </w:r>
      <w:r w:rsidRPr="00462659">
        <w:rPr>
          <w:rFonts w:ascii="Times New Roman" w:eastAsia="Calibri" w:hAnsi="Times New Roman" w:cs="Times New Roman"/>
          <w:sz w:val="28"/>
          <w:szCs w:val="28"/>
          <w:lang w:val="uk-UA"/>
        </w:rPr>
        <w:t>. Stanford University Press.</w:t>
      </w:r>
    </w:p>
    <w:p w14:paraId="68F8A6D3" w14:textId="77777777" w:rsidR="00462659" w:rsidRPr="00462659" w:rsidRDefault="00462659" w:rsidP="00462659">
      <w:pPr>
        <w:numPr>
          <w:ilvl w:val="0"/>
          <w:numId w:val="3"/>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r w:rsidRPr="00462659">
        <w:rPr>
          <w:rFonts w:ascii="Times New Roman" w:eastAsia="Calibri" w:hAnsi="Times New Roman" w:cs="Times New Roman"/>
          <w:sz w:val="28"/>
          <w:szCs w:val="28"/>
          <w:lang w:val="uk-UA"/>
        </w:rPr>
        <w:t xml:space="preserve">Galtung, J. (1969). </w:t>
      </w:r>
      <w:r w:rsidRPr="00462659">
        <w:rPr>
          <w:rFonts w:ascii="Times New Roman" w:eastAsia="Calibri" w:hAnsi="Times New Roman" w:cs="Times New Roman"/>
          <w:i/>
          <w:iCs/>
          <w:sz w:val="28"/>
          <w:szCs w:val="28"/>
          <w:lang w:val="uk-UA"/>
        </w:rPr>
        <w:t>Violence, Peace, and Peace Research</w:t>
      </w:r>
      <w:r w:rsidRPr="00462659">
        <w:rPr>
          <w:rFonts w:ascii="Times New Roman" w:eastAsia="Calibri" w:hAnsi="Times New Roman" w:cs="Times New Roman"/>
          <w:sz w:val="28"/>
          <w:szCs w:val="28"/>
          <w:lang w:val="uk-UA"/>
        </w:rPr>
        <w:t xml:space="preserve">. </w:t>
      </w:r>
      <w:r w:rsidRPr="00462659">
        <w:rPr>
          <w:rFonts w:ascii="Times New Roman" w:eastAsia="Calibri" w:hAnsi="Times New Roman" w:cs="Times New Roman"/>
          <w:i/>
          <w:iCs/>
          <w:sz w:val="28"/>
          <w:szCs w:val="28"/>
          <w:lang w:val="uk-UA"/>
        </w:rPr>
        <w:t>Journal of Peace Research, 6</w:t>
      </w:r>
      <w:r w:rsidRPr="00462659">
        <w:rPr>
          <w:rFonts w:ascii="Times New Roman" w:eastAsia="Calibri" w:hAnsi="Times New Roman" w:cs="Times New Roman"/>
          <w:sz w:val="28"/>
          <w:szCs w:val="28"/>
          <w:lang w:val="uk-UA"/>
        </w:rPr>
        <w:t>(3), 167–191.</w:t>
      </w:r>
    </w:p>
    <w:p w14:paraId="2624ED9B" w14:textId="77777777" w:rsidR="00462659" w:rsidRPr="00462659" w:rsidRDefault="00462659" w:rsidP="00462659">
      <w:pPr>
        <w:numPr>
          <w:ilvl w:val="0"/>
          <w:numId w:val="3"/>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en-US"/>
        </w:rPr>
      </w:pPr>
      <w:r w:rsidRPr="00462659">
        <w:rPr>
          <w:rFonts w:ascii="Times New Roman" w:eastAsia="Calibri" w:hAnsi="Times New Roman" w:cs="Times New Roman"/>
          <w:sz w:val="28"/>
          <w:szCs w:val="28"/>
          <w:lang w:val="uk-UA"/>
        </w:rPr>
        <w:t xml:space="preserve">Jones, N., &amp; Tembo, F. (2008). </w:t>
      </w:r>
      <w:r w:rsidRPr="00462659">
        <w:rPr>
          <w:rFonts w:ascii="Times New Roman" w:eastAsia="Calibri" w:hAnsi="Times New Roman" w:cs="Times New Roman"/>
          <w:i/>
          <w:iCs/>
          <w:sz w:val="28"/>
          <w:szCs w:val="28"/>
          <w:lang w:val="uk-UA"/>
        </w:rPr>
        <w:t>Promoting good governance through civil society–legislator linkages</w:t>
      </w:r>
      <w:r w:rsidRPr="00462659">
        <w:rPr>
          <w:rFonts w:ascii="Times New Roman" w:eastAsia="Calibri" w:hAnsi="Times New Roman" w:cs="Times New Roman"/>
          <w:sz w:val="28"/>
          <w:szCs w:val="28"/>
          <w:lang w:val="uk-UA"/>
        </w:rPr>
        <w:t>.</w:t>
      </w:r>
    </w:p>
    <w:p w14:paraId="71BC1DEF" w14:textId="77777777" w:rsidR="00462659" w:rsidRPr="00462659" w:rsidRDefault="00462659" w:rsidP="00462659">
      <w:pPr>
        <w:numPr>
          <w:ilvl w:val="0"/>
          <w:numId w:val="3"/>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r w:rsidRPr="00462659">
        <w:rPr>
          <w:rFonts w:ascii="Times New Roman" w:eastAsia="Calibri" w:hAnsi="Times New Roman" w:cs="Times New Roman"/>
          <w:sz w:val="28"/>
          <w:szCs w:val="28"/>
          <w:lang w:val="uk-UA"/>
        </w:rPr>
        <w:t xml:space="preserve">Jones, P. (2015). </w:t>
      </w:r>
      <w:r w:rsidRPr="00462659">
        <w:rPr>
          <w:rFonts w:ascii="Times New Roman" w:eastAsia="Calibri" w:hAnsi="Times New Roman" w:cs="Times New Roman"/>
          <w:i/>
          <w:iCs/>
          <w:sz w:val="28"/>
          <w:szCs w:val="28"/>
          <w:lang w:val="uk-UA"/>
        </w:rPr>
        <w:t>Track two diplomacy in theory and practice</w:t>
      </w:r>
      <w:r w:rsidRPr="00462659">
        <w:rPr>
          <w:rFonts w:ascii="Times New Roman" w:eastAsia="Calibri" w:hAnsi="Times New Roman" w:cs="Times New Roman"/>
          <w:sz w:val="28"/>
          <w:szCs w:val="28"/>
          <w:lang w:val="uk-UA"/>
        </w:rPr>
        <w:t>. Stanford University Press.</w:t>
      </w:r>
    </w:p>
    <w:p w14:paraId="58D556BA" w14:textId="77777777" w:rsidR="00462659" w:rsidRPr="00462659" w:rsidRDefault="00462659" w:rsidP="00462659">
      <w:pPr>
        <w:numPr>
          <w:ilvl w:val="0"/>
          <w:numId w:val="3"/>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r w:rsidRPr="00462659">
        <w:rPr>
          <w:rFonts w:ascii="Times New Roman" w:eastAsia="Calibri" w:hAnsi="Times New Roman" w:cs="Times New Roman"/>
          <w:sz w:val="28"/>
          <w:szCs w:val="28"/>
          <w:lang w:val="uk-UA"/>
        </w:rPr>
        <w:t>Lande, J. (2000). Toward More Sophisticated Mediation Theory</w:t>
      </w:r>
      <w:r w:rsidRPr="00462659">
        <w:rPr>
          <w:rFonts w:ascii="Times New Roman" w:eastAsia="Calibri" w:hAnsi="Times New Roman" w:cs="Times New Roman"/>
          <w:i/>
          <w:iCs/>
          <w:sz w:val="28"/>
          <w:szCs w:val="28"/>
          <w:lang w:val="uk-UA"/>
        </w:rPr>
        <w:t xml:space="preserve">. </w:t>
      </w:r>
      <w:r w:rsidRPr="00462659">
        <w:rPr>
          <w:rFonts w:ascii="Times New Roman" w:eastAsia="Calibri" w:hAnsi="Times New Roman" w:cs="Times New Roman"/>
          <w:sz w:val="28"/>
          <w:szCs w:val="28"/>
          <w:lang w:val="uk-UA"/>
        </w:rPr>
        <w:t xml:space="preserve">Journal of </w:t>
      </w:r>
      <w:r w:rsidRPr="00462659">
        <w:rPr>
          <w:rFonts w:ascii="Times New Roman" w:eastAsia="Calibri" w:hAnsi="Times New Roman" w:cs="Times New Roman"/>
          <w:i/>
          <w:iCs/>
          <w:sz w:val="28"/>
          <w:szCs w:val="28"/>
          <w:lang w:val="uk-UA"/>
        </w:rPr>
        <w:t>Dispute Resolution</w:t>
      </w:r>
      <w:r w:rsidRPr="00462659">
        <w:rPr>
          <w:rFonts w:ascii="Times New Roman" w:eastAsia="Calibri" w:hAnsi="Times New Roman" w:cs="Times New Roman"/>
          <w:sz w:val="28"/>
          <w:szCs w:val="28"/>
          <w:lang w:val="uk-UA"/>
        </w:rPr>
        <w:t>, no. 2, pp. 321–334.</w:t>
      </w:r>
    </w:p>
    <w:p w14:paraId="0B6D15FC" w14:textId="77777777" w:rsidR="00462659" w:rsidRPr="00462659" w:rsidRDefault="00462659" w:rsidP="00462659">
      <w:pPr>
        <w:numPr>
          <w:ilvl w:val="0"/>
          <w:numId w:val="3"/>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r w:rsidRPr="00462659">
        <w:rPr>
          <w:rFonts w:ascii="Times New Roman" w:eastAsia="Calibri" w:hAnsi="Times New Roman" w:cs="Times New Roman"/>
          <w:sz w:val="28"/>
          <w:szCs w:val="28"/>
          <w:lang w:val="uk-UA"/>
        </w:rPr>
        <w:t xml:space="preserve">Nye, J. S. (2004). </w:t>
      </w:r>
      <w:r w:rsidRPr="00462659">
        <w:rPr>
          <w:rFonts w:ascii="Times New Roman" w:eastAsia="Calibri" w:hAnsi="Times New Roman" w:cs="Times New Roman"/>
          <w:i/>
          <w:iCs/>
          <w:sz w:val="28"/>
          <w:szCs w:val="28"/>
          <w:lang w:val="uk-UA"/>
        </w:rPr>
        <w:t>Soft power: The means to success in world politics</w:t>
      </w:r>
      <w:r w:rsidRPr="00462659">
        <w:rPr>
          <w:rFonts w:ascii="Times New Roman" w:eastAsia="Calibri" w:hAnsi="Times New Roman" w:cs="Times New Roman"/>
          <w:sz w:val="28"/>
          <w:szCs w:val="28"/>
          <w:lang w:val="uk-UA"/>
        </w:rPr>
        <w:t>. PublicAffairs.</w:t>
      </w:r>
    </w:p>
    <w:p w14:paraId="72F1140C" w14:textId="77777777" w:rsidR="00462659" w:rsidRPr="00462659" w:rsidRDefault="00462659" w:rsidP="00462659">
      <w:pPr>
        <w:numPr>
          <w:ilvl w:val="0"/>
          <w:numId w:val="3"/>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r w:rsidRPr="00462659">
        <w:rPr>
          <w:rFonts w:ascii="Times New Roman" w:eastAsia="Calibri" w:hAnsi="Times New Roman" w:cs="Times New Roman"/>
          <w:sz w:val="28"/>
          <w:szCs w:val="28"/>
          <w:lang w:val="uk-UA"/>
        </w:rPr>
        <w:t xml:space="preserve">Parsons, T. (1951). </w:t>
      </w:r>
      <w:r w:rsidRPr="00462659">
        <w:rPr>
          <w:rFonts w:ascii="Times New Roman" w:eastAsia="Calibri" w:hAnsi="Times New Roman" w:cs="Times New Roman"/>
          <w:i/>
          <w:iCs/>
          <w:sz w:val="28"/>
          <w:szCs w:val="28"/>
          <w:lang w:val="uk-UA"/>
        </w:rPr>
        <w:t>The Social System</w:t>
      </w:r>
      <w:r w:rsidRPr="00462659">
        <w:rPr>
          <w:rFonts w:ascii="Times New Roman" w:eastAsia="Calibri" w:hAnsi="Times New Roman" w:cs="Times New Roman"/>
          <w:sz w:val="28"/>
          <w:szCs w:val="28"/>
          <w:lang w:val="uk-UA"/>
        </w:rPr>
        <w:t>. Routledge &amp; Kegan Paul.</w:t>
      </w:r>
    </w:p>
    <w:p w14:paraId="259B16B5" w14:textId="77777777" w:rsidR="00462659" w:rsidRPr="00462659" w:rsidRDefault="00462659" w:rsidP="00462659">
      <w:pPr>
        <w:numPr>
          <w:ilvl w:val="0"/>
          <w:numId w:val="3"/>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r w:rsidRPr="00462659">
        <w:rPr>
          <w:rFonts w:ascii="Times New Roman" w:eastAsia="Calibri" w:hAnsi="Times New Roman" w:cs="Times New Roman"/>
          <w:sz w:val="28"/>
          <w:szCs w:val="28"/>
          <w:lang w:val="uk-UA"/>
        </w:rPr>
        <w:t xml:space="preserve">Saunders, H. H. (1999). </w:t>
      </w:r>
      <w:r w:rsidRPr="00462659">
        <w:rPr>
          <w:rFonts w:ascii="Times New Roman" w:eastAsia="Calibri" w:hAnsi="Times New Roman" w:cs="Times New Roman"/>
          <w:i/>
          <w:iCs/>
          <w:sz w:val="28"/>
          <w:szCs w:val="28"/>
          <w:lang w:val="uk-UA"/>
        </w:rPr>
        <w:t>A public peace process: Sustained dialogue to transform racial and ethnic conflicts</w:t>
      </w:r>
      <w:r w:rsidRPr="00462659">
        <w:rPr>
          <w:rFonts w:ascii="Times New Roman" w:eastAsia="Calibri" w:hAnsi="Times New Roman" w:cs="Times New Roman"/>
          <w:sz w:val="28"/>
          <w:szCs w:val="28"/>
          <w:lang w:val="uk-UA"/>
        </w:rPr>
        <w:t>. Palgrave Macmillan.</w:t>
      </w:r>
    </w:p>
    <w:p w14:paraId="49C2EB74" w14:textId="77777777" w:rsidR="00462659" w:rsidRPr="00462659" w:rsidRDefault="00462659" w:rsidP="00462659">
      <w:pPr>
        <w:numPr>
          <w:ilvl w:val="0"/>
          <w:numId w:val="3"/>
        </w:numPr>
        <w:tabs>
          <w:tab w:val="left" w:pos="851"/>
          <w:tab w:val="left" w:pos="1134"/>
        </w:tabs>
        <w:spacing w:after="0" w:line="360" w:lineRule="auto"/>
        <w:ind w:left="0" w:firstLine="567"/>
        <w:contextualSpacing/>
        <w:jc w:val="both"/>
        <w:rPr>
          <w:rFonts w:ascii="Times New Roman" w:eastAsia="Calibri" w:hAnsi="Times New Roman" w:cs="Times New Roman"/>
          <w:sz w:val="28"/>
          <w:szCs w:val="28"/>
          <w:lang w:val="uk-UA"/>
        </w:rPr>
      </w:pPr>
      <w:r w:rsidRPr="00462659">
        <w:rPr>
          <w:rFonts w:ascii="Times New Roman" w:eastAsia="Calibri" w:hAnsi="Times New Roman" w:cs="Times New Roman"/>
          <w:sz w:val="28"/>
          <w:szCs w:val="28"/>
          <w:lang w:val="uk-UA"/>
        </w:rPr>
        <w:t xml:space="preserve">Zartman, I. W. (2000). </w:t>
      </w:r>
      <w:r w:rsidRPr="00462659">
        <w:rPr>
          <w:rFonts w:ascii="Times New Roman" w:eastAsia="Calibri" w:hAnsi="Times New Roman" w:cs="Times New Roman"/>
          <w:i/>
          <w:iCs/>
          <w:sz w:val="28"/>
          <w:szCs w:val="28"/>
          <w:lang w:val="uk-UA"/>
        </w:rPr>
        <w:t>Ripeness: The hurting stalemate and beyond</w:t>
      </w:r>
      <w:r w:rsidRPr="00462659">
        <w:rPr>
          <w:rFonts w:ascii="Times New Roman" w:eastAsia="Calibri" w:hAnsi="Times New Roman" w:cs="Times New Roman"/>
          <w:sz w:val="28"/>
          <w:szCs w:val="28"/>
          <w:lang w:val="uk-UA"/>
        </w:rPr>
        <w:t xml:space="preserve">. In P. Stern &amp; D. Druckman (Eds.), </w:t>
      </w:r>
      <w:r w:rsidRPr="00462659">
        <w:rPr>
          <w:rFonts w:ascii="Times New Roman" w:eastAsia="Calibri" w:hAnsi="Times New Roman" w:cs="Times New Roman"/>
          <w:i/>
          <w:iCs/>
          <w:sz w:val="28"/>
          <w:szCs w:val="28"/>
          <w:lang w:val="uk-UA"/>
        </w:rPr>
        <w:t>International conflict resolution after the Cold War</w:t>
      </w:r>
      <w:r w:rsidRPr="00462659">
        <w:rPr>
          <w:rFonts w:ascii="Times New Roman" w:eastAsia="Calibri" w:hAnsi="Times New Roman" w:cs="Times New Roman"/>
          <w:sz w:val="28"/>
          <w:szCs w:val="28"/>
          <w:lang w:val="uk-UA"/>
        </w:rPr>
        <w:t xml:space="preserve"> (pp. 225–250). National Academy Press.</w:t>
      </w:r>
    </w:p>
    <w:p w14:paraId="55CFA8D7" w14:textId="77777777" w:rsidR="00462659" w:rsidRPr="00462659" w:rsidRDefault="00462659" w:rsidP="00462659">
      <w:pPr>
        <w:spacing w:after="0" w:line="360" w:lineRule="auto"/>
        <w:ind w:firstLine="567"/>
        <w:jc w:val="both"/>
        <w:rPr>
          <w:rFonts w:ascii="Times New Roman" w:eastAsia="Calibri" w:hAnsi="Times New Roman" w:cs="Times New Roman"/>
          <w:sz w:val="28"/>
          <w:szCs w:val="28"/>
          <w:lang w:val="uk-UA"/>
        </w:rPr>
      </w:pPr>
    </w:p>
    <w:p w14:paraId="1A8D28EF" w14:textId="77777777" w:rsidR="00462659" w:rsidRPr="00462659" w:rsidRDefault="00462659" w:rsidP="00462659">
      <w:pPr>
        <w:spacing w:after="0" w:line="360" w:lineRule="auto"/>
        <w:ind w:firstLine="567"/>
        <w:jc w:val="both"/>
        <w:rPr>
          <w:rFonts w:ascii="Times New Roman" w:eastAsia="Calibri" w:hAnsi="Times New Roman" w:cs="Times New Roman"/>
          <w:sz w:val="28"/>
          <w:szCs w:val="28"/>
          <w:lang w:val="uk-UA"/>
        </w:rPr>
      </w:pPr>
    </w:p>
    <w:p w14:paraId="346810B9" w14:textId="77777777" w:rsidR="00462659" w:rsidRPr="00462659" w:rsidRDefault="00462659" w:rsidP="00462659">
      <w:pPr>
        <w:spacing w:after="0" w:line="360" w:lineRule="auto"/>
        <w:ind w:firstLine="567"/>
        <w:jc w:val="both"/>
        <w:rPr>
          <w:rFonts w:ascii="Times New Roman" w:eastAsia="Calibri" w:hAnsi="Times New Roman" w:cs="Times New Roman"/>
          <w:sz w:val="28"/>
          <w:szCs w:val="28"/>
          <w:lang w:val="en-US"/>
        </w:rPr>
      </w:pPr>
    </w:p>
    <w:p w14:paraId="3A385F32" w14:textId="77777777" w:rsidR="006761DF" w:rsidRPr="006761DF" w:rsidRDefault="006761DF">
      <w:pPr>
        <w:rPr>
          <w:rFonts w:ascii="Times New Roman" w:hAnsi="Times New Roman" w:cs="Times New Roman"/>
          <w:sz w:val="28"/>
          <w:szCs w:val="28"/>
          <w:lang w:val="uk-UA"/>
        </w:rPr>
      </w:pPr>
    </w:p>
    <w:sectPr w:rsidR="006761DF" w:rsidRPr="006761DF">
      <w:headerReference w:type="default" r:id="rId2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3D8009" w14:textId="77777777" w:rsidR="000B6CE7" w:rsidRDefault="000B6CE7" w:rsidP="001B620D">
      <w:pPr>
        <w:spacing w:after="0" w:line="240" w:lineRule="auto"/>
      </w:pPr>
      <w:r>
        <w:separator/>
      </w:r>
    </w:p>
  </w:endnote>
  <w:endnote w:type="continuationSeparator" w:id="0">
    <w:p w14:paraId="642B5DAB" w14:textId="77777777" w:rsidR="000B6CE7" w:rsidRDefault="000B6CE7" w:rsidP="001B62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E92D98" w14:textId="77777777" w:rsidR="000B6CE7" w:rsidRDefault="000B6CE7" w:rsidP="001B620D">
      <w:pPr>
        <w:spacing w:after="0" w:line="240" w:lineRule="auto"/>
      </w:pPr>
      <w:r>
        <w:separator/>
      </w:r>
    </w:p>
  </w:footnote>
  <w:footnote w:type="continuationSeparator" w:id="0">
    <w:p w14:paraId="73374585" w14:textId="77777777" w:rsidR="000B6CE7" w:rsidRDefault="000B6CE7" w:rsidP="001B62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652481"/>
      <w:docPartObj>
        <w:docPartGallery w:val="Page Numbers (Top of Page)"/>
        <w:docPartUnique/>
      </w:docPartObj>
    </w:sdtPr>
    <w:sdtEndPr/>
    <w:sdtContent>
      <w:p w14:paraId="377FEC54" w14:textId="52E96DA0" w:rsidR="001B620D" w:rsidRDefault="001B620D">
        <w:pPr>
          <w:pStyle w:val="af"/>
          <w:jc w:val="right"/>
        </w:pPr>
        <w:r>
          <w:fldChar w:fldCharType="begin"/>
        </w:r>
        <w:r>
          <w:instrText>PAGE   \* MERGEFORMAT</w:instrText>
        </w:r>
        <w:r>
          <w:fldChar w:fldCharType="separate"/>
        </w:r>
        <w:r>
          <w:rPr>
            <w:lang w:val="uk-UA"/>
          </w:rPr>
          <w:t>2</w:t>
        </w:r>
        <w:r>
          <w:fldChar w:fldCharType="end"/>
        </w:r>
      </w:p>
    </w:sdtContent>
  </w:sdt>
  <w:p w14:paraId="64B1CD09" w14:textId="77777777" w:rsidR="001B620D" w:rsidRDefault="001B620D">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641A43"/>
    <w:multiLevelType w:val="hybridMultilevel"/>
    <w:tmpl w:val="68922566"/>
    <w:lvl w:ilvl="0" w:tplc="0422000F">
      <w:start w:val="1"/>
      <w:numFmt w:val="decimal"/>
      <w:lvlText w:val="%1."/>
      <w:lvlJc w:val="left"/>
      <w:pPr>
        <w:ind w:left="1287" w:hanging="360"/>
      </w:pPr>
    </w:lvl>
    <w:lvl w:ilvl="1" w:tplc="04220019">
      <w:start w:val="1"/>
      <w:numFmt w:val="lowerLetter"/>
      <w:lvlText w:val="%2."/>
      <w:lvlJc w:val="left"/>
      <w:pPr>
        <w:ind w:left="2007" w:hanging="360"/>
      </w:pPr>
    </w:lvl>
    <w:lvl w:ilvl="2" w:tplc="0422001B">
      <w:start w:val="1"/>
      <w:numFmt w:val="lowerRoman"/>
      <w:lvlText w:val="%3."/>
      <w:lvlJc w:val="right"/>
      <w:pPr>
        <w:ind w:left="2727" w:hanging="180"/>
      </w:pPr>
    </w:lvl>
    <w:lvl w:ilvl="3" w:tplc="0422000F">
      <w:start w:val="1"/>
      <w:numFmt w:val="decimal"/>
      <w:lvlText w:val="%4."/>
      <w:lvlJc w:val="left"/>
      <w:pPr>
        <w:ind w:left="3447" w:hanging="360"/>
      </w:pPr>
    </w:lvl>
    <w:lvl w:ilvl="4" w:tplc="04220019">
      <w:start w:val="1"/>
      <w:numFmt w:val="lowerLetter"/>
      <w:lvlText w:val="%5."/>
      <w:lvlJc w:val="left"/>
      <w:pPr>
        <w:ind w:left="4167" w:hanging="360"/>
      </w:pPr>
    </w:lvl>
    <w:lvl w:ilvl="5" w:tplc="0422001B">
      <w:start w:val="1"/>
      <w:numFmt w:val="lowerRoman"/>
      <w:lvlText w:val="%6."/>
      <w:lvlJc w:val="right"/>
      <w:pPr>
        <w:ind w:left="4887" w:hanging="180"/>
      </w:pPr>
    </w:lvl>
    <w:lvl w:ilvl="6" w:tplc="0422000F">
      <w:start w:val="1"/>
      <w:numFmt w:val="decimal"/>
      <w:lvlText w:val="%7."/>
      <w:lvlJc w:val="left"/>
      <w:pPr>
        <w:ind w:left="5607" w:hanging="360"/>
      </w:pPr>
    </w:lvl>
    <w:lvl w:ilvl="7" w:tplc="04220019">
      <w:start w:val="1"/>
      <w:numFmt w:val="lowerLetter"/>
      <w:lvlText w:val="%8."/>
      <w:lvlJc w:val="left"/>
      <w:pPr>
        <w:ind w:left="6327" w:hanging="360"/>
      </w:pPr>
    </w:lvl>
    <w:lvl w:ilvl="8" w:tplc="0422001B">
      <w:start w:val="1"/>
      <w:numFmt w:val="lowerRoman"/>
      <w:lvlText w:val="%9."/>
      <w:lvlJc w:val="right"/>
      <w:pPr>
        <w:ind w:left="7047" w:hanging="180"/>
      </w:pPr>
    </w:lvl>
  </w:abstractNum>
  <w:abstractNum w:abstractNumId="1" w15:restartNumberingAfterBreak="0">
    <w:nsid w:val="387E6F31"/>
    <w:multiLevelType w:val="multilevel"/>
    <w:tmpl w:val="D0106DA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7C47DC0"/>
    <w:multiLevelType w:val="multilevel"/>
    <w:tmpl w:val="F404EC2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1087070769">
    <w:abstractNumId w:val="1"/>
  </w:num>
  <w:num w:numId="2" w16cid:durableId="4634243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50393494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6007"/>
    <w:rsid w:val="0002184F"/>
    <w:rsid w:val="0003342F"/>
    <w:rsid w:val="000B6CE7"/>
    <w:rsid w:val="00164003"/>
    <w:rsid w:val="0017675D"/>
    <w:rsid w:val="00176967"/>
    <w:rsid w:val="001B620D"/>
    <w:rsid w:val="002369E7"/>
    <w:rsid w:val="002927BC"/>
    <w:rsid w:val="002A023B"/>
    <w:rsid w:val="002B690E"/>
    <w:rsid w:val="00462659"/>
    <w:rsid w:val="004D4A5E"/>
    <w:rsid w:val="00522796"/>
    <w:rsid w:val="005D0D4C"/>
    <w:rsid w:val="006761DF"/>
    <w:rsid w:val="00687125"/>
    <w:rsid w:val="00723841"/>
    <w:rsid w:val="00920556"/>
    <w:rsid w:val="00A23077"/>
    <w:rsid w:val="00AA12FE"/>
    <w:rsid w:val="00B83BB0"/>
    <w:rsid w:val="00DF6007"/>
    <w:rsid w:val="00E31F29"/>
    <w:rsid w:val="00E435A8"/>
    <w:rsid w:val="00E65889"/>
    <w:rsid w:val="00EF319F"/>
    <w:rsid w:val="00F36C60"/>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678E6F"/>
  <w15:chartTrackingRefBased/>
  <w15:docId w15:val="{5B766379-68F5-4406-8C05-ACBEA77CEF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ru-U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DF6007"/>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DF6007"/>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DF6007"/>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DF6007"/>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DF6007"/>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DF6007"/>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DF6007"/>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DF6007"/>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DF6007"/>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F6007"/>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DF6007"/>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DF6007"/>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DF6007"/>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DF6007"/>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DF6007"/>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DF6007"/>
    <w:rPr>
      <w:rFonts w:eastAsiaTheme="majorEastAsia" w:cstheme="majorBidi"/>
      <w:color w:val="595959" w:themeColor="text1" w:themeTint="A6"/>
    </w:rPr>
  </w:style>
  <w:style w:type="character" w:customStyle="1" w:styleId="80">
    <w:name w:val="Заголовок 8 Знак"/>
    <w:basedOn w:val="a0"/>
    <w:link w:val="8"/>
    <w:uiPriority w:val="9"/>
    <w:semiHidden/>
    <w:rsid w:val="00DF6007"/>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DF6007"/>
    <w:rPr>
      <w:rFonts w:eastAsiaTheme="majorEastAsia" w:cstheme="majorBidi"/>
      <w:color w:val="272727" w:themeColor="text1" w:themeTint="D8"/>
    </w:rPr>
  </w:style>
  <w:style w:type="paragraph" w:styleId="a3">
    <w:name w:val="Title"/>
    <w:basedOn w:val="a"/>
    <w:next w:val="a"/>
    <w:link w:val="a4"/>
    <w:uiPriority w:val="10"/>
    <w:qFormat/>
    <w:rsid w:val="00DF600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DF6007"/>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DF6007"/>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DF6007"/>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DF6007"/>
    <w:pPr>
      <w:spacing w:before="160"/>
      <w:jc w:val="center"/>
    </w:pPr>
    <w:rPr>
      <w:i/>
      <w:iCs/>
      <w:color w:val="404040" w:themeColor="text1" w:themeTint="BF"/>
    </w:rPr>
  </w:style>
  <w:style w:type="character" w:customStyle="1" w:styleId="a8">
    <w:name w:val="Цитата Знак"/>
    <w:basedOn w:val="a0"/>
    <w:link w:val="a7"/>
    <w:uiPriority w:val="29"/>
    <w:rsid w:val="00DF6007"/>
    <w:rPr>
      <w:i/>
      <w:iCs/>
      <w:color w:val="404040" w:themeColor="text1" w:themeTint="BF"/>
    </w:rPr>
  </w:style>
  <w:style w:type="paragraph" w:styleId="a9">
    <w:name w:val="List Paragraph"/>
    <w:basedOn w:val="a"/>
    <w:uiPriority w:val="34"/>
    <w:qFormat/>
    <w:rsid w:val="00DF6007"/>
    <w:pPr>
      <w:ind w:left="720"/>
      <w:contextualSpacing/>
    </w:pPr>
  </w:style>
  <w:style w:type="character" w:styleId="aa">
    <w:name w:val="Intense Emphasis"/>
    <w:basedOn w:val="a0"/>
    <w:uiPriority w:val="21"/>
    <w:qFormat/>
    <w:rsid w:val="00DF6007"/>
    <w:rPr>
      <w:i/>
      <w:iCs/>
      <w:color w:val="2F5496" w:themeColor="accent1" w:themeShade="BF"/>
    </w:rPr>
  </w:style>
  <w:style w:type="paragraph" w:styleId="ab">
    <w:name w:val="Intense Quote"/>
    <w:basedOn w:val="a"/>
    <w:next w:val="a"/>
    <w:link w:val="ac"/>
    <w:uiPriority w:val="30"/>
    <w:qFormat/>
    <w:rsid w:val="00DF600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Насичена цитата Знак"/>
    <w:basedOn w:val="a0"/>
    <w:link w:val="ab"/>
    <w:uiPriority w:val="30"/>
    <w:rsid w:val="00DF6007"/>
    <w:rPr>
      <w:i/>
      <w:iCs/>
      <w:color w:val="2F5496" w:themeColor="accent1" w:themeShade="BF"/>
    </w:rPr>
  </w:style>
  <w:style w:type="character" w:styleId="ad">
    <w:name w:val="Intense Reference"/>
    <w:basedOn w:val="a0"/>
    <w:uiPriority w:val="32"/>
    <w:qFormat/>
    <w:rsid w:val="00DF6007"/>
    <w:rPr>
      <w:b/>
      <w:bCs/>
      <w:smallCaps/>
      <w:color w:val="2F5496" w:themeColor="accent1" w:themeShade="BF"/>
      <w:spacing w:val="5"/>
    </w:rPr>
  </w:style>
  <w:style w:type="table" w:styleId="ae">
    <w:name w:val="Table Grid"/>
    <w:basedOn w:val="a1"/>
    <w:uiPriority w:val="39"/>
    <w:rsid w:val="00E31F29"/>
    <w:pPr>
      <w:spacing w:after="0" w:line="240" w:lineRule="auto"/>
    </w:pPr>
    <w:rPr>
      <w:rFonts w:ascii="Times New Roman" w:hAnsi="Times New Roman"/>
      <w:kern w:val="0"/>
      <w:sz w:val="28"/>
      <w:szCs w:val="22"/>
      <w:lang w:val="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ітка таблиці1"/>
    <w:basedOn w:val="a1"/>
    <w:next w:val="ae"/>
    <w:uiPriority w:val="39"/>
    <w:rsid w:val="00687125"/>
    <w:pPr>
      <w:spacing w:after="0" w:line="240" w:lineRule="auto"/>
    </w:pPr>
    <w:rPr>
      <w:rFonts w:ascii="Calibri" w:eastAsia="Calibri" w:hAnsi="Calibri" w:cs="Times New Roman"/>
      <w:lang w:val="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ітка таблиці2"/>
    <w:basedOn w:val="a1"/>
    <w:next w:val="ae"/>
    <w:uiPriority w:val="39"/>
    <w:rsid w:val="00687125"/>
    <w:pPr>
      <w:spacing w:after="0" w:line="240" w:lineRule="auto"/>
    </w:pPr>
    <w:rPr>
      <w:rFonts w:ascii="Calibri" w:eastAsia="Calibri" w:hAnsi="Calibri" w:cs="Times New Roman"/>
      <w:lang w:val="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Сітка таблиці3"/>
    <w:basedOn w:val="a1"/>
    <w:next w:val="ae"/>
    <w:uiPriority w:val="39"/>
    <w:rsid w:val="006761DF"/>
    <w:pPr>
      <w:spacing w:after="0" w:line="240" w:lineRule="auto"/>
    </w:pPr>
    <w:rPr>
      <w:rFonts w:ascii="Calibri" w:eastAsia="Calibri" w:hAnsi="Calibri" w:cs="Times New Roman"/>
      <w:lang w:val="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Сітка таблиці4"/>
    <w:basedOn w:val="a1"/>
    <w:next w:val="ae"/>
    <w:uiPriority w:val="39"/>
    <w:rsid w:val="006761DF"/>
    <w:pPr>
      <w:spacing w:after="0" w:line="240" w:lineRule="auto"/>
    </w:pPr>
    <w:rPr>
      <w:rFonts w:ascii="Calibri" w:eastAsia="Calibri" w:hAnsi="Calibri" w:cs="Times New Roman"/>
      <w:lang w:val="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basedOn w:val="a"/>
    <w:link w:val="af0"/>
    <w:uiPriority w:val="99"/>
    <w:unhideWhenUsed/>
    <w:rsid w:val="001B620D"/>
    <w:pPr>
      <w:tabs>
        <w:tab w:val="center" w:pos="4677"/>
        <w:tab w:val="right" w:pos="9355"/>
      </w:tabs>
      <w:spacing w:after="0" w:line="240" w:lineRule="auto"/>
    </w:pPr>
  </w:style>
  <w:style w:type="character" w:customStyle="1" w:styleId="af0">
    <w:name w:val="Верхній колонтитул Знак"/>
    <w:basedOn w:val="a0"/>
    <w:link w:val="af"/>
    <w:uiPriority w:val="99"/>
    <w:rsid w:val="001B620D"/>
  </w:style>
  <w:style w:type="paragraph" w:styleId="af1">
    <w:name w:val="footer"/>
    <w:basedOn w:val="a"/>
    <w:link w:val="af2"/>
    <w:uiPriority w:val="99"/>
    <w:unhideWhenUsed/>
    <w:rsid w:val="001B620D"/>
    <w:pPr>
      <w:tabs>
        <w:tab w:val="center" w:pos="4677"/>
        <w:tab w:val="right" w:pos="9355"/>
      </w:tabs>
      <w:spacing w:after="0" w:line="240" w:lineRule="auto"/>
    </w:pPr>
  </w:style>
  <w:style w:type="character" w:customStyle="1" w:styleId="af2">
    <w:name w:val="Нижній колонтитул Знак"/>
    <w:basedOn w:val="a0"/>
    <w:link w:val="af1"/>
    <w:uiPriority w:val="99"/>
    <w:rsid w:val="001B62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space.cusu.edu.ua/server/api/core/bitstreams/12805af2-4471-4040-a3a0-e55f9714d664/content" TargetMode="External"/><Relationship Id="rId13" Type="http://schemas.openxmlformats.org/officeDocument/2006/relationships/hyperlink" Target="http://app.nuoua.od.ua/archive/57_2016/7.pdf" TargetMode="External"/><Relationship Id="rId18" Type="http://schemas.openxmlformats.org/officeDocument/2006/relationships/hyperlink" Target="https://doi.org/10.31866/2616-745x.8.2021.249009" TargetMode="External"/><Relationship Id="rId3" Type="http://schemas.openxmlformats.org/officeDocument/2006/relationships/settings" Target="settings.xml"/><Relationship Id="rId21" Type="http://schemas.openxmlformats.org/officeDocument/2006/relationships/hyperlink" Target="https://doi.org/10.32782/2663-6170/2023.34.19" TargetMode="External"/><Relationship Id="rId7" Type="http://schemas.openxmlformats.org/officeDocument/2006/relationships/hyperlink" Target="http://www.irbis-nbuv.gov.ua/cgi-bin/irbis_nbuv/cgiirbis_64.exe?C21COM=2&amp;I21DBN=UJRN&amp;P21DBN=UJRN&amp;IMAGE_FILE_DOWNLOAD=1&amp;Image_file_name=PDF/Nv_2014_10_18.pdf" TargetMode="External"/><Relationship Id="rId12" Type="http://schemas.openxmlformats.org/officeDocument/2006/relationships/hyperlink" Target="https://share.google/mgyLIKOzVSLTze0Xz" TargetMode="External"/><Relationship Id="rId17" Type="http://schemas.openxmlformats.org/officeDocument/2006/relationships/hyperlink" Target="https://doi.org/10.24195/2414-9616.2022.2.63" TargetMode="External"/><Relationship Id="rId2" Type="http://schemas.openxmlformats.org/officeDocument/2006/relationships/styles" Target="styles.xml"/><Relationship Id="rId16" Type="http://schemas.openxmlformats.org/officeDocument/2006/relationships/hyperlink" Target="https://doi.org/10.32782/2663-6170/2020.20.2" TargetMode="External"/><Relationship Id="rId20" Type="http://schemas.openxmlformats.org/officeDocument/2006/relationships/hyperlink" Target="https://doi.org/10.20535/2308-5053.2024.4(64).322729"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library.kubg.edu.ua/id/eprint/46578/1/O_Vyhovska_TPMP.pdf/"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www.info-library.com.ua/books-book-137.html" TargetMode="External"/><Relationship Id="rId23" Type="http://schemas.openxmlformats.org/officeDocument/2006/relationships/fontTable" Target="fontTable.xml"/><Relationship Id="rId10" Type="http://schemas.openxmlformats.org/officeDocument/2006/relationships/hyperlink" Target="https://web.posibnyky.vntu.edu.ua/fmib/13vashenko_politologiya_dlya_vchitelya/191..htm" TargetMode="External"/><Relationship Id="rId19" Type="http://schemas.openxmlformats.org/officeDocument/2006/relationships/hyperlink" Target="http://www.pollawlife.com.ua/2021/03/blog-post_30.html" TargetMode="External"/><Relationship Id="rId4" Type="http://schemas.openxmlformats.org/officeDocument/2006/relationships/webSettings" Target="webSettings.xml"/><Relationship Id="rId9" Type="http://schemas.openxmlformats.org/officeDocument/2006/relationships/hyperlink" Target="https://files01.core.ac.uk/download/pdf/84825417.pdf" TargetMode="External"/><Relationship Id="rId14" Type="http://schemas.openxmlformats.org/officeDocument/2006/relationships/hyperlink" Target="https://doi.org/10.30525/978-9934-26-448-1-28" TargetMode="External"/><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75</Pages>
  <Words>19054</Words>
  <Characters>108614</Characters>
  <Application>Microsoft Office Word</Application>
  <DocSecurity>0</DocSecurity>
  <Lines>905</Lines>
  <Paragraphs>254</Paragraphs>
  <ScaleCrop>false</ScaleCrop>
  <Company/>
  <LinksUpToDate>false</LinksUpToDate>
  <CharactersWithSpaces>127414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Игорь Журба</dc:creator>
  <cp:keywords/>
  <dc:description/>
  <cp:lastModifiedBy>Игорь Журба</cp:lastModifiedBy>
  <cp:revision>10</cp:revision>
  <dcterms:created xsi:type="dcterms:W3CDTF">2026-01-08T12:56:00Z</dcterms:created>
  <dcterms:modified xsi:type="dcterms:W3CDTF">2026-01-08T13:31:00Z</dcterms:modified>
</cp:coreProperties>
</file>