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3D6CB2" w14:textId="77777777" w:rsidR="004F507F" w:rsidRDefault="00A248F8" w:rsidP="00A248F8">
      <w:pPr>
        <w:pStyle w:val="1"/>
        <w:spacing w:before="69" w:line="345" w:lineRule="auto"/>
        <w:ind w:left="1036" w:right="755"/>
      </w:pPr>
      <w:r w:rsidRPr="00A248F8">
        <w:t xml:space="preserve">МІНІСТЕРСТВО ОСВІТИ І НАУКИ </w:t>
      </w:r>
    </w:p>
    <w:p w14:paraId="37E9A75E" w14:textId="535845F5" w:rsidR="00A248F8" w:rsidRPr="00A248F8" w:rsidRDefault="00A248F8" w:rsidP="00D63DD8">
      <w:pPr>
        <w:pStyle w:val="1"/>
        <w:spacing w:before="69" w:line="345" w:lineRule="auto"/>
        <w:ind w:left="1036" w:right="755"/>
        <w:rPr>
          <w:b w:val="0"/>
        </w:rPr>
      </w:pPr>
      <w:r w:rsidRPr="00A248F8">
        <w:t>ДЕРЖАВНИЙ</w:t>
      </w:r>
      <w:r w:rsidR="004F507F">
        <w:t xml:space="preserve"> </w:t>
      </w:r>
      <w:r w:rsidRPr="00A248F8">
        <w:t>ЗАКЛАД</w:t>
      </w:r>
      <w:r w:rsidRPr="00A248F8">
        <w:rPr>
          <w:spacing w:val="-13"/>
        </w:rPr>
        <w:t xml:space="preserve"> </w:t>
      </w:r>
      <w:r w:rsidRPr="00A248F8">
        <w:t>«ЛУГАНСЬКИЙ</w:t>
      </w:r>
      <w:r w:rsidRPr="00A248F8">
        <w:rPr>
          <w:spacing w:val="-12"/>
        </w:rPr>
        <w:t xml:space="preserve"> </w:t>
      </w:r>
      <w:r w:rsidRPr="00A248F8">
        <w:t>НАЦІОНАЛЬНИЙ</w:t>
      </w:r>
      <w:r w:rsidR="00D63DD8">
        <w:t xml:space="preserve"> </w:t>
      </w:r>
      <w:r w:rsidRPr="00A248F8">
        <w:t>УНІВЕРСИТЕТ</w:t>
      </w:r>
      <w:r w:rsidRPr="00A248F8">
        <w:rPr>
          <w:spacing w:val="-9"/>
        </w:rPr>
        <w:t xml:space="preserve"> </w:t>
      </w:r>
      <w:r w:rsidRPr="00A248F8">
        <w:t>ІМЕНІ</w:t>
      </w:r>
      <w:r w:rsidRPr="00A248F8">
        <w:rPr>
          <w:spacing w:val="-4"/>
        </w:rPr>
        <w:t xml:space="preserve"> </w:t>
      </w:r>
      <w:r w:rsidRPr="00A248F8">
        <w:t>ТАРАСА</w:t>
      </w:r>
      <w:r w:rsidRPr="00A248F8">
        <w:rPr>
          <w:spacing w:val="-2"/>
        </w:rPr>
        <w:t xml:space="preserve"> ШЕВЧЕНКА»</w:t>
      </w:r>
    </w:p>
    <w:p w14:paraId="19C6A3C2" w14:textId="77777777" w:rsidR="00A248F8" w:rsidRDefault="00A248F8" w:rsidP="00A248F8">
      <w:pPr>
        <w:pStyle w:val="a9"/>
        <w:spacing w:line="348" w:lineRule="auto"/>
      </w:pPr>
      <w:r w:rsidRPr="00A248F8">
        <w:rPr>
          <w:sz w:val="28"/>
          <w:szCs w:val="28"/>
        </w:rPr>
        <w:t>Навчально-науковий</w:t>
      </w:r>
      <w:r w:rsidRPr="00A248F8">
        <w:rPr>
          <w:spacing w:val="-7"/>
          <w:sz w:val="28"/>
          <w:szCs w:val="28"/>
        </w:rPr>
        <w:t xml:space="preserve"> </w:t>
      </w:r>
      <w:r w:rsidRPr="00A248F8">
        <w:rPr>
          <w:sz w:val="28"/>
          <w:szCs w:val="28"/>
        </w:rPr>
        <w:t>інститут</w:t>
      </w:r>
      <w:r w:rsidRPr="00A248F8">
        <w:rPr>
          <w:spacing w:val="-8"/>
          <w:sz w:val="28"/>
          <w:szCs w:val="28"/>
        </w:rPr>
        <w:t xml:space="preserve"> </w:t>
      </w:r>
      <w:r w:rsidRPr="00A248F8">
        <w:rPr>
          <w:sz w:val="28"/>
          <w:szCs w:val="28"/>
        </w:rPr>
        <w:t>соціальних</w:t>
      </w:r>
      <w:r w:rsidRPr="00A248F8">
        <w:rPr>
          <w:spacing w:val="-6"/>
          <w:sz w:val="28"/>
          <w:szCs w:val="28"/>
        </w:rPr>
        <w:t xml:space="preserve"> </w:t>
      </w:r>
      <w:r w:rsidRPr="00A248F8">
        <w:rPr>
          <w:sz w:val="28"/>
          <w:szCs w:val="28"/>
        </w:rPr>
        <w:t>і</w:t>
      </w:r>
      <w:r w:rsidRPr="00A248F8">
        <w:rPr>
          <w:spacing w:val="-6"/>
          <w:sz w:val="28"/>
          <w:szCs w:val="28"/>
        </w:rPr>
        <w:t xml:space="preserve"> </w:t>
      </w:r>
      <w:r w:rsidRPr="00A248F8">
        <w:rPr>
          <w:sz w:val="28"/>
          <w:szCs w:val="28"/>
        </w:rPr>
        <w:t>гуманітарних</w:t>
      </w:r>
      <w:r>
        <w:rPr>
          <w:spacing w:val="-6"/>
        </w:rPr>
        <w:t xml:space="preserve"> </w:t>
      </w:r>
      <w:r>
        <w:t>наук Кафедра політології і міжнародних відносин</w:t>
      </w:r>
    </w:p>
    <w:p w14:paraId="7484FE73" w14:textId="77777777" w:rsidR="00A248F8" w:rsidRDefault="00A248F8" w:rsidP="00A248F8">
      <w:pPr>
        <w:pStyle w:val="a7"/>
        <w:ind w:left="0"/>
        <w:jc w:val="left"/>
        <w:rPr>
          <w:b/>
          <w:sz w:val="32"/>
        </w:rPr>
      </w:pPr>
    </w:p>
    <w:p w14:paraId="2D226BBA" w14:textId="77777777" w:rsidR="00A248F8" w:rsidRDefault="00A248F8" w:rsidP="00A248F8">
      <w:pPr>
        <w:pStyle w:val="a7"/>
        <w:spacing w:before="194"/>
        <w:ind w:left="0"/>
        <w:jc w:val="left"/>
        <w:rPr>
          <w:b/>
          <w:sz w:val="32"/>
        </w:rPr>
      </w:pPr>
    </w:p>
    <w:p w14:paraId="1C8B926B" w14:textId="748E299B" w:rsidR="00A248F8" w:rsidRDefault="00A248F8" w:rsidP="00A248F8">
      <w:pPr>
        <w:pStyle w:val="1"/>
        <w:spacing w:before="1"/>
        <w:ind w:left="376"/>
      </w:pPr>
      <w:r>
        <w:t>ЗАЛЕВСЬКИЙ ОЛЕКСІЙ ЄЛІЗАРОВИЧ</w:t>
      </w:r>
    </w:p>
    <w:p w14:paraId="317CD02A" w14:textId="77777777" w:rsidR="00A248F8" w:rsidRDefault="00A248F8" w:rsidP="00A248F8">
      <w:pPr>
        <w:pStyle w:val="a7"/>
        <w:spacing w:before="285"/>
        <w:ind w:left="0"/>
        <w:jc w:val="left"/>
        <w:rPr>
          <w:b/>
        </w:rPr>
      </w:pPr>
    </w:p>
    <w:p w14:paraId="26D7AB4F" w14:textId="77777777" w:rsidR="00A248F8" w:rsidRPr="004F507F" w:rsidRDefault="00A248F8" w:rsidP="00A248F8">
      <w:pPr>
        <w:spacing w:before="1" w:line="348" w:lineRule="auto"/>
        <w:ind w:left="1910" w:right="1906"/>
        <w:jc w:val="center"/>
        <w:rPr>
          <w:rFonts w:ascii="Times New Roman" w:hAnsi="Times New Roman" w:cs="Times New Roman"/>
          <w:b/>
          <w:sz w:val="28"/>
          <w:szCs w:val="28"/>
          <w:lang w:val="uk-UA"/>
        </w:rPr>
      </w:pPr>
      <w:r w:rsidRPr="004F507F">
        <w:rPr>
          <w:rFonts w:ascii="Times New Roman" w:hAnsi="Times New Roman" w:cs="Times New Roman"/>
          <w:b/>
          <w:sz w:val="28"/>
          <w:szCs w:val="28"/>
          <w:lang w:val="uk-UA"/>
        </w:rPr>
        <w:t>Опозиція в сучасній Україні</w:t>
      </w:r>
    </w:p>
    <w:p w14:paraId="1C4AA511" w14:textId="1887E1F8" w:rsidR="00A248F8" w:rsidRPr="004F507F" w:rsidRDefault="00A248F8" w:rsidP="00A248F8">
      <w:pPr>
        <w:spacing w:before="1" w:line="348" w:lineRule="auto"/>
        <w:ind w:left="1910" w:right="1906"/>
        <w:jc w:val="center"/>
        <w:rPr>
          <w:rFonts w:ascii="Times New Roman" w:hAnsi="Times New Roman" w:cs="Times New Roman"/>
          <w:b/>
          <w:sz w:val="28"/>
          <w:szCs w:val="28"/>
        </w:rPr>
      </w:pPr>
      <w:r w:rsidRPr="004F507F">
        <w:rPr>
          <w:rFonts w:ascii="Times New Roman" w:hAnsi="Times New Roman" w:cs="Times New Roman"/>
          <w:b/>
          <w:sz w:val="28"/>
          <w:szCs w:val="28"/>
        </w:rPr>
        <w:t xml:space="preserve"> (Opposition in modern Ukraine)</w:t>
      </w:r>
    </w:p>
    <w:p w14:paraId="76AB2D6D" w14:textId="77777777" w:rsidR="00A248F8" w:rsidRPr="004F507F" w:rsidRDefault="00A248F8" w:rsidP="00A248F8">
      <w:pPr>
        <w:pStyle w:val="a7"/>
        <w:spacing w:before="139"/>
        <w:ind w:left="0"/>
        <w:jc w:val="left"/>
        <w:rPr>
          <w:b/>
        </w:rPr>
      </w:pPr>
    </w:p>
    <w:p w14:paraId="1FFAADE7" w14:textId="77777777" w:rsidR="00A248F8" w:rsidRPr="004F507F" w:rsidRDefault="00A248F8" w:rsidP="00A248F8">
      <w:pPr>
        <w:ind w:left="374" w:right="376"/>
        <w:jc w:val="center"/>
        <w:rPr>
          <w:rFonts w:ascii="Times New Roman" w:hAnsi="Times New Roman" w:cs="Times New Roman"/>
          <w:b/>
          <w:sz w:val="28"/>
          <w:szCs w:val="28"/>
        </w:rPr>
      </w:pPr>
      <w:r w:rsidRPr="004F507F">
        <w:rPr>
          <w:rFonts w:ascii="Times New Roman" w:hAnsi="Times New Roman" w:cs="Times New Roman"/>
          <w:b/>
          <w:sz w:val="28"/>
          <w:szCs w:val="28"/>
        </w:rPr>
        <w:t>Кваліфікаційна</w:t>
      </w:r>
      <w:r w:rsidRPr="004F507F">
        <w:rPr>
          <w:rFonts w:ascii="Times New Roman" w:hAnsi="Times New Roman" w:cs="Times New Roman"/>
          <w:b/>
          <w:spacing w:val="-7"/>
          <w:sz w:val="28"/>
          <w:szCs w:val="28"/>
        </w:rPr>
        <w:t xml:space="preserve"> </w:t>
      </w:r>
      <w:r w:rsidRPr="004F507F">
        <w:rPr>
          <w:rFonts w:ascii="Times New Roman" w:hAnsi="Times New Roman" w:cs="Times New Roman"/>
          <w:b/>
          <w:sz w:val="28"/>
          <w:szCs w:val="28"/>
        </w:rPr>
        <w:t>робота</w:t>
      </w:r>
      <w:r w:rsidRPr="004F507F">
        <w:rPr>
          <w:rFonts w:ascii="Times New Roman" w:hAnsi="Times New Roman" w:cs="Times New Roman"/>
          <w:b/>
          <w:spacing w:val="-7"/>
          <w:sz w:val="28"/>
          <w:szCs w:val="28"/>
        </w:rPr>
        <w:t xml:space="preserve"> </w:t>
      </w:r>
      <w:r w:rsidRPr="004F507F">
        <w:rPr>
          <w:rFonts w:ascii="Times New Roman" w:hAnsi="Times New Roman" w:cs="Times New Roman"/>
          <w:b/>
          <w:spacing w:val="-2"/>
          <w:sz w:val="28"/>
          <w:szCs w:val="28"/>
        </w:rPr>
        <w:t>магістра</w:t>
      </w:r>
    </w:p>
    <w:p w14:paraId="0DB46D7A" w14:textId="77777777" w:rsidR="00D63DD8" w:rsidRDefault="00A248F8" w:rsidP="00A248F8">
      <w:pPr>
        <w:spacing w:before="144" w:line="345" w:lineRule="auto"/>
        <w:ind w:left="1897" w:right="1906"/>
        <w:jc w:val="center"/>
        <w:rPr>
          <w:rFonts w:ascii="Times New Roman" w:hAnsi="Times New Roman" w:cs="Times New Roman"/>
          <w:b/>
          <w:sz w:val="28"/>
          <w:szCs w:val="28"/>
        </w:rPr>
      </w:pPr>
      <w:r w:rsidRPr="004F507F">
        <w:rPr>
          <w:rFonts w:ascii="Times New Roman" w:hAnsi="Times New Roman" w:cs="Times New Roman"/>
          <w:b/>
          <w:sz w:val="28"/>
          <w:szCs w:val="28"/>
        </w:rPr>
        <w:t>освітньої</w:t>
      </w:r>
      <w:r w:rsidRPr="004F507F">
        <w:rPr>
          <w:rFonts w:ascii="Times New Roman" w:hAnsi="Times New Roman" w:cs="Times New Roman"/>
          <w:b/>
          <w:spacing w:val="-13"/>
          <w:sz w:val="28"/>
          <w:szCs w:val="28"/>
        </w:rPr>
        <w:t xml:space="preserve"> </w:t>
      </w:r>
      <w:r w:rsidRPr="004F507F">
        <w:rPr>
          <w:rFonts w:ascii="Times New Roman" w:hAnsi="Times New Roman" w:cs="Times New Roman"/>
          <w:b/>
          <w:sz w:val="28"/>
          <w:szCs w:val="28"/>
        </w:rPr>
        <w:t>програми</w:t>
      </w:r>
      <w:r w:rsidRPr="004F507F">
        <w:rPr>
          <w:rFonts w:ascii="Times New Roman" w:hAnsi="Times New Roman" w:cs="Times New Roman"/>
          <w:b/>
          <w:spacing w:val="-16"/>
          <w:sz w:val="28"/>
          <w:szCs w:val="28"/>
        </w:rPr>
        <w:t xml:space="preserve"> </w:t>
      </w:r>
      <w:r w:rsidRPr="004F507F">
        <w:rPr>
          <w:rFonts w:ascii="Times New Roman" w:hAnsi="Times New Roman" w:cs="Times New Roman"/>
          <w:b/>
          <w:sz w:val="28"/>
          <w:szCs w:val="28"/>
        </w:rPr>
        <w:t>«Прикладна</w:t>
      </w:r>
      <w:r w:rsidRPr="004F507F">
        <w:rPr>
          <w:rFonts w:ascii="Times New Roman" w:hAnsi="Times New Roman" w:cs="Times New Roman"/>
          <w:b/>
          <w:spacing w:val="-11"/>
          <w:sz w:val="28"/>
          <w:szCs w:val="28"/>
        </w:rPr>
        <w:t xml:space="preserve"> </w:t>
      </w:r>
      <w:r w:rsidRPr="004F507F">
        <w:rPr>
          <w:rFonts w:ascii="Times New Roman" w:hAnsi="Times New Roman" w:cs="Times New Roman"/>
          <w:b/>
          <w:sz w:val="28"/>
          <w:szCs w:val="28"/>
        </w:rPr>
        <w:t xml:space="preserve">політологія» </w:t>
      </w:r>
    </w:p>
    <w:p w14:paraId="6EEE41C5" w14:textId="197DE484" w:rsidR="00A248F8" w:rsidRPr="004F507F" w:rsidRDefault="00A248F8" w:rsidP="00A248F8">
      <w:pPr>
        <w:spacing w:before="144" w:line="345" w:lineRule="auto"/>
        <w:ind w:left="1897" w:right="1906"/>
        <w:jc w:val="center"/>
        <w:rPr>
          <w:rFonts w:ascii="Times New Roman" w:hAnsi="Times New Roman" w:cs="Times New Roman"/>
          <w:b/>
          <w:sz w:val="28"/>
          <w:szCs w:val="28"/>
        </w:rPr>
      </w:pPr>
      <w:r w:rsidRPr="004F507F">
        <w:rPr>
          <w:rFonts w:ascii="Times New Roman" w:hAnsi="Times New Roman" w:cs="Times New Roman"/>
          <w:b/>
          <w:sz w:val="28"/>
          <w:szCs w:val="28"/>
        </w:rPr>
        <w:t>052 «Політологія»</w:t>
      </w:r>
    </w:p>
    <w:p w14:paraId="455E0E03" w14:textId="77777777" w:rsidR="00A248F8" w:rsidRPr="004F507F" w:rsidRDefault="00A248F8" w:rsidP="00A248F8">
      <w:pPr>
        <w:pStyle w:val="a7"/>
        <w:ind w:left="0"/>
        <w:jc w:val="left"/>
        <w:rPr>
          <w:b/>
        </w:rPr>
      </w:pPr>
    </w:p>
    <w:p w14:paraId="44397694" w14:textId="77777777" w:rsidR="00A248F8" w:rsidRPr="004F507F" w:rsidRDefault="00A248F8" w:rsidP="00A248F8">
      <w:pPr>
        <w:spacing w:before="1"/>
        <w:ind w:left="140"/>
        <w:rPr>
          <w:rFonts w:ascii="Times New Roman" w:hAnsi="Times New Roman" w:cs="Times New Roman"/>
          <w:b/>
          <w:sz w:val="28"/>
          <w:szCs w:val="28"/>
        </w:rPr>
      </w:pPr>
      <w:r w:rsidRPr="004F507F">
        <w:rPr>
          <w:rFonts w:ascii="Times New Roman" w:hAnsi="Times New Roman" w:cs="Times New Roman"/>
          <w:b/>
          <w:sz w:val="28"/>
          <w:szCs w:val="28"/>
        </w:rPr>
        <w:t>Особистий</w:t>
      </w:r>
      <w:r w:rsidRPr="004F507F">
        <w:rPr>
          <w:rFonts w:ascii="Times New Roman" w:hAnsi="Times New Roman" w:cs="Times New Roman"/>
          <w:b/>
          <w:spacing w:val="-9"/>
          <w:sz w:val="28"/>
          <w:szCs w:val="28"/>
        </w:rPr>
        <w:t xml:space="preserve"> </w:t>
      </w:r>
      <w:r w:rsidRPr="004F507F">
        <w:rPr>
          <w:rFonts w:ascii="Times New Roman" w:hAnsi="Times New Roman" w:cs="Times New Roman"/>
          <w:b/>
          <w:sz w:val="28"/>
          <w:szCs w:val="28"/>
        </w:rPr>
        <w:t>підпис</w:t>
      </w:r>
      <w:r w:rsidRPr="004F507F">
        <w:rPr>
          <w:rFonts w:ascii="Times New Roman" w:hAnsi="Times New Roman" w:cs="Times New Roman"/>
          <w:b/>
          <w:spacing w:val="-4"/>
          <w:sz w:val="28"/>
          <w:szCs w:val="28"/>
        </w:rPr>
        <w:t xml:space="preserve"> </w:t>
      </w:r>
      <w:r w:rsidRPr="004F507F">
        <w:rPr>
          <w:rFonts w:ascii="Times New Roman" w:hAnsi="Times New Roman" w:cs="Times New Roman"/>
          <w:b/>
          <w:spacing w:val="-10"/>
          <w:sz w:val="28"/>
          <w:szCs w:val="28"/>
        </w:rPr>
        <w:t>–</w:t>
      </w:r>
    </w:p>
    <w:p w14:paraId="6B86DD0F" w14:textId="77777777" w:rsidR="00A248F8" w:rsidRPr="004F507F" w:rsidRDefault="00A248F8" w:rsidP="00A248F8">
      <w:pPr>
        <w:pStyle w:val="a7"/>
        <w:ind w:left="0"/>
        <w:jc w:val="left"/>
        <w:rPr>
          <w:b/>
        </w:rPr>
      </w:pPr>
    </w:p>
    <w:p w14:paraId="2FDB8BBA" w14:textId="77777777" w:rsidR="00A248F8" w:rsidRPr="004F507F" w:rsidRDefault="00A248F8" w:rsidP="00A248F8">
      <w:pPr>
        <w:pStyle w:val="a7"/>
        <w:spacing w:before="23"/>
        <w:ind w:left="0"/>
        <w:jc w:val="left"/>
        <w:rPr>
          <w:b/>
        </w:rPr>
      </w:pPr>
    </w:p>
    <w:p w14:paraId="148C1B0A" w14:textId="5A2484E7" w:rsidR="00A248F8" w:rsidRPr="004F507F" w:rsidRDefault="00A248F8" w:rsidP="00A248F8">
      <w:pPr>
        <w:tabs>
          <w:tab w:val="left" w:pos="4582"/>
        </w:tabs>
        <w:ind w:left="140"/>
        <w:rPr>
          <w:rFonts w:ascii="Times New Roman" w:hAnsi="Times New Roman" w:cs="Times New Roman"/>
          <w:b/>
          <w:sz w:val="28"/>
          <w:szCs w:val="28"/>
        </w:rPr>
      </w:pPr>
      <w:r w:rsidRPr="004F507F">
        <w:rPr>
          <w:rFonts w:ascii="Times New Roman" w:hAnsi="Times New Roman" w:cs="Times New Roman"/>
          <w:b/>
          <w:sz w:val="28"/>
          <w:szCs w:val="28"/>
        </w:rPr>
        <w:t>Науковий керівник –</w:t>
      </w:r>
      <w:r w:rsidRPr="004F507F">
        <w:rPr>
          <w:rFonts w:ascii="Times New Roman" w:hAnsi="Times New Roman" w:cs="Times New Roman"/>
          <w:b/>
          <w:spacing w:val="40"/>
          <w:sz w:val="28"/>
          <w:szCs w:val="28"/>
        </w:rPr>
        <w:t xml:space="preserve"> </w:t>
      </w:r>
      <w:r w:rsidRPr="004F507F">
        <w:rPr>
          <w:rFonts w:ascii="Times New Roman" w:hAnsi="Times New Roman" w:cs="Times New Roman"/>
          <w:sz w:val="28"/>
          <w:szCs w:val="28"/>
        </w:rPr>
        <w:tab/>
      </w:r>
      <w:r w:rsidRPr="004F507F">
        <w:rPr>
          <w:rFonts w:ascii="Times New Roman" w:hAnsi="Times New Roman" w:cs="Times New Roman"/>
          <w:b/>
          <w:sz w:val="28"/>
          <w:szCs w:val="28"/>
        </w:rPr>
        <w:t>к.пол.н.,</w:t>
      </w:r>
      <w:r w:rsidRPr="004F507F">
        <w:rPr>
          <w:rFonts w:ascii="Times New Roman" w:hAnsi="Times New Roman" w:cs="Times New Roman"/>
          <w:b/>
          <w:spacing w:val="-7"/>
          <w:sz w:val="28"/>
          <w:szCs w:val="28"/>
        </w:rPr>
        <w:t xml:space="preserve"> </w:t>
      </w:r>
      <w:r w:rsidRPr="004F507F">
        <w:rPr>
          <w:rFonts w:ascii="Times New Roman" w:hAnsi="Times New Roman" w:cs="Times New Roman"/>
          <w:b/>
          <w:spacing w:val="-2"/>
          <w:sz w:val="28"/>
          <w:szCs w:val="28"/>
        </w:rPr>
        <w:t>доцент</w:t>
      </w:r>
    </w:p>
    <w:p w14:paraId="5DF61883" w14:textId="3A57504B" w:rsidR="00A248F8" w:rsidRPr="004F507F" w:rsidRDefault="004F507F" w:rsidP="00A248F8">
      <w:pPr>
        <w:spacing w:before="148"/>
        <w:ind w:left="4552"/>
        <w:rPr>
          <w:rFonts w:ascii="Times New Roman" w:hAnsi="Times New Roman" w:cs="Times New Roman"/>
          <w:b/>
          <w:sz w:val="28"/>
          <w:szCs w:val="28"/>
          <w:lang w:val="uk-UA"/>
        </w:rPr>
      </w:pPr>
      <w:r w:rsidRPr="004F507F">
        <w:rPr>
          <w:rFonts w:ascii="Times New Roman" w:hAnsi="Times New Roman" w:cs="Times New Roman"/>
          <w:b/>
          <w:sz w:val="28"/>
          <w:szCs w:val="28"/>
          <w:lang w:val="ru-RU"/>
        </w:rPr>
        <w:t>Меженська Олена Володимирівна</w:t>
      </w:r>
    </w:p>
    <w:p w14:paraId="26AC8E2B" w14:textId="77777777" w:rsidR="00A248F8" w:rsidRPr="004F507F" w:rsidRDefault="00A248F8" w:rsidP="00A248F8">
      <w:pPr>
        <w:pStyle w:val="a7"/>
        <w:spacing w:before="21"/>
        <w:ind w:left="0"/>
        <w:jc w:val="left"/>
        <w:rPr>
          <w:b/>
        </w:rPr>
      </w:pPr>
    </w:p>
    <w:p w14:paraId="44D6D2C6" w14:textId="77777777" w:rsidR="00A248F8" w:rsidRPr="004F507F" w:rsidRDefault="00A248F8" w:rsidP="00A248F8">
      <w:pPr>
        <w:tabs>
          <w:tab w:val="left" w:pos="2467"/>
          <w:tab w:val="left" w:pos="4512"/>
        </w:tabs>
        <w:ind w:left="140"/>
        <w:rPr>
          <w:rFonts w:ascii="Times New Roman" w:hAnsi="Times New Roman" w:cs="Times New Roman"/>
          <w:b/>
          <w:sz w:val="28"/>
          <w:szCs w:val="28"/>
        </w:rPr>
      </w:pPr>
      <w:r w:rsidRPr="004F507F">
        <w:rPr>
          <w:rFonts w:ascii="Times New Roman" w:hAnsi="Times New Roman" w:cs="Times New Roman"/>
          <w:b/>
          <w:sz w:val="28"/>
          <w:szCs w:val="28"/>
        </w:rPr>
        <w:t>Зав.</w:t>
      </w:r>
      <w:r w:rsidRPr="004F507F">
        <w:rPr>
          <w:rFonts w:ascii="Times New Roman" w:hAnsi="Times New Roman" w:cs="Times New Roman"/>
          <w:b/>
          <w:spacing w:val="-4"/>
          <w:sz w:val="28"/>
          <w:szCs w:val="28"/>
        </w:rPr>
        <w:t xml:space="preserve"> </w:t>
      </w:r>
      <w:r w:rsidRPr="004F507F">
        <w:rPr>
          <w:rFonts w:ascii="Times New Roman" w:hAnsi="Times New Roman" w:cs="Times New Roman"/>
          <w:b/>
          <w:sz w:val="28"/>
          <w:szCs w:val="28"/>
        </w:rPr>
        <w:t>кафедри</w:t>
      </w:r>
      <w:r w:rsidRPr="004F507F">
        <w:rPr>
          <w:rFonts w:ascii="Times New Roman" w:hAnsi="Times New Roman" w:cs="Times New Roman"/>
          <w:b/>
          <w:spacing w:val="-3"/>
          <w:sz w:val="28"/>
          <w:szCs w:val="28"/>
        </w:rPr>
        <w:t xml:space="preserve"> </w:t>
      </w:r>
      <w:r w:rsidRPr="004F507F">
        <w:rPr>
          <w:rFonts w:ascii="Times New Roman" w:hAnsi="Times New Roman" w:cs="Times New Roman"/>
          <w:b/>
          <w:spacing w:val="-10"/>
          <w:sz w:val="28"/>
          <w:szCs w:val="28"/>
        </w:rPr>
        <w:t>–</w:t>
      </w:r>
      <w:r w:rsidRPr="004F507F">
        <w:rPr>
          <w:rFonts w:ascii="Times New Roman" w:hAnsi="Times New Roman" w:cs="Times New Roman"/>
          <w:b/>
          <w:sz w:val="28"/>
          <w:szCs w:val="28"/>
        </w:rPr>
        <w:tab/>
      </w:r>
      <w:r w:rsidRPr="004F507F">
        <w:rPr>
          <w:rFonts w:ascii="Times New Roman" w:hAnsi="Times New Roman" w:cs="Times New Roman"/>
          <w:b/>
          <w:noProof/>
          <w:position w:val="2"/>
          <w:sz w:val="28"/>
          <w:szCs w:val="28"/>
          <w:lang w:val="en-US"/>
        </w:rPr>
        <w:drawing>
          <wp:inline distT="0" distB="0" distL="0" distR="0" wp14:anchorId="6413C059" wp14:editId="64C70440">
            <wp:extent cx="650172" cy="210265"/>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650172" cy="210265"/>
                    </a:xfrm>
                    <a:prstGeom prst="rect">
                      <a:avLst/>
                    </a:prstGeom>
                  </pic:spPr>
                </pic:pic>
              </a:graphicData>
            </a:graphic>
          </wp:inline>
        </w:drawing>
      </w:r>
      <w:r w:rsidRPr="004F507F">
        <w:rPr>
          <w:rFonts w:ascii="Times New Roman" w:hAnsi="Times New Roman" w:cs="Times New Roman"/>
          <w:sz w:val="28"/>
          <w:szCs w:val="28"/>
        </w:rPr>
        <w:tab/>
      </w:r>
      <w:r w:rsidRPr="004F507F">
        <w:rPr>
          <w:rFonts w:ascii="Times New Roman" w:hAnsi="Times New Roman" w:cs="Times New Roman"/>
          <w:b/>
          <w:sz w:val="28"/>
          <w:szCs w:val="28"/>
        </w:rPr>
        <w:t>к.пол.н.,</w:t>
      </w:r>
      <w:r w:rsidRPr="004F507F">
        <w:rPr>
          <w:rFonts w:ascii="Times New Roman" w:hAnsi="Times New Roman" w:cs="Times New Roman"/>
          <w:b/>
          <w:spacing w:val="-7"/>
          <w:sz w:val="28"/>
          <w:szCs w:val="28"/>
        </w:rPr>
        <w:t xml:space="preserve"> </w:t>
      </w:r>
      <w:r w:rsidRPr="004F507F">
        <w:rPr>
          <w:rFonts w:ascii="Times New Roman" w:hAnsi="Times New Roman" w:cs="Times New Roman"/>
          <w:b/>
          <w:spacing w:val="-2"/>
          <w:sz w:val="28"/>
          <w:szCs w:val="28"/>
        </w:rPr>
        <w:t>доцент</w:t>
      </w:r>
    </w:p>
    <w:p w14:paraId="64586B2A" w14:textId="31DA42CD" w:rsidR="00A248F8" w:rsidRPr="004F507F" w:rsidRDefault="00A248F8" w:rsidP="00A248F8">
      <w:pPr>
        <w:spacing w:before="143"/>
        <w:ind w:left="4482"/>
        <w:rPr>
          <w:rFonts w:ascii="Times New Roman" w:hAnsi="Times New Roman" w:cs="Times New Roman"/>
          <w:b/>
          <w:sz w:val="28"/>
          <w:szCs w:val="28"/>
          <w:lang w:val="uk-UA"/>
        </w:rPr>
      </w:pPr>
      <w:r w:rsidRPr="004F507F">
        <w:rPr>
          <w:rFonts w:ascii="Times New Roman" w:hAnsi="Times New Roman" w:cs="Times New Roman"/>
          <w:b/>
          <w:sz w:val="28"/>
          <w:szCs w:val="28"/>
        </w:rPr>
        <w:t>Новоскольцева</w:t>
      </w:r>
      <w:r w:rsidRPr="004F507F">
        <w:rPr>
          <w:rFonts w:ascii="Times New Roman" w:hAnsi="Times New Roman" w:cs="Times New Roman"/>
          <w:b/>
          <w:spacing w:val="-6"/>
          <w:sz w:val="28"/>
          <w:szCs w:val="28"/>
        </w:rPr>
        <w:t xml:space="preserve"> </w:t>
      </w:r>
      <w:r w:rsidRPr="004F507F">
        <w:rPr>
          <w:rFonts w:ascii="Times New Roman" w:hAnsi="Times New Roman" w:cs="Times New Roman"/>
          <w:b/>
          <w:sz w:val="28"/>
          <w:szCs w:val="28"/>
        </w:rPr>
        <w:t>Людмила</w:t>
      </w:r>
      <w:r w:rsidRPr="004F507F">
        <w:rPr>
          <w:rFonts w:ascii="Times New Roman" w:hAnsi="Times New Roman" w:cs="Times New Roman"/>
          <w:b/>
          <w:spacing w:val="-6"/>
          <w:sz w:val="28"/>
          <w:szCs w:val="28"/>
        </w:rPr>
        <w:t xml:space="preserve"> </w:t>
      </w:r>
      <w:r w:rsidRPr="004F507F">
        <w:rPr>
          <w:rFonts w:ascii="Times New Roman" w:hAnsi="Times New Roman" w:cs="Times New Roman"/>
          <w:b/>
          <w:spacing w:val="-2"/>
          <w:sz w:val="28"/>
          <w:szCs w:val="28"/>
        </w:rPr>
        <w:t>Олександрівн</w:t>
      </w:r>
      <w:r w:rsidRPr="004F507F">
        <w:rPr>
          <w:rFonts w:ascii="Times New Roman" w:hAnsi="Times New Roman" w:cs="Times New Roman"/>
          <w:b/>
          <w:spacing w:val="-2"/>
          <w:sz w:val="28"/>
          <w:szCs w:val="28"/>
          <w:lang w:val="uk-UA"/>
        </w:rPr>
        <w:t>а</w:t>
      </w:r>
    </w:p>
    <w:p w14:paraId="2F140419" w14:textId="77777777" w:rsidR="00A248F8" w:rsidRPr="004F507F" w:rsidRDefault="00A248F8" w:rsidP="00A248F8">
      <w:pPr>
        <w:pStyle w:val="a7"/>
        <w:ind w:left="0"/>
        <w:jc w:val="left"/>
        <w:rPr>
          <w:b/>
        </w:rPr>
      </w:pPr>
    </w:p>
    <w:p w14:paraId="14451091" w14:textId="77777777" w:rsidR="004F507F" w:rsidRPr="004F507F" w:rsidRDefault="004F507F" w:rsidP="00A248F8">
      <w:pPr>
        <w:pStyle w:val="a7"/>
        <w:spacing w:before="251"/>
        <w:ind w:left="0"/>
        <w:jc w:val="left"/>
        <w:rPr>
          <w:b/>
        </w:rPr>
      </w:pPr>
    </w:p>
    <w:p w14:paraId="1F393981" w14:textId="68B55087" w:rsidR="00A248F8" w:rsidRDefault="00A248F8" w:rsidP="00A248F8">
      <w:pPr>
        <w:pStyle w:val="1"/>
        <w:ind w:left="3" w:right="379"/>
        <w:rPr>
          <w:spacing w:val="-4"/>
        </w:rPr>
      </w:pPr>
      <w:r>
        <w:t>ПОЛТАВА</w:t>
      </w:r>
      <w:r>
        <w:rPr>
          <w:spacing w:val="-2"/>
        </w:rPr>
        <w:t xml:space="preserve"> </w:t>
      </w:r>
      <w:r>
        <w:t>–</w:t>
      </w:r>
      <w:r>
        <w:rPr>
          <w:spacing w:val="-1"/>
        </w:rPr>
        <w:t xml:space="preserve"> </w:t>
      </w:r>
      <w:r>
        <w:rPr>
          <w:spacing w:val="-4"/>
        </w:rPr>
        <w:t>2025</w:t>
      </w:r>
    </w:p>
    <w:p w14:paraId="0EDF49D3" w14:textId="5BF2AC06" w:rsidR="004F507F" w:rsidRDefault="004F507F" w:rsidP="00A248F8">
      <w:pPr>
        <w:pStyle w:val="1"/>
        <w:ind w:left="3" w:right="379"/>
        <w:rPr>
          <w:spacing w:val="-4"/>
        </w:rPr>
      </w:pPr>
    </w:p>
    <w:p w14:paraId="6203E5B5" w14:textId="0FE995FC" w:rsidR="001E472C" w:rsidRPr="00A248F8" w:rsidRDefault="001E472C" w:rsidP="004F507F">
      <w:pPr>
        <w:spacing w:after="0" w:line="360" w:lineRule="auto"/>
        <w:jc w:val="center"/>
        <w:rPr>
          <w:rFonts w:ascii="Times New Roman" w:eastAsia="Times New Roman" w:hAnsi="Times New Roman" w:cs="Times New Roman"/>
          <w:b/>
          <w:bCs/>
          <w:sz w:val="28"/>
          <w:szCs w:val="28"/>
          <w:lang w:val="uk-UA" w:eastAsia="ru-UA"/>
        </w:rPr>
      </w:pPr>
      <w:bookmarkStart w:id="0" w:name="_GoBack"/>
      <w:bookmarkEnd w:id="0"/>
      <w:r w:rsidRPr="00A248F8">
        <w:rPr>
          <w:rFonts w:ascii="Times New Roman" w:eastAsia="Times New Roman" w:hAnsi="Times New Roman" w:cs="Times New Roman"/>
          <w:b/>
          <w:bCs/>
          <w:sz w:val="28"/>
          <w:szCs w:val="28"/>
          <w:lang w:val="uk-UA" w:eastAsia="ru-UA"/>
        </w:rPr>
        <w:t>АННОТАЦІЯ</w:t>
      </w:r>
    </w:p>
    <w:p w14:paraId="2F5672F9" w14:textId="03E1DE47" w:rsidR="001E472C" w:rsidRPr="00A248F8" w:rsidRDefault="001E472C" w:rsidP="00A248F8">
      <w:pPr>
        <w:spacing w:after="0"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val="uk-UA" w:eastAsia="ru-UA"/>
        </w:rPr>
        <w:t>Магістерську роботу присвячено комплексному міждисциплінарному дослідженню феномену політичної опозиції в сучасній Україні, зокрема її впливу на формування та зміцнення демократичних інституцій, розвиток політичної конкуренції, удосконалення виборчої системи та забезпечення балансу владних повноважень. Особливу увагу приділено вивченню генези опозиційних рухів і партій, що виникли у період після проголошення незалежності, а також їхній трансформації під впливом суспільно-політичних, економічних та міжнародних чинників.</w:t>
      </w:r>
    </w:p>
    <w:p w14:paraId="79211E95" w14:textId="679C4106" w:rsidR="001E472C" w:rsidRPr="00A248F8" w:rsidRDefault="001E472C" w:rsidP="00A248F8">
      <w:pPr>
        <w:spacing w:after="0"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val="uk-UA" w:eastAsia="ru-UA"/>
        </w:rPr>
        <w:t>У роботі проаналізовано історичні передумови становлення опозиційних сил, визначено етапи еволюції їхньої ролі у формуванні політичного порядку денного та механізмів стримувань і противаг. Розглянуто, як опозиція виступає інструментом впливу на органи державної влади, сприяючи підвищенню підзвітності еліт та прозорості ухвалення рішень.</w:t>
      </w:r>
      <w:r w:rsidR="00B94B10" w:rsidRPr="00A248F8">
        <w:rPr>
          <w:rFonts w:ascii="Times New Roman" w:eastAsia="Times New Roman" w:hAnsi="Times New Roman" w:cs="Times New Roman"/>
          <w:sz w:val="28"/>
          <w:szCs w:val="28"/>
          <w:lang w:val="uk-UA" w:eastAsia="ru-UA"/>
        </w:rPr>
        <w:t xml:space="preserve"> Також враховано</w:t>
      </w:r>
      <w:r w:rsidRPr="00A248F8">
        <w:rPr>
          <w:rFonts w:ascii="Times New Roman" w:eastAsia="Times New Roman" w:hAnsi="Times New Roman" w:cs="Times New Roman"/>
          <w:sz w:val="28"/>
          <w:szCs w:val="28"/>
          <w:lang w:val="uk-UA" w:eastAsia="ru-UA"/>
        </w:rPr>
        <w:t xml:space="preserve"> регіональні відмінності, особливості партійної системи, взаємодію з громадянським суспільством та засобами масової інформації, а також вплив міжнародних організацій і зовнішньополітичних акторів на демократичні перетворення.</w:t>
      </w:r>
    </w:p>
    <w:p w14:paraId="220FA8C6" w14:textId="24491C55" w:rsidR="001E472C" w:rsidRPr="00A248F8" w:rsidRDefault="001E472C" w:rsidP="00A248F8">
      <w:pPr>
        <w:spacing w:after="0"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val="uk-UA" w:eastAsia="ru-UA"/>
        </w:rPr>
        <w:t>Методологічну основу дослідження становить поєднання інституційного аналізу, порівняльної політології, кейс-стаді окремих політичних сил, а також контент-аналіз офіційних документів, програм, виступів лідерів опозиційних партій та експертних оцінок. На підставі теоретичних моделей та порівняння із досвідом інших постсоціалістичних держав і зрілих демократичних режимів ідентифіковано типові риси опозиційних структур, умови їх ефективного функціонування, роль у формуванні громадської думки, активізації політичної участі та розвитку громадянського суспільства.</w:t>
      </w:r>
    </w:p>
    <w:p w14:paraId="78857D55" w14:textId="77777777" w:rsidR="001E472C" w:rsidRPr="00A248F8" w:rsidRDefault="001E472C" w:rsidP="00A248F8">
      <w:pPr>
        <w:spacing w:after="0"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val="uk-UA" w:eastAsia="ru-UA"/>
        </w:rPr>
        <w:t xml:space="preserve">Результати дослідження можуть стати концептуальною основою для вироблення стратегічних рекомендацій, спрямованих на вдосконалення політичних процедур, розширення можливостей для конструктивного діалогу </w:t>
      </w:r>
      <w:r w:rsidRPr="00A248F8">
        <w:rPr>
          <w:rFonts w:ascii="Times New Roman" w:eastAsia="Times New Roman" w:hAnsi="Times New Roman" w:cs="Times New Roman"/>
          <w:sz w:val="28"/>
          <w:szCs w:val="28"/>
          <w:lang w:val="uk-UA" w:eastAsia="ru-UA"/>
        </w:rPr>
        <w:lastRenderedPageBreak/>
        <w:t>між владою та опозицією, а також посилення інституційної спроможності демократичних механізмів в Україні. Практична цінність отриманих висновків полягає у можливості їх застосування під час реформування політичної системи, посиленні ролі громадянського суспільства у контролі за владою та підвищенні рівня демократичної зрілості держави. Робота може бути корисною як для науковців-політологів, так і для широкого кола експертів, політиків, журналістів, громадських діячів та всіх зацікавлених у поглибленому розумінні процесів становлення та функціонування політичної опозиції в сучасній Україні.</w:t>
      </w:r>
    </w:p>
    <w:p w14:paraId="6045FBCD" w14:textId="77777777" w:rsidR="0049123B" w:rsidRPr="00A248F8" w:rsidRDefault="0049123B" w:rsidP="00A248F8">
      <w:pPr>
        <w:spacing w:after="0" w:line="360" w:lineRule="auto"/>
        <w:ind w:firstLine="567"/>
        <w:jc w:val="both"/>
        <w:rPr>
          <w:rFonts w:ascii="Times New Roman" w:eastAsia="Times New Roman" w:hAnsi="Times New Roman" w:cs="Times New Roman"/>
          <w:b/>
          <w:bCs/>
          <w:sz w:val="28"/>
          <w:szCs w:val="28"/>
          <w:lang w:val="uk-UA" w:eastAsia="ru-UA"/>
        </w:rPr>
      </w:pPr>
    </w:p>
    <w:p w14:paraId="79275CBB" w14:textId="77777777" w:rsidR="0049123B" w:rsidRPr="00A248F8" w:rsidRDefault="0049123B" w:rsidP="00A248F8">
      <w:pPr>
        <w:spacing w:after="0" w:line="360" w:lineRule="auto"/>
        <w:ind w:firstLine="567"/>
        <w:jc w:val="both"/>
        <w:rPr>
          <w:rFonts w:ascii="Times New Roman" w:eastAsia="Times New Roman" w:hAnsi="Times New Roman" w:cs="Times New Roman"/>
          <w:b/>
          <w:bCs/>
          <w:sz w:val="28"/>
          <w:szCs w:val="28"/>
          <w:lang w:val="uk-UA" w:eastAsia="ru-UA"/>
        </w:rPr>
      </w:pPr>
    </w:p>
    <w:p w14:paraId="5FFE9980" w14:textId="77777777" w:rsidR="0049123B" w:rsidRPr="00A248F8" w:rsidRDefault="0049123B" w:rsidP="00A248F8">
      <w:pPr>
        <w:spacing w:after="0" w:line="360" w:lineRule="auto"/>
        <w:ind w:firstLine="567"/>
        <w:jc w:val="both"/>
        <w:rPr>
          <w:rFonts w:ascii="Times New Roman" w:eastAsia="Times New Roman" w:hAnsi="Times New Roman" w:cs="Times New Roman"/>
          <w:b/>
          <w:bCs/>
          <w:sz w:val="28"/>
          <w:szCs w:val="28"/>
          <w:lang w:val="uk-UA" w:eastAsia="ru-UA"/>
        </w:rPr>
      </w:pPr>
    </w:p>
    <w:p w14:paraId="3382E762" w14:textId="77777777" w:rsidR="0049123B" w:rsidRPr="00A248F8" w:rsidRDefault="0049123B" w:rsidP="00A248F8">
      <w:pPr>
        <w:spacing w:after="0" w:line="360" w:lineRule="auto"/>
        <w:ind w:firstLine="567"/>
        <w:jc w:val="both"/>
        <w:rPr>
          <w:rFonts w:ascii="Times New Roman" w:eastAsia="Times New Roman" w:hAnsi="Times New Roman" w:cs="Times New Roman"/>
          <w:b/>
          <w:bCs/>
          <w:sz w:val="28"/>
          <w:szCs w:val="28"/>
          <w:lang w:val="uk-UA" w:eastAsia="ru-UA"/>
        </w:rPr>
      </w:pPr>
    </w:p>
    <w:p w14:paraId="71A89B24" w14:textId="5E7A5757" w:rsidR="0049123B" w:rsidRPr="00A248F8" w:rsidRDefault="0049123B" w:rsidP="00A248F8">
      <w:pPr>
        <w:spacing w:after="0" w:line="360" w:lineRule="auto"/>
        <w:jc w:val="both"/>
        <w:rPr>
          <w:rFonts w:ascii="Times New Roman" w:eastAsia="Times New Roman" w:hAnsi="Times New Roman" w:cs="Times New Roman"/>
          <w:b/>
          <w:bCs/>
          <w:sz w:val="28"/>
          <w:szCs w:val="28"/>
          <w:lang w:val="uk-UA" w:eastAsia="ru-UA"/>
        </w:rPr>
      </w:pPr>
    </w:p>
    <w:p w14:paraId="16757FF2" w14:textId="70F1DF7F"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0A17F850" w14:textId="549DBB33"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42237ED3" w14:textId="66C542AF"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389C3234" w14:textId="5B3ECDAE"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13656F6B" w14:textId="3570223B"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29DDFA6A" w14:textId="43DC8B33"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7ED5036F" w14:textId="4CF1A658"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6D8762E5" w14:textId="7DE9DEBA"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1012895F" w14:textId="322CC878"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7B137DF4" w14:textId="35D3FC17"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207AE157" w14:textId="2523780F"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5CC1ACCB" w14:textId="0D0EBD51"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0981908A" w14:textId="4A92B5E1"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795857F8" w14:textId="4D33C020"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555E6F5B" w14:textId="22E2C6D5" w:rsid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70F2ABDF" w14:textId="77777777" w:rsidR="00A248F8" w:rsidRPr="00A248F8" w:rsidRDefault="00A248F8" w:rsidP="00A248F8">
      <w:pPr>
        <w:spacing w:after="0" w:line="360" w:lineRule="auto"/>
        <w:jc w:val="both"/>
        <w:rPr>
          <w:rFonts w:ascii="Times New Roman" w:eastAsia="Times New Roman" w:hAnsi="Times New Roman" w:cs="Times New Roman"/>
          <w:b/>
          <w:bCs/>
          <w:sz w:val="28"/>
          <w:szCs w:val="28"/>
          <w:lang w:val="uk-UA" w:eastAsia="ru-UA"/>
        </w:rPr>
      </w:pPr>
    </w:p>
    <w:p w14:paraId="549CC624" w14:textId="77777777" w:rsidR="00A248F8" w:rsidRDefault="00A248F8" w:rsidP="00A248F8">
      <w:pPr>
        <w:spacing w:after="0" w:line="360" w:lineRule="auto"/>
        <w:rPr>
          <w:rFonts w:ascii="Times New Roman" w:eastAsia="Times New Roman" w:hAnsi="Times New Roman" w:cs="Times New Roman"/>
          <w:sz w:val="28"/>
          <w:szCs w:val="28"/>
          <w:lang w:eastAsia="ru-UA"/>
        </w:rPr>
      </w:pPr>
    </w:p>
    <w:tbl>
      <w:tblPr>
        <w:tblStyle w:val="ab"/>
        <w:tblW w:w="0" w:type="auto"/>
        <w:tblLook w:val="04A0" w:firstRow="1" w:lastRow="0" w:firstColumn="1" w:lastColumn="0" w:noHBand="0" w:noVBand="1"/>
      </w:tblPr>
      <w:tblGrid>
        <w:gridCol w:w="9355"/>
      </w:tblGrid>
      <w:tr w:rsidR="00A248F8" w14:paraId="1E65F752" w14:textId="77777777" w:rsidTr="00A248F8">
        <w:tc>
          <w:tcPr>
            <w:tcW w:w="0" w:type="auto"/>
            <w:tcBorders>
              <w:top w:val="nil"/>
              <w:left w:val="nil"/>
              <w:bottom w:val="nil"/>
              <w:right w:val="nil"/>
            </w:tcBorders>
          </w:tcPr>
          <w:p w14:paraId="17C038B5" w14:textId="77777777" w:rsidR="00A248F8" w:rsidRPr="00A248F8" w:rsidRDefault="00A248F8" w:rsidP="00A248F8">
            <w:pPr>
              <w:spacing w:line="360" w:lineRule="auto"/>
              <w:jc w:val="center"/>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val="uk-UA" w:eastAsia="ru-UA"/>
              </w:rPr>
              <w:t>ЗМІСТ</w:t>
            </w:r>
          </w:p>
          <w:p w14:paraId="51CD78D0" w14:textId="58BF2205" w:rsidR="00EC7D6C" w:rsidRPr="00EC7D6C" w:rsidRDefault="00EC7D6C" w:rsidP="00A248F8">
            <w:pPr>
              <w:spacing w:line="360" w:lineRule="auto"/>
              <w:ind w:firstLine="567"/>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ВСТУП……………………………………………………………………..4</w:t>
            </w:r>
          </w:p>
          <w:p w14:paraId="444C4741" w14:textId="16BE73F0" w:rsidR="00A248F8" w:rsidRPr="001D5EEF" w:rsidRDefault="00A248F8" w:rsidP="00A248F8">
            <w:pPr>
              <w:spacing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eastAsia="ru-UA"/>
              </w:rPr>
              <w:t>РОЗДІЛ 1. ТЕОРЕТИЧНІ ЗАСАДИ ТА ІСТОРИЧНІ ПЕРЕДУМОВИ ФОРМУВАННЯ ОПОЗИЦІЇ</w:t>
            </w:r>
            <w:r w:rsidR="00EC7D6C">
              <w:rPr>
                <w:rFonts w:ascii="Times New Roman" w:eastAsia="Times New Roman" w:hAnsi="Times New Roman" w:cs="Times New Roman"/>
                <w:sz w:val="28"/>
                <w:szCs w:val="28"/>
                <w:lang w:val="uk-UA" w:eastAsia="ru-UA"/>
              </w:rPr>
              <w:t>…………………………………………………</w:t>
            </w:r>
            <w:r w:rsidR="001D5EEF">
              <w:rPr>
                <w:rFonts w:ascii="Times New Roman" w:eastAsia="Times New Roman" w:hAnsi="Times New Roman" w:cs="Times New Roman"/>
                <w:sz w:val="28"/>
                <w:szCs w:val="28"/>
                <w:lang w:val="uk-UA" w:eastAsia="ru-UA"/>
              </w:rPr>
              <w:t>11</w:t>
            </w:r>
            <w:r w:rsidRPr="00A248F8">
              <w:rPr>
                <w:rFonts w:ascii="Times New Roman" w:eastAsia="Times New Roman" w:hAnsi="Times New Roman" w:cs="Times New Roman"/>
                <w:sz w:val="28"/>
                <w:szCs w:val="28"/>
                <w:lang w:eastAsia="ru-UA"/>
              </w:rPr>
              <w:t xml:space="preserve"> </w:t>
            </w:r>
            <w:r w:rsidRPr="00A248F8">
              <w:rPr>
                <w:rFonts w:ascii="Times New Roman" w:eastAsia="Times New Roman" w:hAnsi="Times New Roman" w:cs="Times New Roman"/>
                <w:sz w:val="28"/>
                <w:szCs w:val="28"/>
                <w:lang w:eastAsia="ru-UA"/>
              </w:rPr>
              <w:br/>
              <w:t>1.1. Поняття, типологія та сутність політичної опозиції</w:t>
            </w:r>
            <w:r w:rsidR="001D5EEF">
              <w:rPr>
                <w:rFonts w:ascii="Times New Roman" w:eastAsia="Times New Roman" w:hAnsi="Times New Roman" w:cs="Times New Roman"/>
                <w:sz w:val="28"/>
                <w:szCs w:val="28"/>
                <w:lang w:val="uk-UA" w:eastAsia="ru-UA"/>
              </w:rPr>
              <w:t>.11</w:t>
            </w:r>
            <w:r w:rsidRPr="00A248F8">
              <w:rPr>
                <w:rFonts w:ascii="Times New Roman" w:eastAsia="Times New Roman" w:hAnsi="Times New Roman" w:cs="Times New Roman"/>
                <w:sz w:val="28"/>
                <w:szCs w:val="28"/>
                <w:lang w:eastAsia="ru-UA"/>
              </w:rPr>
              <w:br/>
              <w:t xml:space="preserve">1.2. </w:t>
            </w:r>
            <w:bookmarkStart w:id="1" w:name="_Hlk185845241"/>
            <w:r w:rsidRPr="00A248F8">
              <w:rPr>
                <w:rFonts w:ascii="Times New Roman" w:eastAsia="Times New Roman" w:hAnsi="Times New Roman" w:cs="Times New Roman"/>
                <w:sz w:val="28"/>
                <w:szCs w:val="28"/>
                <w:lang w:eastAsia="ru-UA"/>
              </w:rPr>
              <w:t>Теоретичні підходи до ролі опозиції у демократичному політичному процесі</w:t>
            </w:r>
            <w:bookmarkEnd w:id="1"/>
            <w:r w:rsidR="001D5EEF">
              <w:rPr>
                <w:rFonts w:ascii="Times New Roman" w:eastAsia="Times New Roman" w:hAnsi="Times New Roman" w:cs="Times New Roman"/>
                <w:sz w:val="28"/>
                <w:szCs w:val="28"/>
                <w:lang w:val="uk-UA" w:eastAsia="ru-UA"/>
              </w:rPr>
              <w:t>………………………………………………………………………….13</w:t>
            </w:r>
            <w:r w:rsidRPr="00A248F8">
              <w:rPr>
                <w:rFonts w:ascii="Times New Roman" w:eastAsia="Times New Roman" w:hAnsi="Times New Roman" w:cs="Times New Roman"/>
                <w:sz w:val="28"/>
                <w:szCs w:val="28"/>
                <w:lang w:eastAsia="ru-UA"/>
              </w:rPr>
              <w:br/>
              <w:t>1.3. Опозиція як показник рівня конкуренції, стабільності та моделі діяльності</w:t>
            </w:r>
            <w:r w:rsidR="001D5EEF">
              <w:rPr>
                <w:rFonts w:ascii="Times New Roman" w:eastAsia="Times New Roman" w:hAnsi="Times New Roman" w:cs="Times New Roman"/>
                <w:sz w:val="28"/>
                <w:szCs w:val="28"/>
                <w:lang w:val="uk-UA" w:eastAsia="ru-UA"/>
              </w:rPr>
              <w:t>………………………………………………………………………15</w:t>
            </w:r>
          </w:p>
          <w:p w14:paraId="3D5657BD" w14:textId="12D76A42" w:rsidR="00A248F8" w:rsidRPr="001D5EEF" w:rsidRDefault="00A248F8" w:rsidP="00A248F8">
            <w:pPr>
              <w:spacing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eastAsia="ru-UA"/>
              </w:rPr>
              <w:t>РОЗДІЛ 2. МІЖНАРОДНИЙ КОНТЕКСТ ТА ВІТЧИЗНЯНА СПЕЦИФІКА ОПОЗИЦІЇ</w:t>
            </w:r>
            <w:r w:rsidR="001D5EEF">
              <w:rPr>
                <w:rFonts w:ascii="Times New Roman" w:eastAsia="Times New Roman" w:hAnsi="Times New Roman" w:cs="Times New Roman"/>
                <w:sz w:val="28"/>
                <w:szCs w:val="28"/>
                <w:lang w:val="uk-UA" w:eastAsia="ru-UA"/>
              </w:rPr>
              <w:t>……………………………………………………..20</w:t>
            </w:r>
            <w:r w:rsidRPr="00A248F8">
              <w:rPr>
                <w:rFonts w:ascii="Times New Roman" w:eastAsia="Times New Roman" w:hAnsi="Times New Roman" w:cs="Times New Roman"/>
                <w:sz w:val="28"/>
                <w:szCs w:val="28"/>
                <w:lang w:eastAsia="ru-UA"/>
              </w:rPr>
              <w:br/>
              <w:t>2.1. Функціонування опозиції у різних демократичних середовищах і нормах міжнародного права</w:t>
            </w:r>
            <w:r w:rsidR="001D5EEF">
              <w:rPr>
                <w:rFonts w:ascii="Times New Roman" w:eastAsia="Times New Roman" w:hAnsi="Times New Roman" w:cs="Times New Roman"/>
                <w:sz w:val="28"/>
                <w:szCs w:val="28"/>
                <w:lang w:val="uk-UA" w:eastAsia="ru-UA"/>
              </w:rPr>
              <w:t>……………………………………………………………20</w:t>
            </w:r>
            <w:r w:rsidRPr="00A248F8">
              <w:rPr>
                <w:rFonts w:ascii="Times New Roman" w:eastAsia="Times New Roman" w:hAnsi="Times New Roman" w:cs="Times New Roman"/>
                <w:sz w:val="28"/>
                <w:szCs w:val="28"/>
                <w:lang w:eastAsia="ru-UA"/>
              </w:rPr>
              <w:br/>
              <w:t>2.2. Механізми взаємодії опозиції з владою, громадянським суспільством і ЗМІ у країнах ЄС</w:t>
            </w:r>
            <w:r w:rsidR="001D5EEF">
              <w:rPr>
                <w:rFonts w:ascii="Times New Roman" w:eastAsia="Times New Roman" w:hAnsi="Times New Roman" w:cs="Times New Roman"/>
                <w:sz w:val="28"/>
                <w:szCs w:val="28"/>
                <w:lang w:val="uk-UA" w:eastAsia="ru-UA"/>
              </w:rPr>
              <w:t>……………………………………………………………….21</w:t>
            </w:r>
            <w:r w:rsidRPr="00A248F8">
              <w:rPr>
                <w:rFonts w:ascii="Times New Roman" w:eastAsia="Times New Roman" w:hAnsi="Times New Roman" w:cs="Times New Roman"/>
                <w:sz w:val="28"/>
                <w:szCs w:val="28"/>
                <w:lang w:eastAsia="ru-UA"/>
              </w:rPr>
              <w:br/>
              <w:t>2.3. Історичний розвиток опозиційних рухів в Україні (1991 – сьогодення)</w:t>
            </w:r>
            <w:r w:rsidRPr="00A248F8">
              <w:rPr>
                <w:rFonts w:ascii="Times New Roman" w:eastAsia="Times New Roman" w:hAnsi="Times New Roman" w:cs="Times New Roman"/>
                <w:sz w:val="28"/>
                <w:szCs w:val="28"/>
                <w:lang w:val="uk-UA" w:eastAsia="ru-UA"/>
              </w:rPr>
              <w:t xml:space="preserve"> </w:t>
            </w:r>
            <w:r w:rsidRPr="00A248F8">
              <w:rPr>
                <w:rFonts w:ascii="Times New Roman" w:eastAsia="Times New Roman" w:hAnsi="Times New Roman" w:cs="Times New Roman"/>
                <w:sz w:val="28"/>
                <w:szCs w:val="28"/>
                <w:lang w:eastAsia="ru-UA"/>
              </w:rPr>
              <w:t>та основні суб’єкти</w:t>
            </w:r>
            <w:r w:rsidR="001D5EEF">
              <w:rPr>
                <w:rFonts w:ascii="Times New Roman" w:eastAsia="Times New Roman" w:hAnsi="Times New Roman" w:cs="Times New Roman"/>
                <w:sz w:val="28"/>
                <w:szCs w:val="28"/>
                <w:lang w:val="uk-UA" w:eastAsia="ru-UA"/>
              </w:rPr>
              <w:t>………………………………………………………………..27</w:t>
            </w:r>
          </w:p>
          <w:p w14:paraId="3470C04F" w14:textId="36A5DA81" w:rsidR="00A248F8" w:rsidRPr="00A248F8" w:rsidRDefault="00A248F8" w:rsidP="00A248F8">
            <w:pPr>
              <w:spacing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eastAsia="ru-UA"/>
              </w:rPr>
              <w:t>РОЗДІЛ 3. ВНУТРІШНЯ ДИНАМІКА ТА ПРОБЛЕМИ ФУНКЦІОНУВАННЯ ОПОЗИЦІЇ</w:t>
            </w:r>
            <w:r w:rsidR="001D5EEF">
              <w:rPr>
                <w:rFonts w:ascii="Times New Roman" w:eastAsia="Times New Roman" w:hAnsi="Times New Roman" w:cs="Times New Roman"/>
                <w:sz w:val="28"/>
                <w:szCs w:val="28"/>
                <w:lang w:val="uk-UA" w:eastAsia="ru-UA"/>
              </w:rPr>
              <w:t>……………………………………………35</w:t>
            </w:r>
            <w:r w:rsidRPr="00A248F8">
              <w:rPr>
                <w:rFonts w:ascii="Times New Roman" w:eastAsia="Times New Roman" w:hAnsi="Times New Roman" w:cs="Times New Roman"/>
                <w:sz w:val="28"/>
                <w:szCs w:val="28"/>
                <w:lang w:eastAsia="ru-UA"/>
              </w:rPr>
              <w:br/>
              <w:t>3.1. Проблеми, організація та ресурси опозиції: політична культура й електоральні стратегії</w:t>
            </w:r>
            <w:r w:rsidR="001D5EEF">
              <w:rPr>
                <w:rFonts w:ascii="Times New Roman" w:eastAsia="Times New Roman" w:hAnsi="Times New Roman" w:cs="Times New Roman"/>
                <w:sz w:val="28"/>
                <w:szCs w:val="28"/>
                <w:lang w:val="uk-UA" w:eastAsia="ru-UA"/>
              </w:rPr>
              <w:t>………………………………………………………….35</w:t>
            </w:r>
            <w:r w:rsidRPr="00A248F8">
              <w:rPr>
                <w:rFonts w:ascii="Times New Roman" w:eastAsia="Times New Roman" w:hAnsi="Times New Roman" w:cs="Times New Roman"/>
                <w:sz w:val="28"/>
                <w:szCs w:val="28"/>
                <w:lang w:eastAsia="ru-UA"/>
              </w:rPr>
              <w:br/>
              <w:t>3.2. Опозиція у зовнішній політиці та соціокультурний вимір діяльності</w:t>
            </w:r>
            <w:r w:rsidRPr="00A248F8">
              <w:rPr>
                <w:rFonts w:ascii="Times New Roman" w:eastAsia="Times New Roman" w:hAnsi="Times New Roman" w:cs="Times New Roman"/>
                <w:sz w:val="28"/>
                <w:szCs w:val="28"/>
                <w:lang w:eastAsia="ru-UA"/>
              </w:rPr>
              <w:br/>
              <w:t>3.3.</w:t>
            </w:r>
            <w:r w:rsidRPr="00A248F8">
              <w:rPr>
                <w:rFonts w:ascii="Times New Roman" w:eastAsia="Times New Roman" w:hAnsi="Times New Roman" w:cs="Times New Roman"/>
                <w:sz w:val="28"/>
                <w:szCs w:val="28"/>
                <w:lang w:val="uk-UA" w:eastAsia="ru-UA"/>
              </w:rPr>
              <w:t xml:space="preserve"> </w:t>
            </w:r>
            <w:r w:rsidRPr="00A248F8">
              <w:rPr>
                <w:rFonts w:ascii="Times New Roman" w:eastAsia="Times New Roman" w:hAnsi="Times New Roman" w:cs="Times New Roman"/>
                <w:sz w:val="28"/>
                <w:szCs w:val="28"/>
                <w:lang w:eastAsia="ru-UA"/>
              </w:rPr>
              <w:t>Шляхи інституційного зміцнення, посилення стримувань і протива</w:t>
            </w:r>
            <w:r w:rsidRPr="00A248F8">
              <w:rPr>
                <w:rFonts w:ascii="Times New Roman" w:eastAsia="Times New Roman" w:hAnsi="Times New Roman" w:cs="Times New Roman"/>
                <w:sz w:val="28"/>
                <w:szCs w:val="28"/>
                <w:lang w:val="uk-UA" w:eastAsia="ru-UA"/>
              </w:rPr>
              <w:t>г</w:t>
            </w:r>
            <w:r w:rsidR="001D5EEF">
              <w:rPr>
                <w:rFonts w:ascii="Times New Roman" w:eastAsia="Times New Roman" w:hAnsi="Times New Roman" w:cs="Times New Roman"/>
                <w:sz w:val="28"/>
                <w:szCs w:val="28"/>
                <w:lang w:val="uk-UA" w:eastAsia="ru-UA"/>
              </w:rPr>
              <w:t>…41</w:t>
            </w:r>
          </w:p>
          <w:p w14:paraId="648E5796" w14:textId="77F04347" w:rsidR="00A248F8" w:rsidRPr="001D5EEF" w:rsidRDefault="00A248F8" w:rsidP="00A248F8">
            <w:pPr>
              <w:spacing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eastAsia="ru-UA"/>
              </w:rPr>
              <w:t>ВИСНОВКИ</w:t>
            </w:r>
            <w:r w:rsidR="001D5EEF">
              <w:rPr>
                <w:rFonts w:ascii="Times New Roman" w:eastAsia="Times New Roman" w:hAnsi="Times New Roman" w:cs="Times New Roman"/>
                <w:sz w:val="28"/>
                <w:szCs w:val="28"/>
                <w:lang w:val="uk-UA" w:eastAsia="ru-UA"/>
              </w:rPr>
              <w:t>………………………………………………………………68</w:t>
            </w:r>
          </w:p>
          <w:p w14:paraId="2A1F0DA3" w14:textId="3AD79A9B" w:rsidR="00A248F8" w:rsidRPr="001D5EEF" w:rsidRDefault="00A248F8" w:rsidP="001D5EEF">
            <w:pPr>
              <w:spacing w:line="360" w:lineRule="auto"/>
              <w:ind w:firstLine="567"/>
              <w:jc w:val="both"/>
              <w:rPr>
                <w:rFonts w:ascii="Times New Roman" w:eastAsia="Times New Roman" w:hAnsi="Times New Roman" w:cs="Times New Roman"/>
                <w:sz w:val="28"/>
                <w:szCs w:val="28"/>
                <w:lang w:val="uk-UA" w:eastAsia="ru-UA"/>
              </w:rPr>
            </w:pPr>
            <w:r w:rsidRPr="00A248F8">
              <w:rPr>
                <w:rFonts w:ascii="Times New Roman" w:eastAsia="Times New Roman" w:hAnsi="Times New Roman" w:cs="Times New Roman"/>
                <w:sz w:val="28"/>
                <w:szCs w:val="28"/>
                <w:lang w:eastAsia="ru-UA"/>
              </w:rPr>
              <w:t>СПИСОК ВИКОРИСТАНИХ ДЖЕРЕЛ</w:t>
            </w:r>
            <w:r w:rsidR="001D5EEF">
              <w:rPr>
                <w:rFonts w:ascii="Times New Roman" w:eastAsia="Times New Roman" w:hAnsi="Times New Roman" w:cs="Times New Roman"/>
                <w:sz w:val="28"/>
                <w:szCs w:val="28"/>
                <w:lang w:val="uk-UA" w:eastAsia="ru-UA"/>
              </w:rPr>
              <w:t>………………………………...72</w:t>
            </w:r>
          </w:p>
          <w:p w14:paraId="2117856A" w14:textId="77777777" w:rsidR="00A248F8" w:rsidRDefault="00A248F8" w:rsidP="00A248F8">
            <w:pPr>
              <w:spacing w:line="360" w:lineRule="auto"/>
              <w:jc w:val="center"/>
              <w:rPr>
                <w:rFonts w:ascii="Times New Roman" w:eastAsia="Times New Roman" w:hAnsi="Times New Roman" w:cs="Times New Roman"/>
                <w:sz w:val="28"/>
                <w:szCs w:val="28"/>
                <w:lang w:val="uk-UA" w:eastAsia="ru-UA"/>
              </w:rPr>
            </w:pPr>
          </w:p>
        </w:tc>
      </w:tr>
    </w:tbl>
    <w:p w14:paraId="6030448D" w14:textId="59D616E2" w:rsidR="00067E94" w:rsidRPr="00A248F8" w:rsidRDefault="00067E94" w:rsidP="00A248F8">
      <w:pPr>
        <w:spacing w:after="0" w:line="360" w:lineRule="auto"/>
        <w:ind w:firstLine="567"/>
        <w:jc w:val="both"/>
        <w:rPr>
          <w:rFonts w:ascii="Times New Roman" w:hAnsi="Times New Roman" w:cs="Times New Roman"/>
          <w:sz w:val="28"/>
          <w:szCs w:val="28"/>
        </w:rPr>
      </w:pPr>
    </w:p>
    <w:p w14:paraId="6EC10906" w14:textId="77777777" w:rsidR="00BD0C6D" w:rsidRPr="00A248F8" w:rsidRDefault="00BD0C6D" w:rsidP="00A248F8">
      <w:pPr>
        <w:spacing w:after="0" w:line="360" w:lineRule="auto"/>
        <w:ind w:firstLine="567"/>
        <w:jc w:val="both"/>
        <w:rPr>
          <w:rFonts w:ascii="Times New Roman" w:hAnsi="Times New Roman" w:cs="Times New Roman"/>
          <w:b/>
          <w:bCs/>
          <w:sz w:val="28"/>
          <w:szCs w:val="28"/>
          <w:lang w:val="uk-UA"/>
        </w:rPr>
      </w:pPr>
    </w:p>
    <w:p w14:paraId="5F202FDA" w14:textId="77777777" w:rsidR="00EC7D6C" w:rsidRDefault="00EC7D6C" w:rsidP="00EC7D6C">
      <w:pPr>
        <w:spacing w:after="0" w:line="360" w:lineRule="auto"/>
        <w:jc w:val="both"/>
        <w:rPr>
          <w:rFonts w:ascii="Times New Roman" w:hAnsi="Times New Roman" w:cs="Times New Roman"/>
          <w:b/>
          <w:bCs/>
          <w:sz w:val="28"/>
          <w:szCs w:val="28"/>
          <w:lang w:val="uk-UA"/>
        </w:rPr>
      </w:pPr>
    </w:p>
    <w:p w14:paraId="734E245B" w14:textId="6E072B8C" w:rsidR="001611E6" w:rsidRPr="00A248F8" w:rsidRDefault="001611E6" w:rsidP="00EC7D6C">
      <w:pPr>
        <w:spacing w:after="0" w:line="360" w:lineRule="auto"/>
        <w:jc w:val="center"/>
        <w:rPr>
          <w:rFonts w:ascii="Times New Roman" w:hAnsi="Times New Roman" w:cs="Times New Roman"/>
          <w:b/>
          <w:bCs/>
          <w:sz w:val="28"/>
          <w:szCs w:val="28"/>
          <w:lang w:val="uk-UA"/>
        </w:rPr>
      </w:pPr>
      <w:r w:rsidRPr="00A248F8">
        <w:rPr>
          <w:rFonts w:ascii="Times New Roman" w:hAnsi="Times New Roman" w:cs="Times New Roman"/>
          <w:b/>
          <w:bCs/>
          <w:sz w:val="28"/>
          <w:szCs w:val="28"/>
          <w:lang w:val="uk-UA"/>
        </w:rPr>
        <w:lastRenderedPageBreak/>
        <w:t>ВСТУП</w:t>
      </w:r>
      <w:r w:rsidR="00EC7D6C">
        <w:rPr>
          <w:rFonts w:ascii="Times New Roman" w:hAnsi="Times New Roman" w:cs="Times New Roman"/>
          <w:b/>
          <w:bCs/>
          <w:sz w:val="28"/>
          <w:szCs w:val="28"/>
          <w:lang w:val="uk-UA"/>
        </w:rPr>
        <w:br/>
      </w:r>
    </w:p>
    <w:p w14:paraId="3D1F8A9F" w14:textId="7B89FE5D"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Політична опозиція традиційно розглядається як невіддільний складник демократичних систем, що забезпечує баланс влади, підзвітність уряду, відкритість політичних процесів та змагальність ідей. Без інституційно закріпленої та суспільно визнаної опозиції демократія позбавляється однієї зі своїх найважливіших гарантій – можливості мирної альтернативної пропозиції політичного курсу й запобігання узурпації влади. Проте в умовах сучасної України – держави, яка одночасно долає наслідки пострадянського транзиту, стримує військову агресію Російської Федерації, здійснює масштабні реформи та прагне інтегруватися в європейське співтовариство – роль і функції опозиції набувають специфічного забарвлення.</w:t>
      </w:r>
    </w:p>
    <w:p w14:paraId="274B474A" w14:textId="77F029B2"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За три десятиліття незалежності Україна пройшла складний шлях від перших кроків політичного плюралізму до драматичних випробувань Помаранчевою революцією (2004) та Революцією Гідності (2013–2014), що підтвердили здатність суспільства чинити тиск на владу й вимагати демократичних стандартів. Попри це, інституційне становлення опозиції виявилося складним і неоднозначним: відсутність сталої партійної системи, залежність медіа від олігархічних груп, брак розвиненої політичної культури та правової бази, сформованої для захисту опозиційних прав, постійно ускладнюють повноцінне функціонування альтернативних політичних сил.</w:t>
      </w:r>
    </w:p>
    <w:p w14:paraId="64AA94C7" w14:textId="537C91DE"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Сучасний контекст позначений гібридними викликами – з одного боку, існує потреба у консолідації довкола захисту територіальної цілісності й національної безпеки, з іншого – необхідність збереження політичного плюралізму й недопущення сповзання до авторитаризму «під прикриттям» воєнних обставин. У такому контексті опозиція може сприйматися або як конструктивний партнер у формуванні національних стратегій, або як небезпечний дестабілізатор. Це створює складну дилему для опозиційних сил: як критикувати владу, не підриваючи довіру до держави під час війни? Як </w:t>
      </w:r>
      <w:r w:rsidRPr="00A248F8">
        <w:rPr>
          <w:rFonts w:ascii="Times New Roman" w:hAnsi="Times New Roman" w:cs="Times New Roman"/>
          <w:sz w:val="28"/>
          <w:szCs w:val="28"/>
          <w:lang w:val="uk-UA"/>
        </w:rPr>
        <w:lastRenderedPageBreak/>
        <w:t>пропонувати альтернативні політичні рішення, коли ресурси обмежені, а безпекові пріоритети виходять на перший план?</w:t>
      </w:r>
    </w:p>
    <w:p w14:paraId="3635440A" w14:textId="6CF4C365"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Таким чином, дослідження опозиції стає критично важливим для розуміння природи сучасного демократичного процесу в Україні. Від ефективності опозиції залежить не лише якість політичних дебатів, але й легітимність самої влади, здатність держави послідовно рухатися шляхом реформ та інтеграції в європейські структури. Опозиція може виступати «хранителем» демократичних цінностей, запобігаючи монополізації інтересів у руках однієї владної групи, а також сприяти суспільному діалогу щодо шляхів розв’язання економічних, соціальних, культурних та міжнародних проблем.</w:t>
      </w:r>
    </w:p>
    <w:p w14:paraId="2DFF3EBC" w14:textId="04F8DA0E"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Важливо зазначити, що феномен опозиції не можна звести до суто політичних інститутів. Він включає в себе широкий спектр явищ: від парламентських опозиційних фракцій і позапарламентських партій до громадських рухів, аналітичних центрів, журналістів-розслідувачів, лідерів громадської думки й незалежних ЗМІ. Ці суб’єкти разом формують «опозиційний простір», який впливає на формування порядку денного, контроль за діяльністю уряду, критику владних рішень та ініціювання альтернативних реформ.</w:t>
      </w:r>
    </w:p>
    <w:p w14:paraId="4B1EB31F" w14:textId="5CCE0D31"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Отже, «Вступ» до роботи закладає теоретично-історичне й методологічне підґрунтя для дослідження опозиції як складної політико-суспільної системи. Тут окреслюється масштаб проблеми, вказується на ключові виклики – зокрема поєднання постконфліктної відбудови з необхідністю зміцнення демократичних інститутів, визначається роль опозиції як однієї з центральних складових сталого демократичного розвитку. Наступні розділи детально розкриють концептуальні підходи, історичні тенденції, міжнародний досвід, правові аспекти, соціокультурні чинники та практичні рекомендації для того, щоб опозиція могла ефективно виконувати свої функції, водночас зміцнюючи українську демократію навіть у складних умовах зовнішньої агресії та внутрішніх трансформацій.</w:t>
      </w:r>
    </w:p>
    <w:p w14:paraId="3D870E19" w14:textId="453FA212" w:rsidR="00B17CC7" w:rsidRPr="00A248F8" w:rsidRDefault="004F507F" w:rsidP="00A248F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Актуальність теми магістерського дослідження.</w:t>
      </w:r>
      <w:r w:rsidR="00B17CC7" w:rsidRPr="00A248F8">
        <w:rPr>
          <w:rFonts w:ascii="Times New Roman" w:hAnsi="Times New Roman" w:cs="Times New Roman"/>
          <w:sz w:val="28"/>
          <w:szCs w:val="28"/>
          <w:lang w:val="uk-UA"/>
        </w:rPr>
        <w:t xml:space="preserve"> Без політичної опозиції демократичний режим позбавляється свого «внутрішнього коректора», здатного своєчасно реагувати на виклики, помилки та зловживання влади. Опозиція, за умови її повноцінного функціонування, гарантує політичний плюралізм, сприяє відкритим суспільним дискусіям, забезпечує контроль владних структур, сприяє ротації еліт та формуванню альтернативних політичних курсів. Без впливової й легітимної опозиції демократія стає урізаною, втрачає динамічність і внутрішню пластичність, що врешті призводить до послаблення політичної системи та росту авторитарних тенденцій.</w:t>
      </w:r>
    </w:p>
    <w:p w14:paraId="5C63EE33" w14:textId="4DDCE3A7"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 випадку України актуальність теми зумовлена складним перехідним характером політичної системи. Від 1991 року державі довелося пройти крізь системні кризи, що виявили слабкість інституцій, нерівномірність розвитку регіонів, недосконалість виборчого законодавства та обмеженість медіаплюралізму. Помаранчева революція (2004) і Революція Гідності (2013–2014) продемонстрували виняткову роль опозиційних рухів у здійсненні демократичних проривів. Водночас після кожної революції країна стикалася з проблемами нестійкої коаліційності, кулуарних домовленостей та брак системних реформ, які б закріпили правовий і політичний статус опозиції.</w:t>
      </w:r>
    </w:p>
    <w:p w14:paraId="611BC3E2" w14:textId="2E164AFF"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На сьогодні виклики постали ще гостріше. З одного боку, триває російська агресія, що вимагає від української влади максимальної концентрації на безпековій сфері та консолідації суспільства. З іншого – необхідність зберегти демократичні цінності, політичні свободи та умови для справжньої конкуренції ідей стає питанням виживання демократії як такої. Обмеження доступу опозиційних партій до медіа, брак ресурсів, можливі звинувачення у «підриві єдності» чи «деструктивній діяльності» формують складний контекст, у якому опозиція може втратити свій вплив і легітимність. Тому вивчення її статусу, механізмів захисту прав, оптимальних інституційних моделей та рекомендацій щодо реформування політичного процесу є надзвичайно важливим.</w:t>
      </w:r>
    </w:p>
    <w:p w14:paraId="28EAC497" w14:textId="78F57712"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b/>
          <w:bCs/>
          <w:sz w:val="28"/>
          <w:szCs w:val="28"/>
          <w:lang w:val="uk-UA"/>
        </w:rPr>
        <w:lastRenderedPageBreak/>
        <w:t>Мета</w:t>
      </w:r>
      <w:r w:rsidR="0049123B" w:rsidRPr="00A248F8">
        <w:rPr>
          <w:rFonts w:ascii="Times New Roman" w:hAnsi="Times New Roman" w:cs="Times New Roman"/>
          <w:b/>
          <w:bCs/>
          <w:sz w:val="28"/>
          <w:szCs w:val="28"/>
          <w:lang w:val="uk-UA"/>
        </w:rPr>
        <w:t xml:space="preserve"> </w:t>
      </w:r>
      <w:r w:rsidR="004F507F">
        <w:rPr>
          <w:rFonts w:ascii="Times New Roman" w:hAnsi="Times New Roman" w:cs="Times New Roman"/>
          <w:b/>
          <w:bCs/>
          <w:sz w:val="28"/>
          <w:szCs w:val="28"/>
          <w:lang w:val="uk-UA"/>
        </w:rPr>
        <w:t>дослідження.</w:t>
      </w:r>
      <w:r w:rsidRPr="00A248F8">
        <w:rPr>
          <w:rFonts w:ascii="Times New Roman" w:hAnsi="Times New Roman" w:cs="Times New Roman"/>
          <w:b/>
          <w:bCs/>
          <w:sz w:val="28"/>
          <w:szCs w:val="28"/>
          <w:lang w:val="uk-UA"/>
        </w:rPr>
        <w:t xml:space="preserve"> </w:t>
      </w:r>
      <w:r w:rsidRPr="00A248F8">
        <w:rPr>
          <w:rFonts w:ascii="Times New Roman" w:hAnsi="Times New Roman" w:cs="Times New Roman"/>
          <w:sz w:val="28"/>
          <w:szCs w:val="28"/>
          <w:lang w:val="uk-UA"/>
        </w:rPr>
        <w:t>На основі міждисциплінарного аналізу визначити ключові чинники, які впливають на ефективність політичної опозиції в сучасній Україні, простежити її історичну трансформацію, порівняти національний досвід із зарубіжними моделями і виробити рекомендації для посилення ролі опозиції у демократичному процесі. В центрі уваги – взаємодія опозиційних сил з владою, громадянським суспільством, медіа та міжнародними організаціями, а також умови, за яких опозиція може стати фактором консолідації демократії й стимулом для урядових реформ.</w:t>
      </w:r>
    </w:p>
    <w:p w14:paraId="4E96046A" w14:textId="0C2A6798" w:rsidR="00B17CC7" w:rsidRPr="00A248F8" w:rsidRDefault="004F507F" w:rsidP="00A248F8">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Завдання дослідження.</w:t>
      </w:r>
      <w:r w:rsidR="00817E7F" w:rsidRPr="00A248F8">
        <w:rPr>
          <w:rFonts w:ascii="Times New Roman" w:hAnsi="Times New Roman" w:cs="Times New Roman"/>
          <w:b/>
          <w:bCs/>
          <w:sz w:val="28"/>
          <w:szCs w:val="28"/>
          <w:lang w:val="uk-UA"/>
        </w:rPr>
        <w:t xml:space="preserve"> </w:t>
      </w:r>
      <w:r w:rsidR="00B17CC7" w:rsidRPr="00A248F8">
        <w:rPr>
          <w:rFonts w:ascii="Times New Roman" w:hAnsi="Times New Roman" w:cs="Times New Roman"/>
          <w:sz w:val="28"/>
          <w:szCs w:val="28"/>
          <w:lang w:val="uk-UA"/>
        </w:rPr>
        <w:t>Проаналізувати поняття, типологію та сутність політичної опозиції як інституту в демократичних системах, з’ясувати теоретичні підходи до її ролі у забезпеченні балансів влади.</w:t>
      </w:r>
    </w:p>
    <w:p w14:paraId="6C342AF3" w14:textId="77777777"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Визначити історичний контекст становлення та еволюції опозиційних рухів в Україні від часу незалежності, відстежити вплив ключових політичних подій (революцій, виборчих циклів, конституційних реформ).</w:t>
      </w:r>
    </w:p>
    <w:p w14:paraId="2860A151" w14:textId="77777777"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Дослідити сучасний стан опозиції в умовах війни та воєнного стану, коли інформаційний простір обмежений, ресурси централізовані, а критика влади може сприйматися як «зрада».</w:t>
      </w:r>
    </w:p>
    <w:p w14:paraId="1E196FC7" w14:textId="77777777"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Порівняти український досвід із міжнародними практиками, залучити приклади інституціоналізованих опозицій країн із розвиненою демократією, визначити загальні рекомендації та стандарти, яких слід дотримуватися.</w:t>
      </w:r>
    </w:p>
    <w:p w14:paraId="50E1E67B" w14:textId="77777777"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Виявити роль соціокультурних чинників, громадянської думки, історичної пам’яті, політичної культури, етнорегіональних розмежувань, а також медійних технологій у формуванні ставлення суспільства до опозиції.</w:t>
      </w:r>
    </w:p>
    <w:p w14:paraId="1DDCB48E" w14:textId="18356E1A"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Сформулювати пропозиції щодо реформування виборчого законодавства, вдосконалення парламентського регламенту, забезпечення медіаплюралізму, інституалізації прав опозиції та підвищення її спроможності виконувати контрольні й альтернативні функції в період постконфліктного відновлення України.</w:t>
      </w:r>
    </w:p>
    <w:p w14:paraId="1B47F23D"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48338FBB"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5A50322" w14:textId="448A552D" w:rsidR="00B17CC7" w:rsidRPr="00A248F8" w:rsidRDefault="00B17CC7" w:rsidP="00A248F8">
      <w:pPr>
        <w:spacing w:after="0" w:line="360" w:lineRule="auto"/>
        <w:ind w:firstLine="567"/>
        <w:jc w:val="both"/>
        <w:rPr>
          <w:rFonts w:ascii="Times New Roman" w:hAnsi="Times New Roman" w:cs="Times New Roman"/>
          <w:b/>
          <w:bCs/>
          <w:sz w:val="28"/>
          <w:szCs w:val="28"/>
          <w:lang w:val="uk-UA"/>
        </w:rPr>
      </w:pPr>
      <w:r w:rsidRPr="00A248F8">
        <w:rPr>
          <w:rFonts w:ascii="Times New Roman" w:hAnsi="Times New Roman" w:cs="Times New Roman"/>
          <w:b/>
          <w:bCs/>
          <w:sz w:val="28"/>
          <w:szCs w:val="28"/>
          <w:lang w:val="uk-UA"/>
        </w:rPr>
        <w:lastRenderedPageBreak/>
        <w:t>Методол</w:t>
      </w:r>
      <w:r w:rsidR="004F507F">
        <w:rPr>
          <w:rFonts w:ascii="Times New Roman" w:hAnsi="Times New Roman" w:cs="Times New Roman"/>
          <w:b/>
          <w:bCs/>
          <w:sz w:val="28"/>
          <w:szCs w:val="28"/>
          <w:lang w:val="uk-UA"/>
        </w:rPr>
        <w:t>огічна база та огляд літератури.</w:t>
      </w:r>
    </w:p>
    <w:p w14:paraId="3A1604E2" w14:textId="5115B60E" w:rsidR="00B17CC7" w:rsidRPr="00A248F8" w:rsidRDefault="00B17CC7" w:rsidP="00A248F8">
      <w:pPr>
        <w:spacing w:after="0" w:line="360" w:lineRule="auto"/>
        <w:ind w:firstLine="567"/>
        <w:jc w:val="both"/>
        <w:rPr>
          <w:rFonts w:ascii="Times New Roman" w:hAnsi="Times New Roman" w:cs="Times New Roman"/>
          <w:b/>
          <w:bCs/>
          <w:sz w:val="28"/>
          <w:szCs w:val="28"/>
          <w:lang w:val="uk-UA"/>
        </w:rPr>
      </w:pPr>
      <w:r w:rsidRPr="00A248F8">
        <w:rPr>
          <w:rFonts w:ascii="Times New Roman" w:hAnsi="Times New Roman" w:cs="Times New Roman"/>
          <w:b/>
          <w:bCs/>
          <w:sz w:val="28"/>
          <w:szCs w:val="28"/>
          <w:lang w:val="uk-UA"/>
        </w:rPr>
        <w:t>Основними методами дослідження є:</w:t>
      </w:r>
      <w:r w:rsidR="00817E7F" w:rsidRPr="00A248F8">
        <w:rPr>
          <w:rFonts w:ascii="Times New Roman" w:hAnsi="Times New Roman" w:cs="Times New Roman"/>
          <w:b/>
          <w:bCs/>
          <w:sz w:val="28"/>
          <w:szCs w:val="28"/>
          <w:lang w:val="uk-UA"/>
        </w:rPr>
        <w:t xml:space="preserve"> </w:t>
      </w:r>
      <w:r w:rsidRPr="00A248F8">
        <w:rPr>
          <w:rFonts w:ascii="Times New Roman" w:hAnsi="Times New Roman" w:cs="Times New Roman"/>
          <w:sz w:val="28"/>
          <w:szCs w:val="28"/>
          <w:lang w:val="uk-UA"/>
        </w:rPr>
        <w:t>Теоретичний аналіз праць класиків теорії демократії (Роберт Даль, Джованні Сарторі, Габріель Алмонд, Девід Істон) та сучасних авторів, які розробляють підходи до вивчення політичних партій, опозиційних рухів, інституцій, систем стримувань і противаг. Цей аналіз дає змогу вписати український досвід у ширший контекст політичних теорій.</w:t>
      </w:r>
    </w:p>
    <w:p w14:paraId="409C64BA" w14:textId="5475F2DA"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Інституційний підхід: розгляд опозиції як складника політичної системи, що діє на основі правових норм, регламентів, конституційних положень. Застосування цього підходу дозволяє оцінити формальні умови та процедурні механізми, які визначають можливості опозиції впливати на політичний порядок денний.</w:t>
      </w:r>
    </w:p>
    <w:p w14:paraId="4F24DC06" w14:textId="40E60C62"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Порівняльний метод: зіставлення українських реалій із зарубіжним досвідом (Велика Британія, Німеччина, Франція, США, країни Центрально-Східної Європи). Завдяки цьому методові можна виокремити універсальні закономірності функціонування опозиції в демократичних системах та адаптувати найкращі практики для українського середовища.</w:t>
      </w:r>
    </w:p>
    <w:p w14:paraId="7B642565" w14:textId="45D96AE1"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Соціологічний аналіз: вивчення даних опитувань громадської думки, досліджень індексів демократії (Freedom House, Economist Intelligence Unit, V-Dem), звітів міжнародних організацій та аналітичних центрів. Це дозволяє зрозуміти ставлення суспільства до опозиції, динаміку довіри, готовність населення підтримувати альтернативні політичні сили.</w:t>
      </w:r>
    </w:p>
    <w:p w14:paraId="0B999EA2" w14:textId="0FE7ACB6"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Контент-аналіз медіа і документів: оцінка дискурсу, представленого в традиційних ЗМІ, соціальних мережах, виступах опозиційних лідерів, законопроєктах, нормативно-правових актах, аналітичних звітах. Контент-аналіз допомагає побачити, як формується образ опозиції, які аргументи використовують її прибічники та противники.</w:t>
      </w:r>
    </w:p>
    <w:p w14:paraId="5DF55085" w14:textId="0DD5FB1B"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Історико-політичний метод: дослідження еволюції опозиційних рухів в історичному контексті, врахування спадковості політичних традицій, пам’яті про минулі режими та практики.</w:t>
      </w:r>
    </w:p>
    <w:p w14:paraId="2CF5B3CE" w14:textId="2562DA2D"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b/>
          <w:bCs/>
          <w:sz w:val="28"/>
          <w:szCs w:val="28"/>
          <w:lang w:val="uk-UA"/>
        </w:rPr>
        <w:lastRenderedPageBreak/>
        <w:t>Література</w:t>
      </w:r>
      <w:r w:rsidR="004F507F">
        <w:rPr>
          <w:rFonts w:ascii="Times New Roman" w:hAnsi="Times New Roman" w:cs="Times New Roman"/>
          <w:sz w:val="28"/>
          <w:szCs w:val="28"/>
          <w:lang w:val="uk-UA"/>
        </w:rPr>
        <w:t>.</w:t>
      </w:r>
      <w:r w:rsidR="00817E7F" w:rsidRPr="00A248F8">
        <w:rPr>
          <w:rFonts w:ascii="Times New Roman" w:hAnsi="Times New Roman" w:cs="Times New Roman"/>
          <w:sz w:val="28"/>
          <w:szCs w:val="28"/>
          <w:lang w:val="uk-UA"/>
        </w:rPr>
        <w:t xml:space="preserve"> </w:t>
      </w:r>
      <w:r w:rsidRPr="00A248F8">
        <w:rPr>
          <w:rFonts w:ascii="Times New Roman" w:hAnsi="Times New Roman" w:cs="Times New Roman"/>
          <w:sz w:val="28"/>
          <w:szCs w:val="28"/>
          <w:lang w:val="uk-UA"/>
        </w:rPr>
        <w:t>Класичні теоретичні праці з політичної науки та демократії.</w:t>
      </w:r>
    </w:p>
    <w:p w14:paraId="220E297E" w14:textId="0B3B08E3"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Дослідження, присвячені опозиції в пострадянських країнах.</w:t>
      </w:r>
      <w:r w:rsidR="004F507F">
        <w:rPr>
          <w:rFonts w:ascii="Times New Roman" w:hAnsi="Times New Roman" w:cs="Times New Roman"/>
          <w:sz w:val="28"/>
          <w:szCs w:val="28"/>
          <w:lang w:val="uk-UA"/>
        </w:rPr>
        <w:t xml:space="preserve"> </w:t>
      </w:r>
      <w:r w:rsidRPr="00A248F8">
        <w:rPr>
          <w:rFonts w:ascii="Times New Roman" w:hAnsi="Times New Roman" w:cs="Times New Roman"/>
          <w:sz w:val="28"/>
          <w:szCs w:val="28"/>
          <w:lang w:val="uk-UA"/>
        </w:rPr>
        <w:t>Праці про роль міжнародних організацій у формуванні стандартів демократії:</w:t>
      </w:r>
    </w:p>
    <w:p w14:paraId="0E888A53" w14:textId="126F962F"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Звіти та рекомендації ОБСЄ/БДІПЛ щодо виборів та прав політичних партій, публікації Венеційської комісії Ради Європи стосовно конституційних прав опозиції, документи Європейського парламенту щодо верховенства права в країнах-кандидатах на вступ до ЄС. Ці матеріали допомагають зрозуміти нормативну базу та орієнтири, до яких прагне Україна.</w:t>
      </w:r>
      <w:r w:rsidR="004F507F">
        <w:rPr>
          <w:rFonts w:ascii="Times New Roman" w:hAnsi="Times New Roman" w:cs="Times New Roman"/>
          <w:sz w:val="28"/>
          <w:szCs w:val="28"/>
          <w:lang w:val="uk-UA"/>
        </w:rPr>
        <w:t xml:space="preserve"> </w:t>
      </w:r>
      <w:r w:rsidRPr="00A248F8">
        <w:rPr>
          <w:rFonts w:ascii="Times New Roman" w:hAnsi="Times New Roman" w:cs="Times New Roman"/>
          <w:sz w:val="28"/>
          <w:szCs w:val="28"/>
          <w:lang w:val="uk-UA"/>
        </w:rPr>
        <w:t>Аналітика міжнародних think tanks та правозахисних організацій.</w:t>
      </w:r>
      <w:r w:rsidR="004F507F">
        <w:rPr>
          <w:rFonts w:ascii="Times New Roman" w:hAnsi="Times New Roman" w:cs="Times New Roman"/>
          <w:sz w:val="28"/>
          <w:szCs w:val="28"/>
          <w:lang w:val="uk-UA"/>
        </w:rPr>
        <w:t xml:space="preserve"> </w:t>
      </w:r>
      <w:r w:rsidRPr="00A248F8">
        <w:rPr>
          <w:rFonts w:ascii="Times New Roman" w:hAnsi="Times New Roman" w:cs="Times New Roman"/>
          <w:sz w:val="28"/>
          <w:szCs w:val="28"/>
          <w:lang w:val="uk-UA"/>
        </w:rPr>
        <w:t>Соціологічні дослідження та медіа-аналітика.</w:t>
      </w:r>
    </w:p>
    <w:p w14:paraId="347D330C" w14:textId="754171B9" w:rsidR="00B17CC7"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Результати опитувань.</w:t>
      </w:r>
    </w:p>
    <w:p w14:paraId="7A252B75" w14:textId="7852008B" w:rsidR="00817E7F" w:rsidRPr="00A248F8" w:rsidRDefault="00B17CC7"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Крім того, аналіз контенту провідних ЗМІ, незалежних розслідувань журналістських колективів та громадських організацій.</w:t>
      </w:r>
    </w:p>
    <w:p w14:paraId="669D07B2" w14:textId="5B26F69C" w:rsidR="00817E7F" w:rsidRDefault="00817E7F" w:rsidP="00A248F8">
      <w:pPr>
        <w:spacing w:after="0" w:line="360" w:lineRule="auto"/>
        <w:ind w:firstLine="567"/>
        <w:jc w:val="both"/>
        <w:rPr>
          <w:rFonts w:ascii="Times New Roman" w:hAnsi="Times New Roman" w:cs="Times New Roman"/>
          <w:sz w:val="28"/>
          <w:szCs w:val="28"/>
          <w:lang w:val="uk-UA"/>
        </w:rPr>
      </w:pPr>
    </w:p>
    <w:p w14:paraId="00CFA255" w14:textId="38935153" w:rsidR="00A248F8" w:rsidRDefault="00A248F8" w:rsidP="00A248F8">
      <w:pPr>
        <w:spacing w:after="0" w:line="360" w:lineRule="auto"/>
        <w:ind w:firstLine="567"/>
        <w:jc w:val="both"/>
        <w:rPr>
          <w:rFonts w:ascii="Times New Roman" w:hAnsi="Times New Roman" w:cs="Times New Roman"/>
          <w:sz w:val="28"/>
          <w:szCs w:val="28"/>
          <w:lang w:val="uk-UA"/>
        </w:rPr>
      </w:pPr>
    </w:p>
    <w:p w14:paraId="06A3AAB5" w14:textId="4FD8A09E" w:rsidR="00A248F8" w:rsidRDefault="00A248F8" w:rsidP="00A248F8">
      <w:pPr>
        <w:spacing w:after="0" w:line="360" w:lineRule="auto"/>
        <w:ind w:firstLine="567"/>
        <w:jc w:val="both"/>
        <w:rPr>
          <w:rFonts w:ascii="Times New Roman" w:hAnsi="Times New Roman" w:cs="Times New Roman"/>
          <w:sz w:val="28"/>
          <w:szCs w:val="28"/>
          <w:lang w:val="uk-UA"/>
        </w:rPr>
      </w:pPr>
    </w:p>
    <w:p w14:paraId="4496B673" w14:textId="64E22694" w:rsidR="00A248F8" w:rsidRDefault="00A248F8" w:rsidP="00A248F8">
      <w:pPr>
        <w:spacing w:after="0" w:line="360" w:lineRule="auto"/>
        <w:ind w:firstLine="567"/>
        <w:jc w:val="both"/>
        <w:rPr>
          <w:rFonts w:ascii="Times New Roman" w:hAnsi="Times New Roman" w:cs="Times New Roman"/>
          <w:sz w:val="28"/>
          <w:szCs w:val="28"/>
          <w:lang w:val="uk-UA"/>
        </w:rPr>
      </w:pPr>
    </w:p>
    <w:p w14:paraId="52EEDC92" w14:textId="3090C0F4" w:rsidR="00A248F8" w:rsidRDefault="00A248F8" w:rsidP="00A248F8">
      <w:pPr>
        <w:spacing w:after="0" w:line="360" w:lineRule="auto"/>
        <w:ind w:firstLine="567"/>
        <w:jc w:val="both"/>
        <w:rPr>
          <w:rFonts w:ascii="Times New Roman" w:hAnsi="Times New Roman" w:cs="Times New Roman"/>
          <w:sz w:val="28"/>
          <w:szCs w:val="28"/>
          <w:lang w:val="uk-UA"/>
        </w:rPr>
      </w:pPr>
    </w:p>
    <w:p w14:paraId="3C472A68" w14:textId="1132A27D" w:rsidR="00A248F8" w:rsidRDefault="00A248F8" w:rsidP="00A248F8">
      <w:pPr>
        <w:spacing w:after="0" w:line="360" w:lineRule="auto"/>
        <w:ind w:firstLine="567"/>
        <w:jc w:val="both"/>
        <w:rPr>
          <w:rFonts w:ascii="Times New Roman" w:hAnsi="Times New Roman" w:cs="Times New Roman"/>
          <w:sz w:val="28"/>
          <w:szCs w:val="28"/>
          <w:lang w:val="uk-UA"/>
        </w:rPr>
      </w:pPr>
    </w:p>
    <w:p w14:paraId="5E904C8E" w14:textId="60D5D7CC" w:rsidR="00A248F8" w:rsidRDefault="00A248F8" w:rsidP="00A248F8">
      <w:pPr>
        <w:spacing w:after="0" w:line="360" w:lineRule="auto"/>
        <w:ind w:firstLine="567"/>
        <w:jc w:val="both"/>
        <w:rPr>
          <w:rFonts w:ascii="Times New Roman" w:hAnsi="Times New Roman" w:cs="Times New Roman"/>
          <w:sz w:val="28"/>
          <w:szCs w:val="28"/>
          <w:lang w:val="uk-UA"/>
        </w:rPr>
      </w:pPr>
    </w:p>
    <w:p w14:paraId="06C4A2C0" w14:textId="40A459F8" w:rsidR="00A248F8" w:rsidRDefault="00A248F8" w:rsidP="00A248F8">
      <w:pPr>
        <w:spacing w:after="0" w:line="360" w:lineRule="auto"/>
        <w:ind w:firstLine="567"/>
        <w:jc w:val="both"/>
        <w:rPr>
          <w:rFonts w:ascii="Times New Roman" w:hAnsi="Times New Roman" w:cs="Times New Roman"/>
          <w:sz w:val="28"/>
          <w:szCs w:val="28"/>
          <w:lang w:val="uk-UA"/>
        </w:rPr>
      </w:pPr>
    </w:p>
    <w:p w14:paraId="7C1C5E19" w14:textId="6752F192" w:rsidR="00A248F8" w:rsidRDefault="00A248F8" w:rsidP="00A248F8">
      <w:pPr>
        <w:spacing w:after="0" w:line="360" w:lineRule="auto"/>
        <w:ind w:firstLine="567"/>
        <w:jc w:val="both"/>
        <w:rPr>
          <w:rFonts w:ascii="Times New Roman" w:hAnsi="Times New Roman" w:cs="Times New Roman"/>
          <w:sz w:val="28"/>
          <w:szCs w:val="28"/>
          <w:lang w:val="uk-UA"/>
        </w:rPr>
      </w:pPr>
    </w:p>
    <w:p w14:paraId="740A5E0E" w14:textId="4CC72E21" w:rsidR="00A248F8" w:rsidRDefault="00A248F8" w:rsidP="00A248F8">
      <w:pPr>
        <w:spacing w:after="0" w:line="360" w:lineRule="auto"/>
        <w:ind w:firstLine="567"/>
        <w:jc w:val="both"/>
        <w:rPr>
          <w:rFonts w:ascii="Times New Roman" w:hAnsi="Times New Roman" w:cs="Times New Roman"/>
          <w:sz w:val="28"/>
          <w:szCs w:val="28"/>
          <w:lang w:val="uk-UA"/>
        </w:rPr>
      </w:pPr>
    </w:p>
    <w:p w14:paraId="10418953" w14:textId="3D3DE6C1" w:rsidR="00A248F8" w:rsidRDefault="00A248F8" w:rsidP="00A248F8">
      <w:pPr>
        <w:spacing w:after="0" w:line="360" w:lineRule="auto"/>
        <w:ind w:firstLine="567"/>
        <w:jc w:val="both"/>
        <w:rPr>
          <w:rFonts w:ascii="Times New Roman" w:hAnsi="Times New Roman" w:cs="Times New Roman"/>
          <w:sz w:val="28"/>
          <w:szCs w:val="28"/>
          <w:lang w:val="uk-UA"/>
        </w:rPr>
      </w:pPr>
    </w:p>
    <w:p w14:paraId="0ACA5D66" w14:textId="106DB905" w:rsidR="00A248F8" w:rsidRDefault="00A248F8" w:rsidP="00A248F8">
      <w:pPr>
        <w:spacing w:after="0" w:line="360" w:lineRule="auto"/>
        <w:ind w:firstLine="567"/>
        <w:jc w:val="both"/>
        <w:rPr>
          <w:rFonts w:ascii="Times New Roman" w:hAnsi="Times New Roman" w:cs="Times New Roman"/>
          <w:sz w:val="28"/>
          <w:szCs w:val="28"/>
          <w:lang w:val="uk-UA"/>
        </w:rPr>
      </w:pPr>
    </w:p>
    <w:p w14:paraId="5C5FB9AD" w14:textId="5F62F8EA" w:rsidR="00A248F8" w:rsidRDefault="00A248F8" w:rsidP="00A248F8">
      <w:pPr>
        <w:spacing w:after="0" w:line="360" w:lineRule="auto"/>
        <w:ind w:firstLine="567"/>
        <w:jc w:val="both"/>
        <w:rPr>
          <w:rFonts w:ascii="Times New Roman" w:hAnsi="Times New Roman" w:cs="Times New Roman"/>
          <w:sz w:val="28"/>
          <w:szCs w:val="28"/>
          <w:lang w:val="uk-UA"/>
        </w:rPr>
      </w:pPr>
    </w:p>
    <w:p w14:paraId="72F40564" w14:textId="167FCC1C" w:rsidR="00A248F8" w:rsidRDefault="00A248F8" w:rsidP="00A248F8">
      <w:pPr>
        <w:spacing w:after="0" w:line="360" w:lineRule="auto"/>
        <w:ind w:firstLine="567"/>
        <w:jc w:val="both"/>
        <w:rPr>
          <w:rFonts w:ascii="Times New Roman" w:hAnsi="Times New Roman" w:cs="Times New Roman"/>
          <w:sz w:val="28"/>
          <w:szCs w:val="28"/>
          <w:lang w:val="uk-UA"/>
        </w:rPr>
      </w:pPr>
    </w:p>
    <w:p w14:paraId="7B8ACED7" w14:textId="43BF46F9" w:rsidR="00EC7D6C" w:rsidRDefault="00EC7D6C" w:rsidP="00A248F8">
      <w:pPr>
        <w:spacing w:after="0" w:line="360" w:lineRule="auto"/>
        <w:ind w:firstLine="567"/>
        <w:jc w:val="both"/>
        <w:rPr>
          <w:rFonts w:ascii="Times New Roman" w:hAnsi="Times New Roman" w:cs="Times New Roman"/>
          <w:sz w:val="28"/>
          <w:szCs w:val="28"/>
          <w:lang w:val="uk-UA"/>
        </w:rPr>
      </w:pPr>
    </w:p>
    <w:p w14:paraId="1C1292C1" w14:textId="520E1B20" w:rsidR="004F507F" w:rsidRDefault="004F507F" w:rsidP="00A248F8">
      <w:pPr>
        <w:spacing w:after="0" w:line="360" w:lineRule="auto"/>
        <w:ind w:firstLine="567"/>
        <w:jc w:val="both"/>
        <w:rPr>
          <w:rFonts w:ascii="Times New Roman" w:hAnsi="Times New Roman" w:cs="Times New Roman"/>
          <w:sz w:val="28"/>
          <w:szCs w:val="28"/>
          <w:lang w:val="uk-UA"/>
        </w:rPr>
      </w:pPr>
    </w:p>
    <w:p w14:paraId="02336B40" w14:textId="77777777" w:rsidR="004F507F" w:rsidRPr="004F507F" w:rsidRDefault="004F507F" w:rsidP="00A248F8">
      <w:pPr>
        <w:spacing w:after="0" w:line="360" w:lineRule="auto"/>
        <w:ind w:firstLine="567"/>
        <w:jc w:val="both"/>
        <w:rPr>
          <w:rFonts w:ascii="Times New Roman" w:hAnsi="Times New Roman" w:cs="Times New Roman"/>
          <w:sz w:val="28"/>
          <w:szCs w:val="28"/>
          <w:lang w:val="ru-RU"/>
        </w:rPr>
      </w:pPr>
    </w:p>
    <w:p w14:paraId="3E84D525" w14:textId="241E99D7" w:rsidR="0070336F" w:rsidRDefault="0070336F"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lastRenderedPageBreak/>
        <w:t xml:space="preserve">РОЗДІЛ 1. </w:t>
      </w:r>
      <w:r w:rsidR="001146FC" w:rsidRPr="00A248F8">
        <w:rPr>
          <w:rFonts w:ascii="Times New Roman" w:hAnsi="Times New Roman" w:cs="Times New Roman"/>
          <w:b/>
          <w:bCs/>
          <w:sz w:val="28"/>
          <w:szCs w:val="28"/>
        </w:rPr>
        <w:t>ТЕОРЕТИЧНІ ЗАСАДИ ТА ІСТОРИЧНІ ПЕРЕДУМОВИ ФОРМУВАННЯ ОПОЗИЦІЇ</w:t>
      </w:r>
    </w:p>
    <w:p w14:paraId="450089DF" w14:textId="77777777" w:rsidR="00EC7D6C" w:rsidRPr="00A248F8" w:rsidRDefault="00EC7D6C" w:rsidP="00EC7D6C">
      <w:pPr>
        <w:spacing w:after="0" w:line="360" w:lineRule="auto"/>
        <w:ind w:firstLine="567"/>
        <w:jc w:val="center"/>
        <w:rPr>
          <w:rFonts w:ascii="Times New Roman" w:hAnsi="Times New Roman" w:cs="Times New Roman"/>
          <w:b/>
          <w:bCs/>
          <w:sz w:val="28"/>
          <w:szCs w:val="28"/>
          <w:lang w:val="uk-UA"/>
        </w:rPr>
      </w:pPr>
    </w:p>
    <w:p w14:paraId="3E000D73" w14:textId="2369FFA8" w:rsidR="0070336F" w:rsidRPr="00EC7D6C" w:rsidRDefault="00C8555D" w:rsidP="00EC7D6C">
      <w:pPr>
        <w:pStyle w:val="a5"/>
        <w:numPr>
          <w:ilvl w:val="1"/>
          <w:numId w:val="6"/>
        </w:numPr>
        <w:spacing w:after="0" w:line="360" w:lineRule="auto"/>
        <w:jc w:val="center"/>
        <w:rPr>
          <w:rFonts w:ascii="Times New Roman" w:hAnsi="Times New Roman" w:cs="Times New Roman"/>
          <w:b/>
          <w:bCs/>
          <w:sz w:val="28"/>
          <w:szCs w:val="28"/>
        </w:rPr>
      </w:pPr>
      <w:r w:rsidRPr="00EC7D6C">
        <w:rPr>
          <w:rFonts w:ascii="Times New Roman" w:hAnsi="Times New Roman" w:cs="Times New Roman"/>
          <w:b/>
          <w:bCs/>
          <w:sz w:val="28"/>
          <w:szCs w:val="28"/>
        </w:rPr>
        <w:t>Поняття, типологія та сутність політичної опозиції</w:t>
      </w:r>
    </w:p>
    <w:p w14:paraId="246DCD4E" w14:textId="77777777" w:rsidR="00EC7D6C" w:rsidRPr="00EC7D6C" w:rsidRDefault="00EC7D6C" w:rsidP="004F507F">
      <w:pPr>
        <w:pStyle w:val="a5"/>
        <w:spacing w:after="0" w:line="360" w:lineRule="auto"/>
        <w:ind w:left="1287"/>
        <w:rPr>
          <w:rFonts w:ascii="Times New Roman" w:hAnsi="Times New Roman" w:cs="Times New Roman"/>
          <w:b/>
          <w:bCs/>
          <w:sz w:val="28"/>
          <w:szCs w:val="28"/>
          <w:lang w:val="uk-UA"/>
        </w:rPr>
      </w:pPr>
    </w:p>
    <w:p w14:paraId="56CD9554" w14:textId="63671A1A"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Політична опозиція є фундаментальним елементом демократичних політичних систем. У найширшому розумінні вона трактується як сукупність політичних сил (партій, рухів, громадських об’єднань, груп інтересів), що не володіють більшістю у владних структурах і протистоять панівній політичній лінії, критикуючи чинну владу та пропонуючи альтернативні політичні курси. На відміну від авторитарних режимів, де діяльність опозиції переважно придушується, демократії визнають існування опозиції як легітимної складової політичного процесу. Така визнаність забезпечує політичний плюралізм, конкуренцію ідей, принцип стримувань і противаг.</w:t>
      </w:r>
      <w:r w:rsidR="00F22443" w:rsidRPr="00F22443">
        <w:t xml:space="preserve"> </w:t>
      </w:r>
      <w:r w:rsidR="00F22443" w:rsidRPr="00F22443">
        <w:rPr>
          <w:rFonts w:ascii="Times New Roman" w:hAnsi="Times New Roman" w:cs="Times New Roman"/>
          <w:sz w:val="28"/>
          <w:szCs w:val="28"/>
          <w:lang w:val="uk-UA"/>
        </w:rPr>
        <w:t>[1]</w:t>
      </w:r>
    </w:p>
    <w:p w14:paraId="548E1448" w14:textId="2DCE0901"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Опозицію можна розглядати, з одного боку, як певний функціональний механізм, покликаний здійснювати контроль над владою та забезпечувати можливість ротації еліт шляхом демократичних виборів, а з іншого – як суспільно-політичний феномен, що відображає наявність розмаїття інтересів у суспільстві. Термін «опозиція» походить від латинського «oppositio» – протиставлення, заперечення. Отже, в політичному вимірі опозиція – це передусім інституціоналізований або неінституціоналізований вираз незгоди з урядовим курсом, прагнення корегувати чи змінити його.</w:t>
      </w:r>
    </w:p>
    <w:p w14:paraId="283EBF78" w14:textId="3F1882BB"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Значущість опозиції для демократичних систем пояснюється кількома основними причинами. По-перше, опозиція здійснює контрольну функцію: вона ретельно відстежує кроки чинної влади, критикуючи помилки, попереджаючи про зловживання, корупційні схеми та можливі негативні наслідки урядових рішень. По-друге, опозиція виконує представницьку функцію: вона дає голос тим громадянам, які незадоволені політикою влади, не погоджуються з її пріоритетами або розчаровані конкретними заходами. По-третє, опозиція пропонує програмно-альтернативні рішення, забезпечуючи </w:t>
      </w:r>
      <w:r w:rsidRPr="00A248F8">
        <w:rPr>
          <w:rFonts w:ascii="Times New Roman" w:hAnsi="Times New Roman" w:cs="Times New Roman"/>
          <w:sz w:val="28"/>
          <w:szCs w:val="28"/>
          <w:lang w:val="uk-UA"/>
        </w:rPr>
        <w:lastRenderedPageBreak/>
        <w:t>конкурентність політичного середовища та стимулюючи владу вдосконалюватися під тиском можливих виборчих поразок</w:t>
      </w:r>
      <w:r w:rsidR="00B17CC7" w:rsidRPr="00A248F8">
        <w:rPr>
          <w:rFonts w:ascii="Times New Roman" w:hAnsi="Times New Roman" w:cs="Times New Roman"/>
          <w:sz w:val="28"/>
          <w:szCs w:val="28"/>
          <w:lang w:val="uk-UA"/>
        </w:rPr>
        <w:t>.</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2</w:t>
      </w:r>
      <w:r w:rsidR="00F22443" w:rsidRPr="00F22443">
        <w:rPr>
          <w:rFonts w:ascii="Times New Roman" w:hAnsi="Times New Roman" w:cs="Times New Roman"/>
          <w:sz w:val="28"/>
          <w:szCs w:val="28"/>
          <w:lang w:val="uk-UA"/>
        </w:rPr>
        <w:t>]</w:t>
      </w:r>
    </w:p>
    <w:p w14:paraId="70F48885" w14:textId="10F6E085"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Типологія опозиції може базуватися на низці критеріїв. Один із ключових – ступінь інституціоналізації. Інституціоналізована опозиція діє в рамках встановлених правових норм, парламентських регламентів, процедур, передбачених конституцією. Вона представлена насамперед парламентськими політичними силами, які перебувають у меншості, але мають формальні права, наприклад, на контрольні парламентські комісії, на внесення законодавчих ініціатив, на доступ до медіа. Така опозиція визнається владою як легітимний суб’єкт, що може формувати альтернативні програми розвитку країни, бере участь у публічних дебатах, виборчих кампаніях, а її правовий статус у деяких державах навіть закріплено конституційно</w:t>
      </w:r>
      <w:r w:rsidR="00B17CC7" w:rsidRPr="00A248F8">
        <w:rPr>
          <w:rFonts w:ascii="Times New Roman" w:hAnsi="Times New Roman" w:cs="Times New Roman"/>
          <w:sz w:val="28"/>
          <w:szCs w:val="28"/>
          <w:lang w:val="uk-UA"/>
        </w:rPr>
        <w:t>.</w:t>
      </w:r>
    </w:p>
    <w:p w14:paraId="05936EF4" w14:textId="4E7FDC05"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Неінституціоналізована опозиція не спирається на усталені правові механізми, її діяльність може набувати позасистемних або напівлегальних форм. Вона часто діє на вулицях, у середовищі громадських рухів, через інформаційні кампанії в соціальних мережах, творчі акції протесту, страйки, демонстрації. У країнах з несталим демократичним ладом або гібридними режимами неінституціоналізована опозиція може стати рушієм суспільних потрясінь чи революційних змін, але також ризикує зазнавати репресій з боку влади.</w:t>
      </w:r>
    </w:p>
    <w:p w14:paraId="15BEB151" w14:textId="15D3F9DD"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Ще один критерій типології – місце діяльності опозиції. Парламентська опозиція функціонує переважно в законодавчому органі. Там вона реалізує свої права згідно з регламентом: ініціює дебати, пропонує альтернативні законопроекти, ставить запитання урядові, може вимагати парламентських розслідувань. Позапарламентська опозиція діє переважно поза стінами парламенту – у громадянському суспільстві, медіапросторі, громадських організаціях. Вона може бути представлена новими рухами, нещодавно сформованими партіями, що ще не потрапили до парламенту, або іншими політичними акторами, що не мають формалізованого статусу у владних інституціях.</w:t>
      </w:r>
    </w:p>
    <w:p w14:paraId="0EB81713" w14:textId="00255274"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lastRenderedPageBreak/>
        <w:t>Опозиція виконує роль антизастійного чинника. Без опозиції правлячі сили ризикують перетворитися на замкнену еліту, не зацікавлену реагувати на суспільні запити та обмежувати власні повноваження. Отже, опозиція виступає гарантом політичної конкуренції та оновлення. Вона стимулює циркуляцію еліт: коли влада стає недостатньо ефективною чи корумпованою, опозиція, пропонуючи альтернативи, може здобути підтримку виборців і прийти до влади. Це, своєю чергою, посилює мотивацію правлячих кіл проявляти компетентність, чути суспільство, уникати авторитарних замашок.</w:t>
      </w:r>
    </w:p>
    <w:p w14:paraId="5F9DFF71" w14:textId="023056C9" w:rsidR="0070336F"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Таким чином, сутність політичної опозиції полягає у підтримці динаміки політичного життя, захисті різноманіття інтересів, забезпеченні політичної підзвітності влади. Опозиція – це не лише критика, а й потенційний інструмент прогресивних змін, фактор розвитку політичної культури та соціального капіталу.</w:t>
      </w:r>
    </w:p>
    <w:p w14:paraId="137E1BAA" w14:textId="77777777" w:rsidR="004F507F" w:rsidRPr="00A248F8" w:rsidRDefault="004F507F" w:rsidP="00A248F8">
      <w:pPr>
        <w:spacing w:after="0" w:line="360" w:lineRule="auto"/>
        <w:ind w:firstLine="567"/>
        <w:jc w:val="both"/>
        <w:rPr>
          <w:rFonts w:ascii="Times New Roman" w:hAnsi="Times New Roman" w:cs="Times New Roman"/>
          <w:sz w:val="28"/>
          <w:szCs w:val="28"/>
          <w:lang w:val="uk-UA"/>
        </w:rPr>
      </w:pPr>
    </w:p>
    <w:p w14:paraId="1653CDA9" w14:textId="42F586FC" w:rsidR="00071854" w:rsidRDefault="0070336F"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t xml:space="preserve">1.2. </w:t>
      </w:r>
      <w:r w:rsidR="00071854" w:rsidRPr="00A248F8">
        <w:rPr>
          <w:rFonts w:ascii="Times New Roman" w:hAnsi="Times New Roman" w:cs="Times New Roman"/>
          <w:b/>
          <w:bCs/>
          <w:sz w:val="28"/>
          <w:szCs w:val="28"/>
        </w:rPr>
        <w:t>Теоретичні підходи до ролі опозиції у демократичному політичному процесі</w:t>
      </w:r>
    </w:p>
    <w:p w14:paraId="60483967" w14:textId="77777777" w:rsidR="00EC7D6C" w:rsidRPr="00EC7D6C" w:rsidRDefault="00EC7D6C" w:rsidP="00EC7D6C">
      <w:pPr>
        <w:spacing w:after="0" w:line="360" w:lineRule="auto"/>
        <w:ind w:firstLine="567"/>
        <w:jc w:val="center"/>
        <w:rPr>
          <w:rFonts w:ascii="Times New Roman" w:hAnsi="Times New Roman" w:cs="Times New Roman"/>
          <w:b/>
          <w:bCs/>
          <w:sz w:val="28"/>
          <w:szCs w:val="28"/>
        </w:rPr>
      </w:pPr>
    </w:p>
    <w:p w14:paraId="7A697720" w14:textId="1C0F69A0"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Дослідження опозиції в теорії політики має глибоке коріння і спирається на різноманітні теоретичні парадигми. Класичні ліберальні теорії демократії, сформовані ще в епоху Просвітництва, виходять із того, що противага владі, різноманітність думок і ідей, можливість критикувати уряд є умовою свободи і прогресу. При цьому, протягом ХХ – початку ХХІ століття з’явилося багато аналітичних концепцій, які глибше пояснюють роль опозиції.</w:t>
      </w:r>
    </w:p>
    <w:p w14:paraId="5546DD98" w14:textId="4645239D"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Структурно-функціональний підхід фокусується на функціях опозиції для системної стабільності. Опозиція виступає механізмом адаптації системи до нових викликів, допомагає уникнути застою, поляризації, дає можливість оновлення еліт. Цей підхід розглядає опозицію як структурний елемент політичної системи, що сприяє її рівновазі: якщо влада заходить у глухий кут, опозиція може запропонувати альтернативи, тим самим коригуючи політичний курс і запобігаючи колапсу</w:t>
      </w:r>
      <w:r w:rsidR="001E472C" w:rsidRPr="00A248F8">
        <w:rPr>
          <w:rFonts w:ascii="Times New Roman" w:hAnsi="Times New Roman" w:cs="Times New Roman"/>
          <w:sz w:val="28"/>
          <w:szCs w:val="28"/>
          <w:lang w:val="uk-UA"/>
        </w:rPr>
        <w:t>.</w:t>
      </w:r>
    </w:p>
    <w:p w14:paraId="688540B3" w14:textId="54AC456F"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lastRenderedPageBreak/>
        <w:t>Біхевіористський підхід концентрується на поведінці окремих акторів – партій, лідерів, виборців. Опозиція у цьому випадку розглядається як група суб’єктів, які вдаються до певних стратегій і тактик, щоб здобути популярність, мобілізувати електорат, змістити владу. Цей підхід дозволяє оцінити, як опозиційні партії формують свій імідж, як реагують на дії уряду, які комунікативні стратегії застосовують у медіапросторі. Наприклад, ефективність опозиції у виборах залежить не лише від формальних прав, а й від здатності лідерів переконати суспільство у доцільності своїх програм.</w:t>
      </w:r>
    </w:p>
    <w:p w14:paraId="0E88A09B" w14:textId="451B42C8"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Інституційний підхід акцентує увагу на формальних правилах гри: конституційних положеннях, виборчих законах, парламентарних регламентах, нормах, що регулюють доступ до ЗМІ, партійне фінансування тощо. Якщо опозиція має конституційно закріплені права, може сформувати власні фракції, отримати місця в комітетах, отримати час для виступів, а також мати доступ до публічної критики уряду, це створює підґрунтя для реальної політичної конкуренції. Прикладом є законодавчі гарантії прав опозиції в окремих країнах, де конституції прямо закріплюють роль опозиції</w:t>
      </w:r>
      <w:r w:rsidR="001E472C" w:rsidRPr="00A248F8">
        <w:rPr>
          <w:rFonts w:ascii="Times New Roman" w:hAnsi="Times New Roman" w:cs="Times New Roman"/>
          <w:sz w:val="28"/>
          <w:szCs w:val="28"/>
          <w:lang w:val="uk-UA"/>
        </w:rPr>
        <w:t>.</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3</w:t>
      </w:r>
      <w:r w:rsidR="00F22443" w:rsidRPr="00F22443">
        <w:rPr>
          <w:rFonts w:ascii="Times New Roman" w:hAnsi="Times New Roman" w:cs="Times New Roman"/>
          <w:sz w:val="28"/>
          <w:szCs w:val="28"/>
          <w:lang w:val="uk-UA"/>
        </w:rPr>
        <w:t>]</w:t>
      </w:r>
    </w:p>
    <w:p w14:paraId="755B37B6" w14:textId="7A58D672"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Теоретики демократії, як-от Роберт Даль, наголошували, що опозиція – це маркер поліархії, стану, в якому влада децентралізована, а різні групи можуть вільно боротися за вплив на прийняття рішень. Даль підкреслював, що без можливості вільного суперництва між владою та опозицією, без гарантій для діяльності останньої, демократичний режим стає лише фасадом.</w:t>
      </w:r>
    </w:p>
    <w:p w14:paraId="78AB14B5" w14:textId="3D27BD70"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 контексті посткомуністичних трансформацій значний внесок у вивчення опозиції здійснили дослідники політичної культури перехідних суспільств. Наприклад, у збірнику під редакцією Whitefield S. «Political Culture and Post-Communism» розглядається, як пострадянські країни виробляють нові політичні практики, серед яких опозиція часто формується під впливом успадкованих патернів поведінки, низької довіри, непевності щодо майбутнього політичного курсу. В цих умовах опозиція може бути слабко структурованою та часто обмеженою у своїх можливостях.</w:t>
      </w:r>
    </w:p>
    <w:p w14:paraId="64BAA83B" w14:textId="57CAC1BF"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lastRenderedPageBreak/>
        <w:t>Поступове формування опозиції в Україні, особливо в 1990-х роках, відбувалося за умов нестабільних політичних інституцій. Відсутність чітких правових механізмів захисту опозиції та традицій демократичної конкуренції ускладнювала інституціоналізацію опозиції. Як зазначає Рудич Ф., початковий період української незалежності характеризувався ситуативністю опозиційних альянсів, нестійкістю партійних структур, а влада часто схилялася до кулуарних домовленостей замість відкритого політичного діалогу</w:t>
      </w:r>
      <w:r w:rsidR="001E472C" w:rsidRPr="00A248F8">
        <w:rPr>
          <w:rFonts w:ascii="Times New Roman" w:hAnsi="Times New Roman" w:cs="Times New Roman"/>
          <w:sz w:val="28"/>
          <w:szCs w:val="28"/>
          <w:lang w:val="uk-UA"/>
        </w:rPr>
        <w:t>.</w:t>
      </w:r>
    </w:p>
    <w:p w14:paraId="68C00DFC" w14:textId="7D671680" w:rsidR="0070336F"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З часом, із конституційною реформою 2004 року та подальшими демократичними перетвореннями, інституціоналізація опозиції набула більш завершених форм: опозиційні сили отримали шанси на рівнішій основі протистояти владі в парламенті, пропонуючи альтернативні законопроекти, створюючи слідчі комісії, контролюючи урядову діяльність. Втім, ефективність опозиції залежала від політичної культури, реального впливу медіа, прозорості виборчих процесів.</w:t>
      </w:r>
    </w:p>
    <w:p w14:paraId="76D72EB9" w14:textId="77777777" w:rsidR="004F507F" w:rsidRPr="00A248F8" w:rsidRDefault="004F507F" w:rsidP="00A248F8">
      <w:pPr>
        <w:spacing w:after="0" w:line="360" w:lineRule="auto"/>
        <w:ind w:firstLine="567"/>
        <w:jc w:val="both"/>
        <w:rPr>
          <w:rFonts w:ascii="Times New Roman" w:hAnsi="Times New Roman" w:cs="Times New Roman"/>
          <w:sz w:val="28"/>
          <w:szCs w:val="28"/>
          <w:lang w:val="uk-UA"/>
        </w:rPr>
      </w:pPr>
    </w:p>
    <w:p w14:paraId="3EBF1CA4" w14:textId="4E23302C" w:rsidR="0070336F" w:rsidRDefault="0070336F"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t xml:space="preserve">1.3. </w:t>
      </w:r>
      <w:r w:rsidR="00C8555D" w:rsidRPr="00A248F8">
        <w:rPr>
          <w:rFonts w:ascii="Times New Roman" w:hAnsi="Times New Roman" w:cs="Times New Roman"/>
          <w:b/>
          <w:bCs/>
          <w:sz w:val="28"/>
          <w:szCs w:val="28"/>
        </w:rPr>
        <w:t>Поняття, типологія та сутність політичної опозиції</w:t>
      </w:r>
    </w:p>
    <w:p w14:paraId="36FBD516" w14:textId="77777777" w:rsidR="00EC7D6C" w:rsidRPr="00EC7D6C" w:rsidRDefault="00EC7D6C" w:rsidP="00EC7D6C">
      <w:pPr>
        <w:spacing w:after="0" w:line="360" w:lineRule="auto"/>
        <w:ind w:firstLine="567"/>
        <w:jc w:val="center"/>
        <w:rPr>
          <w:rFonts w:ascii="Times New Roman" w:hAnsi="Times New Roman" w:cs="Times New Roman"/>
          <w:b/>
          <w:bCs/>
          <w:sz w:val="28"/>
          <w:szCs w:val="28"/>
        </w:rPr>
      </w:pPr>
    </w:p>
    <w:p w14:paraId="453D93D0" w14:textId="000FEFAD"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Наявність повноцінної опозиції та її спроможність діяти ефективно сприймаються як індикатор демократичності та конкурентності політичної системи. Чим більше можливостей для легальної, конструктивної опозиції, тим вищий рівень політичної конкуренції, тим важче владі узурпувати повноваження.</w:t>
      </w:r>
    </w:p>
    <w:p w14:paraId="00087C01" w14:textId="60C8C3FB"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 історії України опозиція відіграла значну роль у переломні моменти: «Помаранчева революція» 2004 року та Євромайдан 2013–2014 років. Ці події продемонстрували потенціал опозиції як рушійної сили мирних демократичних змін. За спостереженнями Andrew Wilson, під час «Помаранчевої революції» опозиція успішно уникла насильства, що стало ключовою умовою підвищення її легітимності в очах міжнародної спільноти та власного суспільства</w:t>
      </w:r>
      <w:r w:rsidR="0049123B" w:rsidRPr="00A248F8">
        <w:rPr>
          <w:rFonts w:ascii="Times New Roman" w:hAnsi="Times New Roman" w:cs="Times New Roman"/>
          <w:sz w:val="28"/>
          <w:szCs w:val="28"/>
          <w:lang w:val="uk-UA"/>
        </w:rPr>
        <w:t>.</w:t>
      </w:r>
    </w:p>
    <w:p w14:paraId="2351F127" w14:textId="522527DD"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lastRenderedPageBreak/>
        <w:t>Ненасильницький характер опозиційного руху дав змогу продемонструвати зрілість політичної культури: опозиційні лідери та громадські активісти виступили за чесні вибори та справедливість, а не за повалення влади шляхом сили. Такі практики сформували традицію мирного тиску, що засвідчує потенціал опозиції до пропонування ненасильницьких інструментів зміни влади. З огляду на це, опозиція стала не просто індикатором готовності суспільства до змін, а й гарантом того, що ці зміни відбуватимуться в цивілізованих рамках.</w:t>
      </w:r>
    </w:p>
    <w:p w14:paraId="401CA62F" w14:textId="2DB11BED"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У країнах із усталеними демократіями на конституційному рівні закріплено право опозиції виконувати контрольну функцію. Наприклад, у деяких державах законодавство визначає спеціальний порядок ухвалення рішень, які стосуються опозиційного статусу, надає їй право створювати слідчі комісії, мати представництво в органах парламентського контролю </w:t>
      </w:r>
      <w:r w:rsidR="00F22443" w:rsidRPr="00F22443">
        <w:rPr>
          <w:rFonts w:ascii="Times New Roman" w:hAnsi="Times New Roman" w:cs="Times New Roman"/>
          <w:sz w:val="28"/>
          <w:szCs w:val="28"/>
          <w:lang w:val="uk-UA"/>
        </w:rPr>
        <w:t>[</w:t>
      </w:r>
      <w:r w:rsidR="00F22443">
        <w:rPr>
          <w:rFonts w:ascii="Times New Roman" w:hAnsi="Times New Roman" w:cs="Times New Roman"/>
          <w:sz w:val="28"/>
          <w:szCs w:val="28"/>
          <w:lang w:val="uk-UA"/>
        </w:rPr>
        <w:t>7</w:t>
      </w:r>
      <w:r w:rsidR="00F22443" w:rsidRPr="00F22443">
        <w:rPr>
          <w:rFonts w:ascii="Times New Roman" w:hAnsi="Times New Roman" w:cs="Times New Roman"/>
          <w:sz w:val="28"/>
          <w:szCs w:val="28"/>
          <w:lang w:val="uk-UA"/>
        </w:rPr>
        <w:t>]</w:t>
      </w:r>
      <w:r w:rsidRPr="00A248F8">
        <w:rPr>
          <w:rFonts w:ascii="Times New Roman" w:hAnsi="Times New Roman" w:cs="Times New Roman"/>
          <w:sz w:val="28"/>
          <w:szCs w:val="28"/>
          <w:lang w:val="uk-UA"/>
        </w:rPr>
        <w:t>Подібні механізми дозволяють опозиції брати участь у виробленні порядку денного, а владі – підтримувати діалог із критично налаштованими силами.</w:t>
      </w:r>
      <w:r w:rsidR="00F22443" w:rsidRPr="00F22443">
        <w:rPr>
          <w:rFonts w:ascii="Times New Roman" w:hAnsi="Times New Roman" w:cs="Times New Roman"/>
          <w:sz w:val="28"/>
          <w:szCs w:val="28"/>
          <w:lang w:val="uk-UA"/>
        </w:rPr>
        <w:t xml:space="preserve"> </w:t>
      </w:r>
    </w:p>
    <w:p w14:paraId="3C176F23" w14:textId="54490BC3"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 Україні після 2014 року ситуація стала більш складною через воєнні виклики та агресію РФ. В умовах військового конфлікту влада прагне консолідувати суспільство, що часто супроводжується обмеженням опозиційної діяльності: закриттям окремих телеканалів, утисками у доступі до ресурсів. Тиск війни створює додаткові перешкоди для опозиції, яка може бути звинувачена у «підриві єдності», «співпраці з ворогом» або «зайвому критиканстві» в умовах, коли держава бореться за виживання. Опозиція, зокрема позапарламентська, у таких ситуаціях змушена переосмислювати свої стратегії, зосереджуватися на конструктивній критиці, що не зашкодить обороноздатності, але не відмовлятися від своєї ролі контролю та формування альтернатив (РБК-Україна, «Що відбувається в опозиції…»).</w:t>
      </w:r>
    </w:p>
    <w:p w14:paraId="6CC91651" w14:textId="11550DC9"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Тут опозиція виступає відображенням загального стану політичного процесу: чим більше простору для опозиційних поглядів навіть під час криз, тим менше ризику авторитаризації. Якщо ж влада, прикриваючись воєнним станом, системно придушує опозиційні голоси, це сигналізує про відкат </w:t>
      </w:r>
      <w:r w:rsidRPr="00A248F8">
        <w:rPr>
          <w:rFonts w:ascii="Times New Roman" w:hAnsi="Times New Roman" w:cs="Times New Roman"/>
          <w:sz w:val="28"/>
          <w:szCs w:val="28"/>
          <w:lang w:val="uk-UA"/>
        </w:rPr>
        <w:lastRenderedPageBreak/>
        <w:t>демократичних норм. Відтак, опозиція – надійний барометр демократичності: коли політична система готова терпіти й чути критику навіть у складний період, це свідчить про достатньо високий рівень політичної культури та стабільності.</w:t>
      </w:r>
    </w:p>
    <w:p w14:paraId="7403F86A" w14:textId="520AB2F8"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Варто підкреслити, що опозиція не лише реагує на виклики, але й сама їх формує. Якщо опозиційні сили слабко організовані, не мають чітких програм, не здатні забезпечити відповідні аналітичні та експертні підходи, вони можуть втратити довіру суспільства. У цьому випадку опозиція не сприяє підвищенню якості демократії, а навпаки, створює враження безпорадності альтернативного політичного курсу. Отже, ефективність опозиції залежить від внутрішньої організованості, спроможності пропонувати якісні рішення і знайти підтримку громадян.</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12</w:t>
      </w:r>
      <w:r w:rsidR="00F22443" w:rsidRPr="00F22443">
        <w:rPr>
          <w:rFonts w:ascii="Times New Roman" w:hAnsi="Times New Roman" w:cs="Times New Roman"/>
          <w:sz w:val="28"/>
          <w:szCs w:val="28"/>
          <w:lang w:val="uk-UA"/>
        </w:rPr>
        <w:t>]</w:t>
      </w:r>
    </w:p>
    <w:p w14:paraId="47239B02" w14:textId="7031622D"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Підсумовуючи історико-теоретичний огляд, можна констатувати: опозиція – це не просто «інша сторона» у політиці, це інститут, котрий уможливлює постійну корекцію влади, захищає громадян від монополії однієї політичної групи, дозволяє реалізувати право на альтернативу. У класичних демократіях опозиція визнана на конституційному рівні, у перехідних демократіях – це сфера постійної боротьби за своє місце та легітимність. Теоретичні концепції, такі як структурно-функціональний, біхевіористський, інституційний підходи, допомагають глибше зрозуміти сутність опозиції, її роль як фактора стабільності та показника конкурентності політичної системи.</w:t>
      </w:r>
    </w:p>
    <w:p w14:paraId="2BE2ADFF" w14:textId="31903975"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Якщо розглядати опозицію у довготривалій історичній перспективі, можна побачити, що вона є не лише фактором протистояння владі, але й одним із ключових чинників, що визначає історичну долю демократії. Нездатність інституціоналізувати опозицію може призвести до поступового переходу до авторитаризму; натомість сильна та легітимна опозиція – ознака здорового політичного середовища, що дозволяє здійснювати мирні трансфери влади та демократичну еволюцію держави.</w:t>
      </w:r>
    </w:p>
    <w:p w14:paraId="70043E6A" w14:textId="04F90092" w:rsidR="0070336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Для України, як перехідної демократії, питання опозиції завжди було актуальним. Від самого початку незалежності опозиційні рухи істотно </w:t>
      </w:r>
      <w:r w:rsidRPr="00A248F8">
        <w:rPr>
          <w:rFonts w:ascii="Times New Roman" w:hAnsi="Times New Roman" w:cs="Times New Roman"/>
          <w:sz w:val="28"/>
          <w:szCs w:val="28"/>
          <w:lang w:val="uk-UA"/>
        </w:rPr>
        <w:lastRenderedPageBreak/>
        <w:t>вплинули на розвиток політичної культури, громадянського суспільства, формування національної ідентичності. Хоча іноді опозиція стикалася з тиском, обмеженнями, маніпуляціями, ці труднощі стимулювали розвиток нових форм опозиційної діяльності, пошук ефективніших стратегій. Досвід «Помаранчевої революції» та Євромайдану продемонстрував, що коли опозиція спирається на широку підтримку суспільства, моральні принципи ненасильницького спротиву та прагнення до демократичних стандартів, вона здатна стати потужним каталізатором змін.</w:t>
      </w:r>
    </w:p>
    <w:p w14:paraId="51BF326D" w14:textId="2EC82534" w:rsidR="00817E7F" w:rsidRPr="00A248F8" w:rsidRDefault="0070336F"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Отже, історико-теоретичні засади дослідження політичної опозиції свідчать про її виняткове значення для демократії. Політична опозиція – це інституалізований прояв альтернативності та свободи вибору, гарантія від диктатури більшості, механізм саморегуляції політичної системи. У міру того, як країна проходить через кризи, реформи, війни та внутрішні трансформації, роль опозиції стає маркером того, наскільки суспільство зберігає можливість впливати на владу, наскільки політичний режим залишається відкритим і чутливим до суспільних очікувань.</w:t>
      </w:r>
    </w:p>
    <w:p w14:paraId="30287DE2" w14:textId="60E5B3BC"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Світовий досвід засвідчує, що політична опозиція існує в усіх державах з багатопартійною системою та змагальними виборами, хоча обсяг її прав, інституційний статус і вплив значно різняться. Розвиток інституту опозиції залежить від типу політичної системи: парламентської, президентської або змішаної.</w:t>
      </w:r>
    </w:p>
    <w:p w14:paraId="5DC618FE" w14:textId="40FA6446"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Парламентські системи. У державах з парламентською формою правління уряд формується парламентською більшістю, а опозиція є природною складовою системи «уряд – тіньовий уряд». Класичний приклад – Велика Британія. Тут опозиція має офіційний статус «Лояльної опозиції Її/Його Величності». Її лідер отримує певні привілеї, наприклад, «Short money» (державне фінансування діяльності опозиції), гарантований час для обговорення власних пропозицій, право ставити прем’єр-міністру запитання під час щотижневих сесій. Така модель визнання опозиції є взірцевою для </w:t>
      </w:r>
      <w:r w:rsidRPr="00A248F8">
        <w:rPr>
          <w:rFonts w:ascii="Times New Roman" w:hAnsi="Times New Roman" w:cs="Times New Roman"/>
          <w:sz w:val="28"/>
          <w:szCs w:val="28"/>
          <w:lang w:val="uk-UA"/>
        </w:rPr>
        <w:lastRenderedPageBreak/>
        <w:t>інших парламентських демократій (Канада, Австралія, Нова Зеландія), створюючи чіткі інституційні рамки для опозиційної діяльності.</w:t>
      </w:r>
    </w:p>
    <w:p w14:paraId="577DF6D0" w14:textId="765727CE"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Президентські системи. У президентських республіках, таких як США, опозиція не завжди офіційно закріплена. Президент обирається напряму народом, а парламент (Конгрес) є відносно незалежною гілкою. У США двопартійна система (Демократична та Республіканська партії) передбачає, що партія, яка не контролює Білий дім, фактично виконує роль опозиції. Вона може блокувати законодавчі ініціативи президента в Конгресі, проводити парламентські слухання, розслідування, створювати комісії, контролювати бюджет. Незалежна судова влада та вільні медіа також створюють умови для опозиційної діяльності.</w:t>
      </w:r>
      <w:r w:rsidR="00F22443" w:rsidRPr="00F22443">
        <w:rPr>
          <w:rFonts w:ascii="Times New Roman" w:hAnsi="Times New Roman" w:cs="Times New Roman"/>
          <w:sz w:val="28"/>
          <w:szCs w:val="28"/>
          <w:lang w:val="uk-UA"/>
        </w:rPr>
        <w:t xml:space="preserve"> [1</w:t>
      </w:r>
      <w:r w:rsidR="00F22443">
        <w:rPr>
          <w:rFonts w:ascii="Times New Roman" w:hAnsi="Times New Roman" w:cs="Times New Roman"/>
          <w:sz w:val="28"/>
          <w:szCs w:val="28"/>
          <w:lang w:val="uk-UA"/>
        </w:rPr>
        <w:t>7</w:t>
      </w:r>
      <w:r w:rsidR="00F22443" w:rsidRPr="00F22443">
        <w:rPr>
          <w:rFonts w:ascii="Times New Roman" w:hAnsi="Times New Roman" w:cs="Times New Roman"/>
          <w:sz w:val="28"/>
          <w:szCs w:val="28"/>
          <w:lang w:val="uk-UA"/>
        </w:rPr>
        <w:t>]</w:t>
      </w:r>
    </w:p>
    <w:p w14:paraId="3EFD0557" w14:textId="43242BC6"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Змішані (напівпрезидентські) системи. У Франції, яка має напівпрезидентську модель (президент і прем’єр-міністр поділяють виконавчу владу), опозиція може маневрувати між цими центрами влади. У разі «коабітації», коли президент та парламентська більшість представляють різні політичні табори, опозиція здатна впливати на формування урядового курсу, використовуючи механізми вотуму недовіри, конституційний контроль, тиск через парламентські дебати.</w:t>
      </w:r>
    </w:p>
    <w:p w14:paraId="44301203" w14:textId="4F4803F9"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Таким чином, тип політичної системи впливає на характер і роль опозиції: у парламентських системах її статус чітко окреслений, у президентських – вона діє через партійно-інституційний баланс, а у змішаних – використовує гнучкі механізми впливу.</w:t>
      </w:r>
    </w:p>
    <w:p w14:paraId="5CF33DED"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FD5E5D8"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166FFB02"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0417EEF"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7F193EF"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243B86DC"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438699EB" w14:textId="1844E366" w:rsidR="00EC7D6C" w:rsidRDefault="00EC7D6C" w:rsidP="00EC7D6C">
      <w:pPr>
        <w:spacing w:after="0" w:line="360" w:lineRule="auto"/>
        <w:jc w:val="both"/>
        <w:rPr>
          <w:rFonts w:ascii="Times New Roman" w:hAnsi="Times New Roman" w:cs="Times New Roman"/>
          <w:b/>
          <w:bCs/>
          <w:sz w:val="28"/>
          <w:szCs w:val="28"/>
          <w:lang w:val="uk-UA"/>
        </w:rPr>
      </w:pPr>
    </w:p>
    <w:p w14:paraId="25D4915B" w14:textId="77777777" w:rsidR="00EC7D6C" w:rsidRDefault="00EC7D6C" w:rsidP="00EC7D6C">
      <w:pPr>
        <w:spacing w:after="0" w:line="360" w:lineRule="auto"/>
        <w:jc w:val="both"/>
        <w:rPr>
          <w:rFonts w:ascii="Times New Roman" w:hAnsi="Times New Roman" w:cs="Times New Roman"/>
          <w:b/>
          <w:bCs/>
          <w:sz w:val="28"/>
          <w:szCs w:val="28"/>
          <w:lang w:val="uk-UA"/>
        </w:rPr>
      </w:pPr>
    </w:p>
    <w:p w14:paraId="18CD3742" w14:textId="0B076D97" w:rsidR="00071854" w:rsidRDefault="00071854"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lastRenderedPageBreak/>
        <w:t xml:space="preserve">РОЗДІЛ 2. </w:t>
      </w:r>
      <w:r w:rsidRPr="00A248F8">
        <w:rPr>
          <w:rFonts w:ascii="Times New Roman" w:hAnsi="Times New Roman" w:cs="Times New Roman"/>
          <w:b/>
          <w:bCs/>
          <w:sz w:val="28"/>
          <w:szCs w:val="28"/>
        </w:rPr>
        <w:t>МІЖНАРОДНИЙ КОНТЕКСТ ТА ВІТЧИЗНЯНА СПЕЦИФІКА ОПОЗИЦІЇ</w:t>
      </w:r>
    </w:p>
    <w:p w14:paraId="3703F533" w14:textId="77777777" w:rsidR="00EC7D6C" w:rsidRPr="00A248F8" w:rsidRDefault="00EC7D6C" w:rsidP="00EC7D6C">
      <w:pPr>
        <w:spacing w:after="0" w:line="360" w:lineRule="auto"/>
        <w:ind w:firstLine="567"/>
        <w:jc w:val="center"/>
        <w:rPr>
          <w:rFonts w:ascii="Times New Roman" w:hAnsi="Times New Roman" w:cs="Times New Roman"/>
          <w:b/>
          <w:bCs/>
          <w:sz w:val="28"/>
          <w:szCs w:val="28"/>
          <w:lang w:val="uk-UA"/>
        </w:rPr>
      </w:pPr>
    </w:p>
    <w:p w14:paraId="5F2F84CB" w14:textId="2DE279F9" w:rsidR="007B2334" w:rsidRDefault="007B2334"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t>2.</w:t>
      </w:r>
      <w:r w:rsidR="00071854" w:rsidRPr="00A248F8">
        <w:rPr>
          <w:rFonts w:ascii="Times New Roman" w:hAnsi="Times New Roman" w:cs="Times New Roman"/>
          <w:b/>
          <w:bCs/>
          <w:sz w:val="28"/>
          <w:szCs w:val="28"/>
          <w:lang w:val="uk-UA"/>
        </w:rPr>
        <w:t>1</w:t>
      </w:r>
      <w:r w:rsidRPr="00A248F8">
        <w:rPr>
          <w:rFonts w:ascii="Times New Roman" w:hAnsi="Times New Roman" w:cs="Times New Roman"/>
          <w:b/>
          <w:bCs/>
          <w:sz w:val="28"/>
          <w:szCs w:val="28"/>
          <w:lang w:val="uk-UA"/>
        </w:rPr>
        <w:t xml:space="preserve">. </w:t>
      </w:r>
      <w:r w:rsidR="001146FC" w:rsidRPr="00A248F8">
        <w:rPr>
          <w:rFonts w:ascii="Times New Roman" w:hAnsi="Times New Roman" w:cs="Times New Roman"/>
          <w:b/>
          <w:bCs/>
          <w:sz w:val="28"/>
          <w:szCs w:val="28"/>
        </w:rPr>
        <w:t>Функціонування опозиції у різних демократичних середовищах і нормах міжнародного права</w:t>
      </w:r>
    </w:p>
    <w:p w14:paraId="646E1421" w14:textId="77777777" w:rsidR="00EC7D6C" w:rsidRPr="00A248F8" w:rsidRDefault="00EC7D6C" w:rsidP="00EC7D6C">
      <w:pPr>
        <w:spacing w:after="0" w:line="360" w:lineRule="auto"/>
        <w:ind w:firstLine="567"/>
        <w:jc w:val="center"/>
        <w:rPr>
          <w:rFonts w:ascii="Times New Roman" w:hAnsi="Times New Roman" w:cs="Times New Roman"/>
          <w:b/>
          <w:bCs/>
          <w:sz w:val="28"/>
          <w:szCs w:val="28"/>
          <w:lang w:val="uk-UA"/>
        </w:rPr>
      </w:pPr>
    </w:p>
    <w:p w14:paraId="346026B6" w14:textId="59A5B37D"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Рівень демократичної зрілості держави визначає, наскільки ефективно і вільно діє опозиція. У розвинених демократіях існують стабільні правові інструменти та політична культура, що гарантують опозиції вільну діяльність. У перехідних демократіях (до яких належить Україна) опозиція стикається з нестачею правових гарантій, залежністю від політичної кон’юнктури. В авторитарних та гібридних режимах опозиція існує лише номінально або піддається репресіям.</w:t>
      </w:r>
    </w:p>
    <w:p w14:paraId="74AA6D38" w14:textId="1EAC78DF"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Міжнародні інституції також впливають на забезпечення політичних прав опозиції. Статут Організації Об’єднаних Націй (ООН) [1] прямо не регулює статус політичної опозиції, адже він переважно визначає цілі, принципи та структуру ООН. Проте загальновизнані принципи демократії, прав людини та верховенства права, що закріплені у Статуті ООН (особливо в частині підтримання міжнародного миру та безпеки, поваги до прав людини), слугують фундаментом, на який спираються інші міжнародні акти.</w:t>
      </w:r>
    </w:p>
    <w:p w14:paraId="475ED0BF" w14:textId="17CA3371"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Права опозиції випливають з універсальних стандартів прав людини. Загальна декларація прав людини (1948), Міжнародний пакт про громадянські та політичні права (1966) гарантують свободу вираження поглядів, об’єднань, мирних зібрань, що є необхідними передумовами для існування опозиції. Таким чином, хоча Статут ООН не містить прямих норм про опозицію, загальний міжнародно-правовий контекст, сформований під егідою ООН, створює сприятливе середовище для розвитку демократичних інститутів, включно з опозицією.</w:t>
      </w:r>
    </w:p>
    <w:p w14:paraId="5C9BEB08" w14:textId="4A9470DC"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ЄС, будучи унікальним наднаціональним утворенням, впливає на демократичні стандарти країн-членів та країн-кандидатів. Вимоги до поваги </w:t>
      </w:r>
      <w:r w:rsidRPr="00A248F8">
        <w:rPr>
          <w:rFonts w:ascii="Times New Roman" w:hAnsi="Times New Roman" w:cs="Times New Roman"/>
          <w:sz w:val="28"/>
          <w:szCs w:val="28"/>
          <w:lang w:val="uk-UA"/>
        </w:rPr>
        <w:lastRenderedPageBreak/>
        <w:t>прав людини, верховенства права, політичного плюралізму, які є умовами вступу до ЄС (Копенгагенські критерії), стосуються й опозиції. Хоча договори ЄС (зокрема, Договір про Європейський Союз та Договір про функціонування ЄС) не містять спеціальних статей про опозицію, загальні принципи демократії, закріплені в статті 2 Договору про ЄС, а також Хартія основоположних прав Європейського Союзу (2000) [2] забезпечують опозиції правове підґрунтя.</w:t>
      </w:r>
      <w:r w:rsidR="00F22443" w:rsidRPr="00F22443">
        <w:rPr>
          <w:rFonts w:ascii="Times New Roman" w:hAnsi="Times New Roman" w:cs="Times New Roman"/>
          <w:sz w:val="28"/>
          <w:szCs w:val="28"/>
          <w:lang w:val="uk-UA"/>
        </w:rPr>
        <w:t xml:space="preserve"> </w:t>
      </w:r>
    </w:p>
    <w:p w14:paraId="2DC546C0" w14:textId="5102D7F4" w:rsidR="007B2334"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Хартія ЄС гарантує свободу вираження, свободу зібрань, свободу об’єднань, політичну рівність та недискримінацію. Держави-члени ЄС зобов’язані дотримуватися цих норм, що створює умови для повноцінної політичної конкуренції та захисту опозиційних сил. Інституції ЄС (Європейський парламент, Європейська комісія, Суд ЄС) опосередковано впливають на функціонування опозиції, оцінюючи стан демократії та верховенства права у державах-членах.</w:t>
      </w:r>
    </w:p>
    <w:p w14:paraId="75239ECD" w14:textId="77777777" w:rsidR="004F507F" w:rsidRPr="00A248F8" w:rsidRDefault="004F507F" w:rsidP="00A248F8">
      <w:pPr>
        <w:spacing w:after="0" w:line="360" w:lineRule="auto"/>
        <w:ind w:firstLine="567"/>
        <w:jc w:val="both"/>
        <w:rPr>
          <w:rFonts w:ascii="Times New Roman" w:hAnsi="Times New Roman" w:cs="Times New Roman"/>
          <w:sz w:val="28"/>
          <w:szCs w:val="28"/>
          <w:lang w:val="uk-UA"/>
        </w:rPr>
      </w:pPr>
    </w:p>
    <w:p w14:paraId="71241CED" w14:textId="66D9069B" w:rsidR="007B2334" w:rsidRDefault="007B2334"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t>2.</w:t>
      </w:r>
      <w:r w:rsidR="00071854" w:rsidRPr="00A248F8">
        <w:rPr>
          <w:rFonts w:ascii="Times New Roman" w:hAnsi="Times New Roman" w:cs="Times New Roman"/>
          <w:b/>
          <w:bCs/>
          <w:sz w:val="28"/>
          <w:szCs w:val="28"/>
          <w:lang w:val="uk-UA"/>
        </w:rPr>
        <w:t>2</w:t>
      </w:r>
      <w:r w:rsidRPr="00A248F8">
        <w:rPr>
          <w:rFonts w:ascii="Times New Roman" w:hAnsi="Times New Roman" w:cs="Times New Roman"/>
          <w:b/>
          <w:bCs/>
          <w:sz w:val="28"/>
          <w:szCs w:val="28"/>
          <w:lang w:val="uk-UA"/>
        </w:rPr>
        <w:t xml:space="preserve">. </w:t>
      </w:r>
      <w:r w:rsidR="001146FC" w:rsidRPr="00A248F8">
        <w:rPr>
          <w:rFonts w:ascii="Times New Roman" w:hAnsi="Times New Roman" w:cs="Times New Roman"/>
          <w:b/>
          <w:bCs/>
          <w:sz w:val="28"/>
          <w:szCs w:val="28"/>
        </w:rPr>
        <w:t>Механізми взаємодії опозиції з владою, громадянським суспільством і ЗМІ у країнах ЄС</w:t>
      </w:r>
    </w:p>
    <w:p w14:paraId="2EDF4B24" w14:textId="77777777" w:rsidR="00EC7D6C" w:rsidRPr="00A248F8" w:rsidRDefault="00EC7D6C" w:rsidP="00EC7D6C">
      <w:pPr>
        <w:spacing w:after="0" w:line="360" w:lineRule="auto"/>
        <w:ind w:firstLine="567"/>
        <w:jc w:val="center"/>
        <w:rPr>
          <w:rFonts w:ascii="Times New Roman" w:hAnsi="Times New Roman" w:cs="Times New Roman"/>
          <w:b/>
          <w:bCs/>
          <w:sz w:val="28"/>
          <w:szCs w:val="28"/>
          <w:lang w:val="uk-UA"/>
        </w:rPr>
      </w:pPr>
    </w:p>
    <w:p w14:paraId="1178CA2C" w14:textId="1AD992EC"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Країни Європейського Союзу демонструють різноманіття моделей функціонування опозиції в рамках подібних демократичних стандартів. В усіх країнах-членах ЄС діє принцип політичного плюралізму, однак конкретні механізми можуть різнитися.</w:t>
      </w:r>
    </w:p>
    <w:p w14:paraId="5E1FA131" w14:textId="361479C5"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Велика Британія, хоч і не є тепер членом ЄС, традиційно слугувала взірцем для багатьох європейських демократій. Британська модель зосереджується на інституційному визнанні опозиції, наданні їй доступу до парламентських дебатів, публічних ефірів. Скандинавські країни (Швеція, Данія, Фінляндія), члени ЄС (окрім Норвегії, яка не входить до ЄС), також характеризуються високим рівнем політичної культури, відкритістю уряду до критики та широким залученням опозиційних сил до роботи парламентських комітетів.</w:t>
      </w:r>
    </w:p>
    <w:p w14:paraId="51091486" w14:textId="652A17A2"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lastRenderedPageBreak/>
        <w:t>У цих державах опозиція має доступ до державних ЗМІ, їй надаються певні квоти на виступи, гарантується прозорий виборчий процес. Взаємодія з громадянським суспільством є сталою практикою: опозиція використовує експертні мережі, аналітичні центри, НУО для формування альтернативних політик та громадської підтримки.</w:t>
      </w:r>
    </w:p>
    <w:p w14:paraId="4306718F" w14:textId="5A64B96B"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 Німеччині опозиція в Бундестазі може ініціювати парламентські слідчі комісії, очолювати деякі комітети (наприклад, комітет з бюджету) та мати гарантований час для своїх ініціатив. Така практика сформована на основі конституційних принципів, зафіксованих у Основному законі ФРН, які чітко гарантують політичні права для всіх партій. Взаємодія опозиції з владою відбувається через процедури інтерпеляції (запитання урядовцям), законодавчі ініціативи, дебати в парламенті. Громадянське суспільство та ЗМІ у Німеччині відіграють роль медіатора, забезпечуючи інформування та контроль влади.</w:t>
      </w:r>
    </w:p>
    <w:p w14:paraId="3C150D08" w14:textId="3DDE11A6"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Франція, маючи напівпрезидентську систему, дозволяє опозиції в парламенті використовувати конституційні інструменти, такі як внесення вотуму недовіри уряду. Водночас свобода слова, зібрань і об’єднань, гарантована Конституцією, підсилює потенціал опозиції для співпраці з громадськістю. ЗМІ у Франції переважно приватні, але багатопрофільні, і опозиція може знаходити канали для поширення своїх ідей. Європейський контекст (членство у ЄС) додатково стимулює змагальність, оскільки оцінка стану демократії з боку інституцій ЄС впливає на репутацію уряду.</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12</w:t>
      </w:r>
      <w:r w:rsidR="00F22443" w:rsidRPr="00F22443">
        <w:rPr>
          <w:rFonts w:ascii="Times New Roman" w:hAnsi="Times New Roman" w:cs="Times New Roman"/>
          <w:sz w:val="28"/>
          <w:szCs w:val="28"/>
          <w:lang w:val="uk-UA"/>
        </w:rPr>
        <w:t>]</w:t>
      </w:r>
    </w:p>
    <w:p w14:paraId="5D10DD52" w14:textId="50364AD3"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 країнах Центрально-Східної Європи, що вступили до ЄС у 2004 році (Польща, Чехія, Угорщина), опозиція отримала нові можливості завдяки європейському правовому простору та міжнародним стандартам. На ранніх етапах трансформації опозиція відігравала важливу роль у демократизації, домагалася прозорих виборів та правового захисту своїх інтересів. Проте в деяких з цих країн (наприклад, в Угорщині останніми роками) спостерігається ерозія демократичних інститутів, посилення тиску на опозицію і ЗМІ.</w:t>
      </w:r>
    </w:p>
    <w:p w14:paraId="18941A81" w14:textId="67C6C9BD"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lastRenderedPageBreak/>
        <w:t>ЄС у такому разі виступає додатковим гарантом: процедури «статті 7» Договору про ЄС дають можливість накладати санкції на державу-члена за систематичне порушення цінностей ЄС. Опозиція може звертатися до інституцій ЄС, Європейського суду з прав людини (хоча останній не є органом ЄС, а Ради Європи) або Європейського парламенту, щоб привернути увагу до утисків. Це ускладнює можливість владі повністю придушити опозицію без міжнародних наслідків.</w:t>
      </w:r>
    </w:p>
    <w:p w14:paraId="46C57902" w14:textId="436DD665"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Україна, яка прагне вступу до ЄС, перебуває у стані глибоких перетворень, особливо в умовах збройної агресії РФ. Як зазначав Роман Романюк (2024), опозиція в українському парламенті після початку повномасштабної війни зазнає трансформацій: колишні проросійські партії переформатовані, частина з них стала фактично «попутниками» влади, інші залишаються в різній мірі деструктивними або конструктивними опонентами. Україна формально не є членом ЄС, однак набуття статусу кандидата в члени та тісна співпраця з ЄС спонукають до реформ, зокрема й у сфері парламентської демократії, гарантування прав опозиції.</w:t>
      </w:r>
    </w:p>
    <w:p w14:paraId="05083A30" w14:textId="4C0DA6BC"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Копенгагенські критерії вимагатимуть від України стабільності інституцій, які гарантують демократію. Це означає необхідність законодавчого закріплення статусу опозиції, прозорого фінансування партій, медіареформ, що забезпечать рівний доступ різних сил до ЗМІ. На тлі російського вторгнення та військового стану в Україні складно повноцінно реалізувати всі вимоги, однак поступ у цьому напрямі буде визначальним для євроінтеграційних перспектив.</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31</w:t>
      </w:r>
      <w:r w:rsidR="00F22443" w:rsidRPr="00F22443">
        <w:rPr>
          <w:rFonts w:ascii="Times New Roman" w:hAnsi="Times New Roman" w:cs="Times New Roman"/>
          <w:sz w:val="28"/>
          <w:szCs w:val="28"/>
          <w:lang w:val="uk-UA"/>
        </w:rPr>
        <w:t>]</w:t>
      </w:r>
    </w:p>
    <w:p w14:paraId="3689B966" w14:textId="12F42F36"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Помітну роль у розробці стандартів демократичної участі опозиції відіграє також Рада Європи, Венеціанська комісія, ОБСЄ (зокрема БДІПЛ), які рекомендують державам підвищувати прозорість виборів, гарантувати рівні можливості для опозиційних партій. Хоча Статут ООН чи договори ЄС не містять детальних інструкцій щодо опозиції, міжнародно-правова база, створена цими організаціями, формує стандарти. Наднаціональний нагляд за </w:t>
      </w:r>
      <w:r w:rsidRPr="00A248F8">
        <w:rPr>
          <w:rFonts w:ascii="Times New Roman" w:hAnsi="Times New Roman" w:cs="Times New Roman"/>
          <w:sz w:val="28"/>
          <w:szCs w:val="28"/>
          <w:lang w:val="uk-UA"/>
        </w:rPr>
        <w:lastRenderedPageBreak/>
        <w:t>дотриманням прав людини, свободи медіа, чесності виборчого процесу, стає непрямим, але дієвим інструментом захисту опозиції.</w:t>
      </w:r>
    </w:p>
    <w:p w14:paraId="1DCB86CC" w14:textId="1010D173"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 свою чергу, опозиція може звертатися до міжнародних інституцій та судових органів, якщо внутрішньодержавні механізми не працюють. Наприклад, політичні сили, які вважають себе утискуваними, можуть подати позови до Європейського суду з прав людини, посилаючись на статті Європейської конвенції про права людини (1950), що гарантують свободу слова, зібрань та асоціацій. Участь у міжнародних політичних партійних мережах (наприклад, Європейська народна партія, Партія Європейських соціалістів) також дає опозиції платформу для пошуку міжнародної солідарності.</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3</w:t>
      </w:r>
      <w:r w:rsidR="00F22443" w:rsidRPr="00F22443">
        <w:rPr>
          <w:rFonts w:ascii="Times New Roman" w:hAnsi="Times New Roman" w:cs="Times New Roman"/>
          <w:sz w:val="28"/>
          <w:szCs w:val="28"/>
          <w:lang w:val="uk-UA"/>
        </w:rPr>
        <w:t>]</w:t>
      </w:r>
    </w:p>
    <w:p w14:paraId="0B7F5D5E" w14:textId="07ACCE9A"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Тип політичної системи та статус опозиції. Парламентські, президентські та змішані системи по-різному визначають ролі опозиції. Парламентські демократії (Велика Британія, Німеччина, скандинавські країни) часто мають найбільш інституційно захищену опозицію. У президентських республіках (США) опозиція діє через стримування і противаги, а у змішаних системах (Франція) – через балансування між різними центрами влади.</w:t>
      </w:r>
    </w:p>
    <w:p w14:paraId="611981E1" w14:textId="6706B724"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Рівень демократичної зрілості та міжнародний вплив. Стабільні демократії ЄС пропонують опозиції широкі можливості для діяльності, включно з правом пропонувати альтернативні політики, контролювати уряд, мати доступ до ЗМІ. У перехідних демократіях (Україна) опозиція часто змушена діяти в умовах недосконалих інститутів, кулуарних домовленостей та ризиків політичного тиску. Міжнародні стандарти, сформовані під егідою ООН, Ради Європи та ЄС, відіграють роль морального та політико-правового орієнтира.</w:t>
      </w:r>
    </w:p>
    <w:p w14:paraId="376657F4" w14:textId="7D98B939"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Вплив ЄС та порівняння країн-членів. Хоча ЄС не має прямого законодавства про опозицію, його цінності та вимоги до країн-членів стимулюють створення сприятливого середовища для опозиційної діяльності. Порівняння країн ЄС показує, що всюди опозиція має мінімальні гарантії, а відмінності полягають у ступені розвиненості цих механізмів. У деяких </w:t>
      </w:r>
      <w:r w:rsidRPr="00A248F8">
        <w:rPr>
          <w:rFonts w:ascii="Times New Roman" w:hAnsi="Times New Roman" w:cs="Times New Roman"/>
          <w:sz w:val="28"/>
          <w:szCs w:val="28"/>
          <w:lang w:val="uk-UA"/>
        </w:rPr>
        <w:lastRenderedPageBreak/>
        <w:t>країнах відзначається відступ від демократичних стандартів (Угорщина), що викликає реакцію з боку Брюсселя та міжнародної спільноти.</w:t>
      </w:r>
    </w:p>
    <w:p w14:paraId="457E72B9" w14:textId="7DC8E089"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Роль Статуту ООН та міжнародного права. Статут ООН, хоча і не регулює прямо діяльність опозиції, закріплює основні принципи міжнародного правопорядку, які передбачають повагу до прав людини та демократичних цінностей. Поряд з іншими документами (Хартією ЄС, Європейською конвенцією про права людини), це створює світовий стандарт, до якого прагнуть держави.</w:t>
      </w:r>
      <w:r w:rsidR="00F22443" w:rsidRPr="00F22443">
        <w:rPr>
          <w:rFonts w:ascii="Times New Roman" w:hAnsi="Times New Roman" w:cs="Times New Roman"/>
          <w:sz w:val="28"/>
          <w:szCs w:val="28"/>
          <w:lang w:val="uk-UA"/>
        </w:rPr>
        <w:t xml:space="preserve"> </w:t>
      </w:r>
    </w:p>
    <w:p w14:paraId="755A9AB0" w14:textId="3A86EE17"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Україна та перспектива євроінтеграції. Україна, як країна-кандидат у члени ЄС, стикається з вимогою реформувати інститути влади, забезпечити незалежну судову систему, вільні ЗМІ, прозорі вибори і чітко визначений статус опозиції. Війна ускладнює ці завдання, проте саме опора на міжнародні норми та стандарти може допомогти Україні подолати труднощі та інтегруватися в європейський правовий простір.</w:t>
      </w:r>
    </w:p>
    <w:p w14:paraId="14F8206F" w14:textId="60EDA49D" w:rsidR="007B2334" w:rsidRPr="00A248F8" w:rsidRDefault="007B23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Таким чином, міжнародний досвід демонструє, що опозиція є невід’ємною частиною демократичного політичного процесу, а її ефективне функціонування можливе лише за умов дотримання прав людини, верховенства права та свобод, закріплених у національних конституціях, а також підтверджених міжнародними договорами, Статутом ООН, правом ЄС та рекомендаціями впливових міжнародних організацій.</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72"/>
        <w:gridCol w:w="1582"/>
        <w:gridCol w:w="1140"/>
        <w:gridCol w:w="1275"/>
        <w:gridCol w:w="1296"/>
        <w:gridCol w:w="1335"/>
        <w:gridCol w:w="1245"/>
      </w:tblGrid>
      <w:tr w:rsidR="00373A2A" w:rsidRPr="00A248F8" w14:paraId="0BE65B14" w14:textId="77777777" w:rsidTr="00EC7D6C">
        <w:trPr>
          <w:tblHeader/>
          <w:tblCellSpacing w:w="15" w:type="dxa"/>
          <w:jc w:val="center"/>
        </w:trPr>
        <w:tc>
          <w:tcPr>
            <w:tcW w:w="0" w:type="auto"/>
            <w:hideMark/>
          </w:tcPr>
          <w:p w14:paraId="7471088F" w14:textId="3B2E9C31"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Критерій/Країна або система</w:t>
            </w:r>
          </w:p>
        </w:tc>
        <w:tc>
          <w:tcPr>
            <w:tcW w:w="0" w:type="auto"/>
            <w:hideMark/>
          </w:tcPr>
          <w:p w14:paraId="2F62515C" w14:textId="77777777"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Тип політичної системи</w:t>
            </w:r>
          </w:p>
        </w:tc>
        <w:tc>
          <w:tcPr>
            <w:tcW w:w="0" w:type="auto"/>
            <w:hideMark/>
          </w:tcPr>
          <w:p w14:paraId="69D7F030" w14:textId="77777777"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Статус опозиції (правове закріплення)</w:t>
            </w:r>
          </w:p>
        </w:tc>
        <w:tc>
          <w:tcPr>
            <w:tcW w:w="0" w:type="auto"/>
            <w:hideMark/>
          </w:tcPr>
          <w:p w14:paraId="1C26635E" w14:textId="77777777"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Доступ до ЗМІ</w:t>
            </w:r>
          </w:p>
        </w:tc>
        <w:tc>
          <w:tcPr>
            <w:tcW w:w="0" w:type="auto"/>
            <w:hideMark/>
          </w:tcPr>
          <w:p w14:paraId="07BEBF47" w14:textId="77777777"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Взаємодія з владою (парламентські механізми)</w:t>
            </w:r>
          </w:p>
        </w:tc>
        <w:tc>
          <w:tcPr>
            <w:tcW w:w="0" w:type="auto"/>
            <w:hideMark/>
          </w:tcPr>
          <w:p w14:paraId="3BBCCE20" w14:textId="77777777"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Взаємодія з громадянським суспільством</w:t>
            </w:r>
          </w:p>
        </w:tc>
        <w:tc>
          <w:tcPr>
            <w:tcW w:w="0" w:type="auto"/>
            <w:hideMark/>
          </w:tcPr>
          <w:p w14:paraId="553C7877" w14:textId="77777777" w:rsidR="00373A2A" w:rsidRPr="00EC7D6C" w:rsidRDefault="00373A2A" w:rsidP="00EC7D6C">
            <w:pPr>
              <w:widowControl w:val="0"/>
              <w:spacing w:after="0" w:line="240" w:lineRule="auto"/>
              <w:rPr>
                <w:rFonts w:ascii="Times New Roman" w:hAnsi="Times New Roman" w:cs="Times New Roman"/>
                <w:b/>
                <w:bCs/>
                <w:sz w:val="16"/>
                <w:szCs w:val="16"/>
                <w:lang w:val="uk-UA"/>
              </w:rPr>
            </w:pPr>
            <w:r w:rsidRPr="00EC7D6C">
              <w:rPr>
                <w:rFonts w:ascii="Times New Roman" w:hAnsi="Times New Roman" w:cs="Times New Roman"/>
                <w:b/>
                <w:bCs/>
                <w:sz w:val="16"/>
                <w:szCs w:val="16"/>
                <w:lang w:val="uk-UA"/>
              </w:rPr>
              <w:t>Міжнародні стандарти (ООН, ЄС) та вплив</w:t>
            </w:r>
          </w:p>
        </w:tc>
      </w:tr>
      <w:tr w:rsidR="00373A2A" w:rsidRPr="00A248F8" w14:paraId="056CCB11" w14:textId="77777777" w:rsidTr="00EC7D6C">
        <w:trPr>
          <w:tblCellSpacing w:w="15" w:type="dxa"/>
          <w:jc w:val="center"/>
        </w:trPr>
        <w:tc>
          <w:tcPr>
            <w:tcW w:w="0" w:type="auto"/>
            <w:hideMark/>
          </w:tcPr>
          <w:p w14:paraId="1F40CCAF"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t>Велика Британія</w:t>
            </w:r>
            <w:r w:rsidRPr="00EC7D6C">
              <w:rPr>
                <w:rFonts w:ascii="Times New Roman" w:hAnsi="Times New Roman" w:cs="Times New Roman"/>
                <w:sz w:val="16"/>
                <w:szCs w:val="16"/>
                <w:lang w:val="uk-UA"/>
              </w:rPr>
              <w:t xml:space="preserve"> (приклад парламентської демократії)</w:t>
            </w:r>
          </w:p>
        </w:tc>
        <w:tc>
          <w:tcPr>
            <w:tcW w:w="0" w:type="auto"/>
            <w:hideMark/>
          </w:tcPr>
          <w:p w14:paraId="13F914D1"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Парламентська монархія</w:t>
            </w:r>
          </w:p>
        </w:tc>
        <w:tc>
          <w:tcPr>
            <w:tcW w:w="0" w:type="auto"/>
            <w:hideMark/>
          </w:tcPr>
          <w:p w14:paraId="55A05517"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Формальний статус «Лояльної опозиції»; тіньовий кабінет, закріплений традицією</w:t>
            </w:r>
          </w:p>
        </w:tc>
        <w:tc>
          <w:tcPr>
            <w:tcW w:w="0" w:type="auto"/>
            <w:hideMark/>
          </w:tcPr>
          <w:p w14:paraId="02ED31EB"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Широкий і гарантований доступ, державне фінансування опозиції для комунікації</w:t>
            </w:r>
          </w:p>
        </w:tc>
        <w:tc>
          <w:tcPr>
            <w:tcW w:w="0" w:type="auto"/>
            <w:hideMark/>
          </w:tcPr>
          <w:p w14:paraId="60A0C0B0"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Регулярні дебати, «Питання до Прем’єр-міністра», опозиційні дні для власних законопроєктів</w:t>
            </w:r>
          </w:p>
        </w:tc>
        <w:tc>
          <w:tcPr>
            <w:tcW w:w="0" w:type="auto"/>
            <w:hideMark/>
          </w:tcPr>
          <w:p w14:paraId="120D0240"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Тісна співпраця з НУО, think tanks, вкорінена політична культура діалогу</w:t>
            </w:r>
          </w:p>
        </w:tc>
        <w:tc>
          <w:tcPr>
            <w:tcW w:w="0" w:type="auto"/>
            <w:hideMark/>
          </w:tcPr>
          <w:p w14:paraId="181C015B"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Відповідність загальним демократичним стандартам; хоча GB вийшла з ЄС, її норми вплинули на розробку практик в Європі</w:t>
            </w:r>
          </w:p>
        </w:tc>
      </w:tr>
      <w:tr w:rsidR="00373A2A" w:rsidRPr="00A248F8" w14:paraId="72762240" w14:textId="77777777" w:rsidTr="00EC7D6C">
        <w:trPr>
          <w:tblCellSpacing w:w="15" w:type="dxa"/>
          <w:jc w:val="center"/>
        </w:trPr>
        <w:tc>
          <w:tcPr>
            <w:tcW w:w="0" w:type="auto"/>
            <w:hideMark/>
          </w:tcPr>
          <w:p w14:paraId="39B6F7D5"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t>Німеччина</w:t>
            </w:r>
            <w:r w:rsidRPr="00EC7D6C">
              <w:rPr>
                <w:rFonts w:ascii="Times New Roman" w:hAnsi="Times New Roman" w:cs="Times New Roman"/>
                <w:sz w:val="16"/>
                <w:szCs w:val="16"/>
                <w:lang w:val="uk-UA"/>
              </w:rPr>
              <w:t xml:space="preserve"> (член ЄС)</w:t>
            </w:r>
          </w:p>
        </w:tc>
        <w:tc>
          <w:tcPr>
            <w:tcW w:w="0" w:type="auto"/>
            <w:hideMark/>
          </w:tcPr>
          <w:p w14:paraId="3B4E8A1C"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Парламентська республіка</w:t>
            </w:r>
          </w:p>
        </w:tc>
        <w:tc>
          <w:tcPr>
            <w:tcW w:w="0" w:type="auto"/>
            <w:hideMark/>
          </w:tcPr>
          <w:p w14:paraId="4F1524F2"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Опозиція не завжди формально «названа», але права захищені Основним законом; голови деяких комітетів від опозиції</w:t>
            </w:r>
          </w:p>
        </w:tc>
        <w:tc>
          <w:tcPr>
            <w:tcW w:w="0" w:type="auto"/>
            <w:hideMark/>
          </w:tcPr>
          <w:p w14:paraId="79372A68"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Широкий, врівноважений, суспільні ЗМІ зобов’язані забезпечувати плюралізм</w:t>
            </w:r>
          </w:p>
        </w:tc>
        <w:tc>
          <w:tcPr>
            <w:tcW w:w="0" w:type="auto"/>
            <w:hideMark/>
          </w:tcPr>
          <w:p w14:paraId="5462D775"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Інтерпеляції, слідчі комісії, право законодавчої ініціативи</w:t>
            </w:r>
          </w:p>
        </w:tc>
        <w:tc>
          <w:tcPr>
            <w:tcW w:w="0" w:type="auto"/>
            <w:hideMark/>
          </w:tcPr>
          <w:p w14:paraId="6EF0911F"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Активна взаємодія з НУО, громадськістю, профспілками</w:t>
            </w:r>
          </w:p>
        </w:tc>
        <w:tc>
          <w:tcPr>
            <w:tcW w:w="0" w:type="auto"/>
            <w:hideMark/>
          </w:tcPr>
          <w:p w14:paraId="1DFC4880"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ЄС: стандарти демократії, Хартія ЄС; міжнародні договори гарантують права опозиції, сильна правова культура</w:t>
            </w:r>
          </w:p>
        </w:tc>
      </w:tr>
      <w:tr w:rsidR="00373A2A" w:rsidRPr="00A248F8" w14:paraId="0C5B3168" w14:textId="77777777" w:rsidTr="00EC7D6C">
        <w:trPr>
          <w:tblCellSpacing w:w="15" w:type="dxa"/>
          <w:jc w:val="center"/>
        </w:trPr>
        <w:tc>
          <w:tcPr>
            <w:tcW w:w="0" w:type="auto"/>
            <w:hideMark/>
          </w:tcPr>
          <w:p w14:paraId="390CE397"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lastRenderedPageBreak/>
              <w:t>Франція</w:t>
            </w:r>
            <w:r w:rsidRPr="00EC7D6C">
              <w:rPr>
                <w:rFonts w:ascii="Times New Roman" w:hAnsi="Times New Roman" w:cs="Times New Roman"/>
                <w:sz w:val="16"/>
                <w:szCs w:val="16"/>
                <w:lang w:val="uk-UA"/>
              </w:rPr>
              <w:t xml:space="preserve"> (член ЄС, напівпрезидентська система)</w:t>
            </w:r>
          </w:p>
        </w:tc>
        <w:tc>
          <w:tcPr>
            <w:tcW w:w="0" w:type="auto"/>
            <w:hideMark/>
          </w:tcPr>
          <w:p w14:paraId="3E83F8E3"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Напівпрезидентська республіка</w:t>
            </w:r>
          </w:p>
        </w:tc>
        <w:tc>
          <w:tcPr>
            <w:tcW w:w="0" w:type="auto"/>
            <w:hideMark/>
          </w:tcPr>
          <w:p w14:paraId="67EFFEEB"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Конституційні можливості для опозиції: вотум недовіри уряду, парламентські повноваження</w:t>
            </w:r>
          </w:p>
        </w:tc>
        <w:tc>
          <w:tcPr>
            <w:tcW w:w="0" w:type="auto"/>
            <w:hideMark/>
          </w:tcPr>
          <w:p w14:paraId="7D137122"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Доступ загалом вільний, незалежні та приватні ЗМІ, опозиція може вільно висловлюватись</w:t>
            </w:r>
          </w:p>
        </w:tc>
        <w:tc>
          <w:tcPr>
            <w:tcW w:w="0" w:type="auto"/>
            <w:hideMark/>
          </w:tcPr>
          <w:p w14:paraId="6DE8178A"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Можливість ініціювати дебати, запити до уряду, участь у законодавчому процесі</w:t>
            </w:r>
          </w:p>
        </w:tc>
        <w:tc>
          <w:tcPr>
            <w:tcW w:w="0" w:type="auto"/>
            <w:hideMark/>
          </w:tcPr>
          <w:p w14:paraId="7BDC0270"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Взаємодія з громадськими рухами, протестами, активно використовується опозицією</w:t>
            </w:r>
          </w:p>
        </w:tc>
        <w:tc>
          <w:tcPr>
            <w:tcW w:w="0" w:type="auto"/>
            <w:hideMark/>
          </w:tcPr>
          <w:p w14:paraId="425685E3"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Європейські стандарти (Хартія ЄС, Рада Європи), відповідність принципам верховенства права</w:t>
            </w:r>
          </w:p>
        </w:tc>
      </w:tr>
      <w:tr w:rsidR="00373A2A" w:rsidRPr="00A248F8" w14:paraId="334DB2F8" w14:textId="77777777" w:rsidTr="00EC7D6C">
        <w:trPr>
          <w:tblCellSpacing w:w="15" w:type="dxa"/>
          <w:jc w:val="center"/>
        </w:trPr>
        <w:tc>
          <w:tcPr>
            <w:tcW w:w="0" w:type="auto"/>
            <w:hideMark/>
          </w:tcPr>
          <w:p w14:paraId="21831164"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t>США</w:t>
            </w:r>
            <w:r w:rsidRPr="00EC7D6C">
              <w:rPr>
                <w:rFonts w:ascii="Times New Roman" w:hAnsi="Times New Roman" w:cs="Times New Roman"/>
                <w:sz w:val="16"/>
                <w:szCs w:val="16"/>
                <w:lang w:val="uk-UA"/>
              </w:rPr>
              <w:t xml:space="preserve"> (президентська система)</w:t>
            </w:r>
          </w:p>
        </w:tc>
        <w:tc>
          <w:tcPr>
            <w:tcW w:w="0" w:type="auto"/>
            <w:hideMark/>
          </w:tcPr>
          <w:p w14:paraId="3C3EDC0E"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Президентська республіка</w:t>
            </w:r>
          </w:p>
        </w:tc>
        <w:tc>
          <w:tcPr>
            <w:tcW w:w="0" w:type="auto"/>
            <w:hideMark/>
          </w:tcPr>
          <w:p w14:paraId="528CDDCD"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Конституція прямо не згадує опозицію; опозиція існує де-факто через двопартійну систему</w:t>
            </w:r>
          </w:p>
        </w:tc>
        <w:tc>
          <w:tcPr>
            <w:tcW w:w="0" w:type="auto"/>
            <w:hideMark/>
          </w:tcPr>
          <w:p w14:paraId="0125DDB7"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Широкий медіа-плюралізм, потужні приватні ЗМІ, опозиція може використовувати кабельні новини, соцмережі</w:t>
            </w:r>
          </w:p>
        </w:tc>
        <w:tc>
          <w:tcPr>
            <w:tcW w:w="0" w:type="auto"/>
            <w:hideMark/>
          </w:tcPr>
          <w:p w14:paraId="24B75999"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Конгрес як основний інструмент: слухання, комітети, блокування ініціатив президента</w:t>
            </w:r>
          </w:p>
        </w:tc>
        <w:tc>
          <w:tcPr>
            <w:tcW w:w="0" w:type="auto"/>
            <w:hideMark/>
          </w:tcPr>
          <w:p w14:paraId="28F50B31"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Широкий простір для лобізму, співпраці з громадськими організаціями, фондами, рухами</w:t>
            </w:r>
          </w:p>
        </w:tc>
        <w:tc>
          <w:tcPr>
            <w:tcW w:w="0" w:type="auto"/>
            <w:hideMark/>
          </w:tcPr>
          <w:p w14:paraId="5BBB1627"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Статут ООН не прямо впливає, але США дотримуються міжнародних стандартів; свобода слова та асоціацій загальновизнані</w:t>
            </w:r>
          </w:p>
        </w:tc>
      </w:tr>
      <w:tr w:rsidR="00373A2A" w:rsidRPr="00A248F8" w14:paraId="54F7714F" w14:textId="77777777" w:rsidTr="00EC7D6C">
        <w:trPr>
          <w:tblCellSpacing w:w="15" w:type="dxa"/>
          <w:jc w:val="center"/>
        </w:trPr>
        <w:tc>
          <w:tcPr>
            <w:tcW w:w="0" w:type="auto"/>
            <w:hideMark/>
          </w:tcPr>
          <w:p w14:paraId="46D79954"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t>Країни Центрально-Східної Європи (Польща, Чехія, Угорщина)</w:t>
            </w:r>
            <w:r w:rsidRPr="00EC7D6C">
              <w:rPr>
                <w:rFonts w:ascii="Times New Roman" w:hAnsi="Times New Roman" w:cs="Times New Roman"/>
                <w:sz w:val="16"/>
                <w:szCs w:val="16"/>
                <w:lang w:val="uk-UA"/>
              </w:rPr>
              <w:t xml:space="preserve"> (члени ЄС, перехідні демократії 90-х)</w:t>
            </w:r>
          </w:p>
        </w:tc>
        <w:tc>
          <w:tcPr>
            <w:tcW w:w="0" w:type="auto"/>
            <w:hideMark/>
          </w:tcPr>
          <w:p w14:paraId="5821FF0F"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Переважно парламентські (Польща, Чехія) чи змішані (Угорщина)</w:t>
            </w:r>
          </w:p>
        </w:tc>
        <w:tc>
          <w:tcPr>
            <w:tcW w:w="0" w:type="auto"/>
            <w:hideMark/>
          </w:tcPr>
          <w:p w14:paraId="2B42D098"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Опозиція формально визнається, але рівень захисту прав варіює; у Польщі та Чехії – стабільніше, в Угорщині – звуження прав</w:t>
            </w:r>
          </w:p>
        </w:tc>
        <w:tc>
          <w:tcPr>
            <w:tcW w:w="0" w:type="auto"/>
            <w:hideMark/>
          </w:tcPr>
          <w:p w14:paraId="3D493182"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ЗМІ формально вільні, але в окремих країнах (Угорщина) спостерігається тиск на медіа</w:t>
            </w:r>
          </w:p>
        </w:tc>
        <w:tc>
          <w:tcPr>
            <w:tcW w:w="0" w:type="auto"/>
            <w:hideMark/>
          </w:tcPr>
          <w:p w14:paraId="3BFD1D58"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Є парламентські інструменти, але їх ефективність залежить від політичного режиму</w:t>
            </w:r>
          </w:p>
        </w:tc>
        <w:tc>
          <w:tcPr>
            <w:tcW w:w="0" w:type="auto"/>
            <w:hideMark/>
          </w:tcPr>
          <w:p w14:paraId="785B9FFE"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Опозиція співпрацює з НУО; у разі згортання демократії – відсутні ефективні внутрішні механізми</w:t>
            </w:r>
          </w:p>
        </w:tc>
        <w:tc>
          <w:tcPr>
            <w:tcW w:w="0" w:type="auto"/>
            <w:hideMark/>
          </w:tcPr>
          <w:p w14:paraId="6E15CA1B"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ЄС контролює дотримання стандартів; можливість міжнародного тиску при порушеннях, втручання інституцій ЄС</w:t>
            </w:r>
          </w:p>
        </w:tc>
      </w:tr>
      <w:tr w:rsidR="00373A2A" w:rsidRPr="00A248F8" w14:paraId="398BA86A" w14:textId="77777777" w:rsidTr="00EC7D6C">
        <w:trPr>
          <w:tblCellSpacing w:w="15" w:type="dxa"/>
          <w:jc w:val="center"/>
        </w:trPr>
        <w:tc>
          <w:tcPr>
            <w:tcW w:w="0" w:type="auto"/>
            <w:hideMark/>
          </w:tcPr>
          <w:p w14:paraId="33C2B526"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t>Україна</w:t>
            </w:r>
            <w:r w:rsidRPr="00EC7D6C">
              <w:rPr>
                <w:rFonts w:ascii="Times New Roman" w:hAnsi="Times New Roman" w:cs="Times New Roman"/>
                <w:sz w:val="16"/>
                <w:szCs w:val="16"/>
                <w:lang w:val="uk-UA"/>
              </w:rPr>
              <w:t xml:space="preserve"> (країна-кандидат до ЄС, перехідна демократія, стан війни)</w:t>
            </w:r>
          </w:p>
        </w:tc>
        <w:tc>
          <w:tcPr>
            <w:tcW w:w="0" w:type="auto"/>
            <w:hideMark/>
          </w:tcPr>
          <w:p w14:paraId="4FAC374A"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Парламентсько-президентська республіка (з елементами перехідності)</w:t>
            </w:r>
          </w:p>
        </w:tc>
        <w:tc>
          <w:tcPr>
            <w:tcW w:w="0" w:type="auto"/>
            <w:hideMark/>
          </w:tcPr>
          <w:p w14:paraId="1CD1EC79"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Статус опозиції не повністю врегульований законом; практики залежать від політичних компромісів</w:t>
            </w:r>
          </w:p>
        </w:tc>
        <w:tc>
          <w:tcPr>
            <w:tcW w:w="0" w:type="auto"/>
            <w:hideMark/>
          </w:tcPr>
          <w:p w14:paraId="3C69A896"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Доступ опозиції до державних медіа обмежений, особливо в умовах воєнного стану; соцмережі – основний канал</w:t>
            </w:r>
          </w:p>
        </w:tc>
        <w:tc>
          <w:tcPr>
            <w:tcW w:w="0" w:type="auto"/>
            <w:hideMark/>
          </w:tcPr>
          <w:p w14:paraId="3C755909"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Опозиція має право на законодавчу ініціативу, запити, але урядова більшість й «неформальні коаліції» ускладнюють вплив</w:t>
            </w:r>
          </w:p>
        </w:tc>
        <w:tc>
          <w:tcPr>
            <w:tcW w:w="0" w:type="auto"/>
            <w:hideMark/>
          </w:tcPr>
          <w:p w14:paraId="7CE5803D"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Опозиція намагається заручитися підтримкою громадянського суспільства, волонтерських рухів, але умови війни ускладнюють роботу</w:t>
            </w:r>
          </w:p>
        </w:tc>
        <w:tc>
          <w:tcPr>
            <w:tcW w:w="0" w:type="auto"/>
            <w:hideMark/>
          </w:tcPr>
          <w:p w14:paraId="0B75996D"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Міжнародний тиск, стандарти ЄС, ООН, ОБСЄ стимулюють реформи, що мали б підсилити роль опозиції; євроінтеграція як стимул для вдосконалення інституту опозиції</w:t>
            </w:r>
          </w:p>
        </w:tc>
      </w:tr>
      <w:tr w:rsidR="00373A2A" w:rsidRPr="00A248F8" w14:paraId="417DB070" w14:textId="77777777" w:rsidTr="00EC7D6C">
        <w:trPr>
          <w:tblCellSpacing w:w="15" w:type="dxa"/>
          <w:jc w:val="center"/>
        </w:trPr>
        <w:tc>
          <w:tcPr>
            <w:tcW w:w="0" w:type="auto"/>
            <w:hideMark/>
          </w:tcPr>
          <w:p w14:paraId="3DC8BEBA"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b/>
                <w:bCs/>
                <w:sz w:val="16"/>
                <w:szCs w:val="16"/>
                <w:lang w:val="uk-UA"/>
              </w:rPr>
              <w:t>Міжнародні організації (ООН, ЄС)</w:t>
            </w:r>
          </w:p>
        </w:tc>
        <w:tc>
          <w:tcPr>
            <w:tcW w:w="0" w:type="auto"/>
            <w:hideMark/>
          </w:tcPr>
          <w:p w14:paraId="5949C5B4"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Наднаціональні утворення, глобальні/регіональні</w:t>
            </w:r>
          </w:p>
        </w:tc>
        <w:tc>
          <w:tcPr>
            <w:tcW w:w="0" w:type="auto"/>
            <w:hideMark/>
          </w:tcPr>
          <w:p w14:paraId="7E3265F3"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Статут ООН не регулює опозицію напряму, але права людини (Декларації, пакти) – фундамент для існування опозиції; ЄС: демократичні принципи – необхідна умова членства</w:t>
            </w:r>
          </w:p>
        </w:tc>
        <w:tc>
          <w:tcPr>
            <w:tcW w:w="0" w:type="auto"/>
            <w:hideMark/>
          </w:tcPr>
          <w:p w14:paraId="6E7E1A21"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Міжнародні стандарти заохочують медіаплюралізм; ЄС: контроль за медіа свободами, недискримінація</w:t>
            </w:r>
          </w:p>
        </w:tc>
        <w:tc>
          <w:tcPr>
            <w:tcW w:w="0" w:type="auto"/>
            <w:hideMark/>
          </w:tcPr>
          <w:p w14:paraId="76BD51C1"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Принципи демократії і права людини забезпечують опосередкований вплив на парламентські процедури через «м’яку силу»</w:t>
            </w:r>
          </w:p>
        </w:tc>
        <w:tc>
          <w:tcPr>
            <w:tcW w:w="0" w:type="auto"/>
            <w:hideMark/>
          </w:tcPr>
          <w:p w14:paraId="57F65D5C"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Міжнародний простір для взаємодії з НУО, захист прав людини, можливість звернення до міжнародних судових органів</w:t>
            </w:r>
          </w:p>
        </w:tc>
        <w:tc>
          <w:tcPr>
            <w:tcW w:w="0" w:type="auto"/>
            <w:hideMark/>
          </w:tcPr>
          <w:p w14:paraId="21688331" w14:textId="77777777" w:rsidR="00373A2A" w:rsidRPr="00EC7D6C" w:rsidRDefault="00373A2A" w:rsidP="00EC7D6C">
            <w:pPr>
              <w:widowControl w:val="0"/>
              <w:spacing w:after="0" w:line="240" w:lineRule="auto"/>
              <w:rPr>
                <w:rFonts w:ascii="Times New Roman" w:hAnsi="Times New Roman" w:cs="Times New Roman"/>
                <w:sz w:val="16"/>
                <w:szCs w:val="16"/>
                <w:lang w:val="uk-UA"/>
              </w:rPr>
            </w:pPr>
            <w:r w:rsidRPr="00EC7D6C">
              <w:rPr>
                <w:rFonts w:ascii="Times New Roman" w:hAnsi="Times New Roman" w:cs="Times New Roman"/>
                <w:sz w:val="16"/>
                <w:szCs w:val="16"/>
                <w:lang w:val="uk-UA"/>
              </w:rPr>
              <w:t>Вимоги ЄС та міжнародні норми стимулюють держави покращувати умови для опозиційної діяльності</w:t>
            </w:r>
          </w:p>
        </w:tc>
      </w:tr>
    </w:tbl>
    <w:p w14:paraId="2038F77D" w14:textId="77777777" w:rsidR="004F507F" w:rsidRDefault="004F507F" w:rsidP="00A248F8">
      <w:pPr>
        <w:spacing w:after="0" w:line="360" w:lineRule="auto"/>
        <w:ind w:firstLine="567"/>
        <w:jc w:val="both"/>
        <w:rPr>
          <w:rFonts w:ascii="Times New Roman" w:hAnsi="Times New Roman" w:cs="Times New Roman"/>
          <w:sz w:val="28"/>
          <w:szCs w:val="28"/>
          <w:lang w:val="uk-UA"/>
        </w:rPr>
      </w:pPr>
    </w:p>
    <w:p w14:paraId="5DAF3C84" w14:textId="5647EC16" w:rsidR="00223412" w:rsidRDefault="00373A2A"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Ця таблиця дає узагальнене порівняння умов функціонування політичної опозиції у різних контекстах, від усталених європейських демократій до США й України, а також показує роль міжнародних стандартів і організацій у формуванні відповідного середовища.</w:t>
      </w:r>
    </w:p>
    <w:p w14:paraId="280F3192" w14:textId="69ED724C" w:rsidR="00EC7D6C" w:rsidRDefault="00EC7D6C" w:rsidP="00A248F8">
      <w:pPr>
        <w:spacing w:after="0" w:line="360" w:lineRule="auto"/>
        <w:ind w:firstLine="567"/>
        <w:jc w:val="both"/>
        <w:rPr>
          <w:rFonts w:ascii="Times New Roman" w:hAnsi="Times New Roman" w:cs="Times New Roman"/>
          <w:sz w:val="28"/>
          <w:szCs w:val="28"/>
          <w:lang w:val="uk-UA"/>
        </w:rPr>
      </w:pPr>
    </w:p>
    <w:p w14:paraId="5546B9A8" w14:textId="77777777" w:rsidR="00EC7D6C" w:rsidRPr="00A248F8" w:rsidRDefault="00EC7D6C" w:rsidP="00A248F8">
      <w:pPr>
        <w:spacing w:after="0" w:line="360" w:lineRule="auto"/>
        <w:ind w:firstLine="567"/>
        <w:jc w:val="both"/>
        <w:rPr>
          <w:rFonts w:ascii="Times New Roman" w:hAnsi="Times New Roman" w:cs="Times New Roman"/>
          <w:sz w:val="28"/>
          <w:szCs w:val="28"/>
          <w:lang w:val="uk-UA"/>
        </w:rPr>
      </w:pPr>
    </w:p>
    <w:p w14:paraId="63B1425B" w14:textId="154D3907" w:rsidR="00223412" w:rsidRDefault="00071854" w:rsidP="00EC7D6C">
      <w:pPr>
        <w:spacing w:after="0" w:line="360" w:lineRule="auto"/>
        <w:jc w:val="center"/>
        <w:rPr>
          <w:rFonts w:ascii="Times New Roman" w:hAnsi="Times New Roman" w:cs="Times New Roman"/>
          <w:b/>
          <w:bCs/>
          <w:sz w:val="28"/>
          <w:szCs w:val="28"/>
        </w:rPr>
      </w:pPr>
      <w:r w:rsidRPr="00A248F8">
        <w:rPr>
          <w:rFonts w:ascii="Times New Roman" w:hAnsi="Times New Roman" w:cs="Times New Roman"/>
          <w:b/>
          <w:bCs/>
          <w:sz w:val="28"/>
          <w:szCs w:val="28"/>
          <w:lang w:val="uk-UA"/>
        </w:rPr>
        <w:lastRenderedPageBreak/>
        <w:t>2</w:t>
      </w:r>
      <w:r w:rsidR="00223412" w:rsidRPr="00A248F8">
        <w:rPr>
          <w:rFonts w:ascii="Times New Roman" w:hAnsi="Times New Roman" w:cs="Times New Roman"/>
          <w:b/>
          <w:bCs/>
          <w:sz w:val="28"/>
          <w:szCs w:val="28"/>
        </w:rPr>
        <w:t>.</w:t>
      </w:r>
      <w:r w:rsidRPr="00A248F8">
        <w:rPr>
          <w:rFonts w:ascii="Times New Roman" w:hAnsi="Times New Roman" w:cs="Times New Roman"/>
          <w:b/>
          <w:bCs/>
          <w:sz w:val="28"/>
          <w:szCs w:val="28"/>
          <w:lang w:val="uk-UA"/>
        </w:rPr>
        <w:t>3</w:t>
      </w:r>
      <w:r w:rsidR="00223412" w:rsidRPr="00A248F8">
        <w:rPr>
          <w:rFonts w:ascii="Times New Roman" w:hAnsi="Times New Roman" w:cs="Times New Roman"/>
          <w:b/>
          <w:bCs/>
          <w:sz w:val="28"/>
          <w:szCs w:val="28"/>
        </w:rPr>
        <w:t>. Історичний розвиток опозиційних рухів в Україні (1991 – сьогодення)</w:t>
      </w:r>
    </w:p>
    <w:p w14:paraId="4E917099" w14:textId="77777777" w:rsidR="00EC7D6C" w:rsidRPr="00A248F8" w:rsidRDefault="00EC7D6C" w:rsidP="00EC7D6C">
      <w:pPr>
        <w:spacing w:after="0" w:line="360" w:lineRule="auto"/>
        <w:jc w:val="center"/>
        <w:rPr>
          <w:rFonts w:ascii="Times New Roman" w:hAnsi="Times New Roman" w:cs="Times New Roman"/>
          <w:b/>
          <w:bCs/>
          <w:sz w:val="28"/>
          <w:szCs w:val="28"/>
        </w:rPr>
      </w:pPr>
    </w:p>
    <w:p w14:paraId="4484A292" w14:textId="63C7DC20"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Вивчення опозиційної діяльності в Україні охоплює тривалий часовий проміжок (1991–2024) та різноманітні за характером трансформації, що відбувалися під впливом внутрішньополітичних, економічних та геополітичних чинників. Цей розділ присвячено аналізу сучасного стану, особливостей та проблем функціонування опозиції з урахуванням історичного контексту, а також компаративного підходу. Джерельна база включає офіційні документи (Бюлетень Верховної Ради України, звіти Центральної виборчої комісії), матеріали Національного інституту стратегічних досліджень (НІСД), дослідження Інституту політичних і етнонаціональних досліджень ім. І.Ф. Кураса НАН України, періодичні фахові видання ("Політична думка", "Сучасна українська політика"), а також моніторинг ЗМІ та соціологічні опитування.</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45</w:t>
      </w:r>
      <w:r w:rsidR="00F22443" w:rsidRPr="00F22443">
        <w:rPr>
          <w:rFonts w:ascii="Times New Roman" w:hAnsi="Times New Roman" w:cs="Times New Roman"/>
          <w:sz w:val="28"/>
          <w:szCs w:val="28"/>
          <w:lang w:val="uk-UA"/>
        </w:rPr>
        <w:t>]</w:t>
      </w:r>
    </w:p>
    <w:p w14:paraId="34D78565" w14:textId="535825B8"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Сучасне становище опозиції в Україні визначається кількома ключовими факторами: по-перше, це історична спадщина пострадянського періоду, коли опозиція лише формувалася в умовах слабкої партійної системи; по-друге, вплив революційних змін (Помаранчева революція 2004 року та Революція Гідності 2013–2014 років), які не тільки перезавантажили владу, але й надали опозиції новий імпульс; по-третє, безпрецедентний виклик російської агресії (з 2014 року) і повномасштабне вторгнення 2022 року, що кардинально змінили політичний контекст та поставили опозицію перед дилемою: критикувати владу під час війни чи обмежити себе конструктивними пропозиціями та підтримкою головних державних рішень.</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35</w:t>
      </w:r>
      <w:r w:rsidR="00F22443" w:rsidRPr="00F22443">
        <w:rPr>
          <w:rFonts w:ascii="Times New Roman" w:hAnsi="Times New Roman" w:cs="Times New Roman"/>
          <w:sz w:val="28"/>
          <w:szCs w:val="28"/>
          <w:lang w:val="uk-UA"/>
        </w:rPr>
        <w:t>]</w:t>
      </w:r>
    </w:p>
    <w:p w14:paraId="33211DFD" w14:textId="367752E3"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Здобуття незалежності в 1991 році стало поворотним моментом для української політичної системи. Розпад СРСР відкрив шлях до формування багатопартійності, проте стартові умови були вкрай складними: колишня компартійна номенклатура зберігала вплив, а нові політичні сили (насамперед Народний Рух України) лише шукали організаційні форми та ресурси. Закон </w:t>
      </w:r>
      <w:r w:rsidRPr="00A248F8">
        <w:rPr>
          <w:rFonts w:ascii="Times New Roman" w:hAnsi="Times New Roman" w:cs="Times New Roman"/>
          <w:sz w:val="28"/>
          <w:szCs w:val="28"/>
        </w:rPr>
        <w:lastRenderedPageBreak/>
        <w:t>"Про об’єднання громадян" (1992) та Конституція України (1996) заклали правовий фундамент для створення політичних партій. Народний Рух України першим виступив як опозиційна сила до посткомуністичної влади, відстоюючи ідеї національного відродження та демократичних реформ.</w:t>
      </w:r>
    </w:p>
    <w:p w14:paraId="3C7CFB62" w14:textId="438DEAD9"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У 1990-ті роки опозиція в Україні була розпорошеною та слабкою, часто позбавленою реальних механізмів впливу. Хоч деякі партії (як-от соціал-демократи, націонал-демократи) мали власних представників у Верховній Раді, їх опозиційність була швидше декларативною. Не вистачало чітких ідеологічних меж, партії формувалися під конкретних лідерів чи економічні групи інтересів. Аналітичні записки НІСД кінця 1990-х років свідчать про нестабільність опозиційного середовища та слабку інституційність опозиції.</w:t>
      </w:r>
    </w:p>
    <w:p w14:paraId="32F940AA" w14:textId="10BA64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Переламною точкою стала Помаранчева революція 2004 року. Опозиція, очолена Віктором Ющенком та Юлією Тимошенко, уперше мобілізувала масштабну громадську підтримку. Мільйони громадян вийшли на майдани, щоб захистити свій вибір. Це стало першим кейсом, коли опозиція вийшла за рамки парламентських механізмів та використала ненасильницький громадський спротив як інструмент впливу. Помаранчева революція хоч і призвела до приходу опозиції до влади, але не розв’язала проблему інституційної слабкості партій: внутрішні конфлікти між новими лідерами, розкол "помаранчевої коаліції" підірвали довіру виборців.</w:t>
      </w:r>
      <w:r w:rsidR="00F22443" w:rsidRPr="00F22443">
        <w:rPr>
          <w:rFonts w:ascii="Times New Roman" w:hAnsi="Times New Roman" w:cs="Times New Roman"/>
          <w:sz w:val="28"/>
          <w:szCs w:val="28"/>
          <w:lang w:val="uk-UA"/>
        </w:rPr>
        <w:t xml:space="preserve"> [1</w:t>
      </w:r>
      <w:r w:rsidR="00F22443">
        <w:rPr>
          <w:rFonts w:ascii="Times New Roman" w:hAnsi="Times New Roman" w:cs="Times New Roman"/>
          <w:sz w:val="28"/>
          <w:szCs w:val="28"/>
          <w:lang w:val="uk-UA"/>
        </w:rPr>
        <w:t>5</w:t>
      </w:r>
      <w:r w:rsidR="00F22443" w:rsidRPr="00F22443">
        <w:rPr>
          <w:rFonts w:ascii="Times New Roman" w:hAnsi="Times New Roman" w:cs="Times New Roman"/>
          <w:sz w:val="28"/>
          <w:szCs w:val="28"/>
          <w:lang w:val="uk-UA"/>
        </w:rPr>
        <w:t>]</w:t>
      </w:r>
    </w:p>
    <w:p w14:paraId="72E4DFC9" w14:textId="3F9FE168"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Революція Гідності (2013–2014) стала продовженням демократичних перетворень, однак у складніших умовах – корупція, авторитарні тенденції режиму Віктора Януковича, відмова від євроінтеграційного курсу. Опозиція знову звернулася до масових протестів та залучення громадянського суспільства. Різні опозиційні сили (ВО "Батьківщина", УДАР, "Свобода") об’єдналися навколо спільної мети – повалення авторитарного режиму та повернення до курсу на європейську інтеграцію.</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2</w:t>
      </w:r>
      <w:r w:rsidR="00F22443" w:rsidRPr="00F22443">
        <w:rPr>
          <w:rFonts w:ascii="Times New Roman" w:hAnsi="Times New Roman" w:cs="Times New Roman"/>
          <w:sz w:val="28"/>
          <w:szCs w:val="28"/>
          <w:lang w:val="uk-UA"/>
        </w:rPr>
        <w:t>1]</w:t>
      </w:r>
    </w:p>
    <w:p w14:paraId="20D07104" w14:textId="7F0AE0DD"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Після 2014 року опозиція опинилася перед новими викликами: анексія Криму Росією та бойові дії на Донбасі. Українська політика стала більш поляризованою навколо питань національної безпеки, територіальної </w:t>
      </w:r>
      <w:r w:rsidRPr="00A248F8">
        <w:rPr>
          <w:rFonts w:ascii="Times New Roman" w:hAnsi="Times New Roman" w:cs="Times New Roman"/>
          <w:sz w:val="28"/>
          <w:szCs w:val="28"/>
        </w:rPr>
        <w:lastRenderedPageBreak/>
        <w:t>цілісності, оборони та зовнішньополітичних орієнтирів. Частина колишніх опозиційних сил (наприклад, "Опозиційний блок", пізніше "Опозиційна платформа – За життя") позиціонувала себе як "партія миру", що критикувала уряд за "ескалацію конфлікту". Згодом, після повномасштабного вторгнення РФ у 2022 році, ця проросійська опозиція була або заборонена, або маргіналізована, що радикально змінило політичний ландшафт.</w:t>
      </w:r>
    </w:p>
    <w:p w14:paraId="5EF05C43" w14:textId="72B31D15" w:rsidR="00944534"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Воєнний стан зменшив простір для традиційної опозиційної активності. Влада отримала ширші повноваження, було запроваджено інформаційні обмеження. У таких умовах опозиційні партії, що позиціонують себе як проєвропейські та патріотичні (наприклад, "Європейська солідарність"), зіткнулися з дилемою: як критикувати владу, не шкодячи національній єдності та обороноздатності.</w:t>
      </w:r>
      <w:r w:rsidR="001146FC" w:rsidRPr="00A248F8">
        <w:rPr>
          <w:rFonts w:ascii="Times New Roman" w:hAnsi="Times New Roman" w:cs="Times New Roman"/>
          <w:sz w:val="28"/>
          <w:szCs w:val="28"/>
        </w:rPr>
        <w:tab/>
      </w:r>
      <w:r w:rsidR="00944534" w:rsidRPr="00A248F8">
        <w:rPr>
          <w:rFonts w:ascii="Times New Roman" w:hAnsi="Times New Roman" w:cs="Times New Roman"/>
          <w:sz w:val="28"/>
          <w:szCs w:val="28"/>
        </w:rPr>
        <w:t>У сучасній Україні опозиційний ландшафт є строкатим і неоднорідним, його формують різні за ідеологією, формою організації та впливовістю суб'єкти. Основні гравці опозиційного поля можна поділити на декілька ключових категорій: політичні партії та партійні блоки, громадські рухи й організації, неформальні об'єднання, аналітичні центри (think tanks) та окремих громадських лідерів, які, хоч формально не належать до партійних структур, реально впливають на політичний дискурс. Їхня взаємодія, конфронтація або співпраця суттєво визначають характер і динаміку опозиційної діяльності в умовах воєнного стану та загальної турбулентності.</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30</w:t>
      </w:r>
      <w:r w:rsidR="00F22443" w:rsidRPr="00F22443">
        <w:rPr>
          <w:rFonts w:ascii="Times New Roman" w:hAnsi="Times New Roman" w:cs="Times New Roman"/>
          <w:sz w:val="28"/>
          <w:szCs w:val="28"/>
          <w:lang w:val="uk-UA"/>
        </w:rPr>
        <w:t>]</w:t>
      </w:r>
    </w:p>
    <w:p w14:paraId="33B4D666" w14:textId="77777777"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"Європейська солідарність" (ЄС):</w:t>
      </w:r>
    </w:p>
    <w:p w14:paraId="670E7B9E" w14:textId="0859AA1E"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Це одна з ключових опозиційних сил, очолювана п’ятим президентом України Петром Порошенком. Її ідеологія поєднує проєвропейський вектор, патріотизм, ліберальний консерватизм та підтримку приватної ініціативи. ЄС позиціонує себе як захисник національних інтересів, прихильник євроатлантичної інтеграції, активний критик чинної влади в питаннях економічної та антикорупційної політики. З огляду на повномасштабну російську агресію, ЄС намагається збалансувати гостру критику з державницькою позицією, підтримуючи основні оборонні та дипломатичні </w:t>
      </w:r>
      <w:r w:rsidRPr="00A248F8">
        <w:rPr>
          <w:rFonts w:ascii="Times New Roman" w:hAnsi="Times New Roman" w:cs="Times New Roman"/>
          <w:sz w:val="28"/>
          <w:szCs w:val="28"/>
        </w:rPr>
        <w:lastRenderedPageBreak/>
        <w:t>рішення уряду, але водночас наголошуючи на прорахунках у економічному блоці, повільності реформ та недостатності уваги до питань прозорості влади.</w:t>
      </w:r>
    </w:p>
    <w:p w14:paraId="31A95B8E" w14:textId="77777777"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"Всеукраїнське об’єднання "Батьківщина"" (ВО "Батьківщина"):</w:t>
      </w:r>
    </w:p>
    <w:p w14:paraId="6E382951" w14:textId="07C0BE85"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Партія Юлії Тимошенко, яка історично була одним із стовпів опозиційного руху ще з початку 2000-х років. ВО "Батьківщина" акцентує на соціальній справедливості, зниженні тарифів, посиленні соціального захисту населення, ролі держави у регулюванні економіки. В умовах війни партія нерідко критикує владу за недостатню турботу про соціальні гарантії, пенсії, заробітні плати, а також за недосконалість механізмів компенсацій постраждалим від агресії. Хоч ВО "Батьківщина" вже давно не є фаворитом виборів, вона зберігає певну електоральну базу, особливо серед старшого покоління, жителів менших міст і сіл, традиційно орієнтованих на державний патерналізм.</w:t>
      </w:r>
    </w:p>
    <w:p w14:paraId="4C41DEB3" w14:textId="0219E858"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Внутрішньопартійна опозиція у фракції "Слуга народу" – це новий феномен, коли всередині правлячої сили формується група депутатів, незадоволених політикою уряду. Вони можуть блокувати ініціативи більшості, пропонувати альтернативні законопроєкти, а фактично виконують роль "опозиції всередині влади". Крім того, існують менші або позапарламентські партії, як-от деякі правоцентристські або ліберальні об’єднання, націоналістичні сили чи екологічні партії, які не завжди потрапляють у Верховну Раду, але займають нішеві сегменти електорату, формуючи альтернативний порядок денний.</w:t>
      </w:r>
      <w:r w:rsidR="00F22443" w:rsidRPr="00F22443">
        <w:rPr>
          <w:rFonts w:ascii="Times New Roman" w:hAnsi="Times New Roman" w:cs="Times New Roman"/>
          <w:sz w:val="28"/>
          <w:szCs w:val="28"/>
          <w:lang w:val="uk-UA"/>
        </w:rPr>
        <w:t xml:space="preserve"> [</w:t>
      </w:r>
      <w:r w:rsidR="00F22443">
        <w:rPr>
          <w:rFonts w:ascii="Times New Roman" w:hAnsi="Times New Roman" w:cs="Times New Roman"/>
          <w:sz w:val="28"/>
          <w:szCs w:val="28"/>
          <w:lang w:val="uk-UA"/>
        </w:rPr>
        <w:t>29</w:t>
      </w:r>
      <w:r w:rsidR="00F22443" w:rsidRPr="00F22443">
        <w:rPr>
          <w:rFonts w:ascii="Times New Roman" w:hAnsi="Times New Roman" w:cs="Times New Roman"/>
          <w:sz w:val="28"/>
          <w:szCs w:val="28"/>
          <w:lang w:val="uk-UA"/>
        </w:rPr>
        <w:t>]</w:t>
      </w:r>
    </w:p>
    <w:p w14:paraId="52775533" w14:textId="6E9DD0FA"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Окремим феноменом сучасного політичного процесу в Україні є поява внутрішньопартійної опозиції навіть у правлячій фракції «Слуга народу». Це новий для української політики випадок, коли монопартійна більшість, сформована після виборів 2019 року, не є монолітною: у її складі з часом виокремилися депутати, незадоволені частиною урядових рішень, кадровою політикою, швидкістю та глибиною реформ. Вони можуть блокувати або відтерміновувати прийняття законів, вносити альтернативні законопроєкти, відкрито критикувати членів уряду чи керівництво фракції. Така </w:t>
      </w:r>
      <w:r w:rsidRPr="00A248F8">
        <w:rPr>
          <w:rFonts w:ascii="Times New Roman" w:hAnsi="Times New Roman" w:cs="Times New Roman"/>
          <w:sz w:val="28"/>
          <w:szCs w:val="28"/>
        </w:rPr>
        <w:lastRenderedPageBreak/>
        <w:t>внутрішньопартійна опозиція фактично створює ефект «опозиції всередині влади», ускладнюючи для правлячої партії контроль над порядком денним.</w:t>
      </w:r>
    </w:p>
    <w:p w14:paraId="470C5E51" w14:textId="77777777"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Показовий приклад – історія Олександра Дубінського</w:t>
      </w:r>
    </w:p>
    <w:p w14:paraId="363C0936" w14:textId="69C61198"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Олександр Дубінський – журналіст, блогер, який став народним депутатом від «Слуги народу» у 2019 році. Його політична кар’єра розпочалася як історія успішного медійника, який, завдяки популярності в інтернеті та на телебаченні, отримав місце у списку правлячої партії. На початку своєї депутатської діяльності Дубінський підтримував ідеї, що декларувалися командою Президента Володимира Зеленського: антикорупційні заходи, реформи в економіці, прозорість влади.</w:t>
      </w:r>
    </w:p>
    <w:p w14:paraId="29C13547" w14:textId="32DEEFD2"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Проте вже у 2020–2021 роках Дубінський починає все частіше виступати з критикою на адресу уряду та окремих рішень керівництва «Слуги народу». Він неодноразово відзначався в медіапросторі скандальними заявами, наприклад, щодо антикорупційної інфраструктури країни, діяльності НАБУ, НАЗК, а також висловлюваннями, які суперечили офіційній лінії фракції. Ці кроки поступово ізолювали його від основного ядра партії, призвівши до відкритого протистояння з керівництвом.</w:t>
      </w:r>
    </w:p>
    <w:p w14:paraId="62383643" w14:textId="2B979694"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Кульмінацією конфлікту стали міжнародні наслідки: у січні 2021 року Міністерство фінансів США запровадило санкції проти низки фізичних та юридичних осіб з України, звинувативши їх в «іноземному втручанні у вибори США». </w:t>
      </w:r>
      <w:r w:rsidR="00F22443" w:rsidRPr="00A248F8">
        <w:rPr>
          <w:rFonts w:ascii="Times New Roman" w:hAnsi="Times New Roman" w:cs="Times New Roman"/>
          <w:sz w:val="28"/>
          <w:szCs w:val="28"/>
        </w:rPr>
        <w:t>До списка</w:t>
      </w:r>
      <w:r w:rsidRPr="00A248F8">
        <w:rPr>
          <w:rFonts w:ascii="Times New Roman" w:hAnsi="Times New Roman" w:cs="Times New Roman"/>
          <w:sz w:val="28"/>
          <w:szCs w:val="28"/>
        </w:rPr>
        <w:t xml:space="preserve"> потрапив і Олександр Дубінський. Цей інцидент створив сильний репутаційний удар для «Слуги народу». Під тиском міжнародної спільноти й суспільної думки партійне керівництво було змушене вжити жорстких заходів: у лютому 2021 року Дубінського виключили з фракції «Слуги народу». Це де-факто стало визнанням того, що його позиція, поведінка та риторика стали несумісними з офіційним курсом правлячої партії.</w:t>
      </w:r>
    </w:p>
    <w:p w14:paraId="41E65D3E" w14:textId="6F8A1481"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Історія Дубінського – показовий приклад того, як внутрішньопартійна опозиція може формуватися як з ідеологічних міркувань, так і через особисті амбіції чи зовнішні чинники (міжнародний тиск, корупційні скандали, </w:t>
      </w:r>
      <w:r w:rsidRPr="00A248F8">
        <w:rPr>
          <w:rFonts w:ascii="Times New Roman" w:hAnsi="Times New Roman" w:cs="Times New Roman"/>
          <w:sz w:val="28"/>
          <w:szCs w:val="28"/>
        </w:rPr>
        <w:lastRenderedPageBreak/>
        <w:t>репутаційні ризики). Справа Дубінського продемонструвала вразливість «Слуги народу» перед внутрішньою нестабільністю, недостатність попередньої перевірки кандидатів та брак інституційних механізмів для внутрішнього врегулювання конфліктів. Зрештою, його виключення з фракції стало актом самоочищення для правлячої сили, але водночас засвідчило, що внутрішньопартійна опозиція – це не просто «теорія», а реальна загроза цілісності правлячої команди.</w:t>
      </w:r>
    </w:p>
    <w:p w14:paraId="4AF17A0A" w14:textId="34E17D0E" w:rsidR="00944534" w:rsidRPr="00F22443" w:rsidRDefault="00944534"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rPr>
        <w:t>Таким чином, історія Дубінського є яскравим прикладом того, як представник «Слуги народу», ставши публічним критиком окремих аспектів державної політики та діяльності уряду, перетворився на внутрішнього опозиціонера, чия активність та скандали зумовили його маргіналізацію і зрештою – виключення з фракції. Це випадок, коли внутрішні розколи у правлячій партії можуть мати не менший вплив на загальний опозиційний ландшафт, ніж діяльність традиційних опозиційних сил.</w:t>
      </w:r>
      <w:r w:rsidR="00F22443">
        <w:rPr>
          <w:rFonts w:ascii="Times New Roman" w:hAnsi="Times New Roman" w:cs="Times New Roman"/>
          <w:sz w:val="28"/>
          <w:szCs w:val="28"/>
          <w:lang w:val="uk-UA"/>
        </w:rPr>
        <w:t xml:space="preserve"> </w:t>
      </w:r>
      <w:r w:rsidR="00F22443" w:rsidRPr="00F22443">
        <w:rPr>
          <w:rFonts w:ascii="Times New Roman" w:hAnsi="Times New Roman" w:cs="Times New Roman"/>
          <w:sz w:val="28"/>
          <w:szCs w:val="28"/>
          <w:lang w:val="uk-UA"/>
        </w:rPr>
        <w:t>[1]</w:t>
      </w:r>
    </w:p>
    <w:p w14:paraId="293164A2" w14:textId="77EDA0A9"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"Реанімаційний пакет реформ" (РПР) – одна з найбільш відомих платформ, яка об’єднує десятки громадських організацій, експертів, аналітиків. Хоча РПР не є політичною партією, його пропозиції часто підхоплюють опозиційні сили. Вони діють через публічні дискусії, аналітичні звіти, адвокаційні кампанії з просування якісних законопроєктів у сферах антикорупції, децентралізації, охорони здоров’я, освіти, судової реформи. Такий громадянський контроль та аналітична експертиза стають важливим ресурсом для опозиції, яка може пропонувати владі альтернативні інституційні рішення.</w:t>
      </w:r>
    </w:p>
    <w:p w14:paraId="1D07CE6C" w14:textId="31B13FE9"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Рухи, що виникли під час Революції Гідності (2013–2014), такі як "Автомайдан", "Євромайдан SOS", стали прообразом сталої громадянської опозиції до дій влади. Вони здійснюють моніторинг державних інституцій, контролюють публічні закупівлі, організовують громадські слухання, беруть участь у просвітницьких та лобістських кампаніях. Ці рухи не завжди відкрито називають себе опозицією, але через свою критичну діяльність, викриття </w:t>
      </w:r>
      <w:r w:rsidRPr="00A248F8">
        <w:rPr>
          <w:rFonts w:ascii="Times New Roman" w:hAnsi="Times New Roman" w:cs="Times New Roman"/>
          <w:sz w:val="28"/>
          <w:szCs w:val="28"/>
        </w:rPr>
        <w:lastRenderedPageBreak/>
        <w:t>корупційних схем та тиск на урядові органи фактично виконують опозиційну функцію, стимулюючи зміну політик і підвищення прозорості.</w:t>
      </w:r>
    </w:p>
    <w:p w14:paraId="679D309D" w14:textId="1C382A08"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Незалежні дослідницькі інституції, як-от Центр економічної стратегії, Центр протидії корупції, Інститут світової політики, Міжнародний центр перспективних досліджень, мають суттєвий інтелектуальний вплив. Вони розробляють концепції реформ, пропонують дорожні карти змін, аналізують ефективність державної політики. Хоч вони не беруть участі у виборах, їхні публікації, експертні думки, участь у слуханнях Верховної Ради формують аргументаційну базу для опозиції. Таким чином, опозиція отримує інтелектуальний ресурс для формулювання якісно нових політичних програм.</w:t>
      </w:r>
    </w:p>
    <w:p w14:paraId="67CDBE34" w14:textId="0F4D650C"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Останніми роками дедалі важливішим стає феномен "онлайн-опозиції": блогери, журналісти-розслідувачі, активні користувачі соціальних мереж, лідери громадської думки (інтелектуали, художники, письменники) беруть участь у політичному дискурсі та впливають на настрої електорату.</w:t>
      </w:r>
    </w:p>
    <w:p w14:paraId="2DDB6B0D" w14:textId="78C3EC4E"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Журналісти та розслідувачі: команди журналістських розслідувань ("Схеми", "Наші гроші") критикують владу, викривають корупційні схеми, недоліки управлінських рішень. Цей неформальний опозиційний сегмент не зв'язаний з політичними партіями, але вносить у суспільний простір ключові теми для дебатів, які потім підхоплюють опозиційні сили.</w:t>
      </w:r>
    </w:p>
    <w:p w14:paraId="7222723F" w14:textId="1B17BD3F"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Блогери та інфлюєнсери: соціальні мережі (Facebook, Telegram, YouTube) стали аренами альтернативної політичної комунікації. Тут опозиція часто отримує голос, якого бракує в традиційних медіа. Блогери аналітично розбирають владні ініціативи, критикують їхню доцільність, пропонують власне бачення. Така діяльність формує "низову" опозиційність і може призводити до мобілізації виборців, наприклад, перед виборами чи під час суспільно резонансних подій.</w:t>
      </w:r>
    </w:p>
    <w:p w14:paraId="2CFD79F4" w14:textId="45C662C4"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Опозиційне поле неоднорідне, і суб'єкти співпрацюють, конфліктують або ігнорують один одного, залежно від контексту. Партії часто шукають експертизу в аналітичних центрах, ідеї реформ у громадських організацій, медіапростір у блогерів та журналістів. Громадські рухи користуються </w:t>
      </w:r>
      <w:r w:rsidRPr="00A248F8">
        <w:rPr>
          <w:rFonts w:ascii="Times New Roman" w:hAnsi="Times New Roman" w:cs="Times New Roman"/>
          <w:sz w:val="28"/>
          <w:szCs w:val="28"/>
        </w:rPr>
        <w:lastRenderedPageBreak/>
        <w:t>парламентськими інструментами опозиційних депутатів для просування своїх ініціатив. Такий "розподіл ролей" робить опозицію більш гнучкою та різноманітною, незважаючи на слабке інституційне оформлення.</w:t>
      </w:r>
    </w:p>
    <w:p w14:paraId="0EC01C81" w14:textId="39BA93D7"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Проте існують і проблеми: часто опозиція залишається розпорошеною, не може виробити спільної стратегії, оскільки інтереси та цінності різних суб'єктів не завжди збігаються. Партії можуть ігнорувати пропозиції громадських організацій, якщо вони не приносять миттєвих політичних дивідендів. Аналітичні центри можуть критикувати популістичні підходи опозиції, що призводить до взаємних звинувачень у некомпетентності чи заангажованості.</w:t>
      </w:r>
    </w:p>
    <w:p w14:paraId="202767CA" w14:textId="0D6614A0" w:rsidR="00944534" w:rsidRPr="00A248F8"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Окремо варто згадати діаспорні організації та міжнародні партнери України. Хоча вони не є внутрішньополітичними акторами в повному сенсі, їхня позиція може підтримати опозицію. Міжнародні організації (Рада Європи, ОБСЄ, представництва ЄС), іноземні фонди, міжнародні правозахисні інституції можуть ставити вимоги щодо дотримання демократичних стандартів, тим самим надаючи опозиції аргументи у внутрішніх дебатах. Наприклад, якщо влада порушує свободу слова, опозиція може апелювати до міжнародних оцінок та рекомендацій, посилюючи свій голос.</w:t>
      </w:r>
    </w:p>
    <w:p w14:paraId="3D57D159" w14:textId="6EF8F0BB" w:rsidR="0049123B" w:rsidRDefault="00944534"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Діаспора – це ще одне важливе джерело впливу. Українські громади за кордоном, волонтери, благодійники, які допомагають армії та цивільним під час війни, можуть впливати на громадську думку в Україні через підтримку певних опозиційних ініціатив, кампаній, благодійних акцій. Іноді діаспора долучається до інформаційних проєктів, доводить інформацію про політичні конфлікти у міжнародний простір, тим самим посилюючи увагу до опозиційних питань.</w:t>
      </w:r>
    </w:p>
    <w:p w14:paraId="5F383802" w14:textId="0AC98B28" w:rsidR="00EC7D6C" w:rsidRDefault="00EC7D6C" w:rsidP="00A248F8">
      <w:pPr>
        <w:spacing w:after="0" w:line="360" w:lineRule="auto"/>
        <w:ind w:firstLine="567"/>
        <w:jc w:val="both"/>
        <w:rPr>
          <w:rFonts w:ascii="Times New Roman" w:hAnsi="Times New Roman" w:cs="Times New Roman"/>
          <w:sz w:val="28"/>
          <w:szCs w:val="28"/>
        </w:rPr>
      </w:pPr>
    </w:p>
    <w:p w14:paraId="70EC3C9E" w14:textId="31DE775B" w:rsidR="00EC7D6C" w:rsidRDefault="00EC7D6C" w:rsidP="00A248F8">
      <w:pPr>
        <w:spacing w:after="0" w:line="360" w:lineRule="auto"/>
        <w:ind w:firstLine="567"/>
        <w:jc w:val="both"/>
        <w:rPr>
          <w:rFonts w:ascii="Times New Roman" w:hAnsi="Times New Roman" w:cs="Times New Roman"/>
          <w:sz w:val="28"/>
          <w:szCs w:val="28"/>
        </w:rPr>
      </w:pPr>
    </w:p>
    <w:p w14:paraId="3E959E93" w14:textId="0CF12FF1" w:rsidR="00EC7D6C" w:rsidRDefault="00EC7D6C" w:rsidP="00A248F8">
      <w:pPr>
        <w:spacing w:after="0" w:line="360" w:lineRule="auto"/>
        <w:ind w:firstLine="567"/>
        <w:jc w:val="both"/>
        <w:rPr>
          <w:rFonts w:ascii="Times New Roman" w:hAnsi="Times New Roman" w:cs="Times New Roman"/>
          <w:sz w:val="28"/>
          <w:szCs w:val="28"/>
        </w:rPr>
      </w:pPr>
    </w:p>
    <w:p w14:paraId="1BC8EF6B" w14:textId="77777777" w:rsidR="00EC7D6C" w:rsidRPr="00A248F8" w:rsidRDefault="00EC7D6C" w:rsidP="00A248F8">
      <w:pPr>
        <w:spacing w:after="0" w:line="360" w:lineRule="auto"/>
        <w:ind w:firstLine="567"/>
        <w:jc w:val="both"/>
        <w:rPr>
          <w:rFonts w:ascii="Times New Roman" w:hAnsi="Times New Roman" w:cs="Times New Roman"/>
          <w:sz w:val="28"/>
          <w:szCs w:val="28"/>
        </w:rPr>
      </w:pPr>
    </w:p>
    <w:p w14:paraId="2CBC406F" w14:textId="3C997A1E" w:rsidR="00071854" w:rsidRDefault="00071854"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rPr>
        <w:lastRenderedPageBreak/>
        <w:t xml:space="preserve">РОЗДІЛ 3. </w:t>
      </w:r>
      <w:r w:rsidR="001146FC" w:rsidRPr="00A248F8">
        <w:rPr>
          <w:rFonts w:ascii="Times New Roman" w:hAnsi="Times New Roman" w:cs="Times New Roman"/>
          <w:b/>
          <w:bCs/>
          <w:sz w:val="28"/>
          <w:szCs w:val="28"/>
        </w:rPr>
        <w:t>ВНУТРІШНЯ ДИНАМІКА, ЗОВНІШНЬОПОЛІТИЧНИЙ ВИМІР ТА ПЕРСПЕКТИВИ РЕФОРМ</w:t>
      </w:r>
    </w:p>
    <w:p w14:paraId="66EEB740" w14:textId="77777777" w:rsidR="00EC7D6C" w:rsidRPr="00A248F8" w:rsidRDefault="00EC7D6C" w:rsidP="00EC7D6C">
      <w:pPr>
        <w:spacing w:after="0" w:line="360" w:lineRule="auto"/>
        <w:ind w:firstLine="567"/>
        <w:jc w:val="center"/>
        <w:rPr>
          <w:rFonts w:ascii="Times New Roman" w:hAnsi="Times New Roman" w:cs="Times New Roman"/>
          <w:b/>
          <w:bCs/>
          <w:sz w:val="28"/>
          <w:szCs w:val="28"/>
        </w:rPr>
      </w:pPr>
    </w:p>
    <w:p w14:paraId="63BE8253" w14:textId="2F73A770" w:rsidR="001146FC" w:rsidRPr="00A248F8" w:rsidRDefault="001146FC"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rPr>
        <w:t>3.1. Проблеми, організація та ресурси опозиції: політична культура й електоральні стратегії</w:t>
      </w:r>
    </w:p>
    <w:p w14:paraId="649D2651" w14:textId="7A5CED19"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Українська опозиція неодноразово намагалася об'єднатися у коаліції, щоб ефективніше протидіяти владі. Проте такі спроби переважно зазнавали труднощів через ідейні розбіжності, персональні амбіції лідерів та вплив зовнішніх чинників.</w:t>
      </w:r>
    </w:p>
    <w:p w14:paraId="322BCE9F" w14:textId="538086D2"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Від часу здобуття незалежності опозиційні партії мали змінний успіх на виборах. Наприклад, дані ЦВК свідчать, що у 2002–2007 роках опозиційні сили суттєво посилили свої позиції в парламенті. Після 2014 року, на фоні війни, електоральні переваги змістилися до проєвропейських і патріотичних партій. За підсумками парламентських виборів 2019 року "Європейська солідарність" отримала близько 8.1% голосів – це демонструє відносну втрату підтримки порівняно з періодом, коли Порошенко був Президентом.</w:t>
      </w:r>
    </w:p>
    <w:p w14:paraId="549FD3A3" w14:textId="3E8A1CD2"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Причини таких коливань: втома електорату від політиків-старожилів, поява нових партій-"новачків", наприклад, "Голос" (вже практично зниклий як значимий гравець), а також зростання значення соціально-економічних питань на тлі війни та кризи.</w:t>
      </w:r>
    </w:p>
    <w:p w14:paraId="33065D3B" w14:textId="3BB3C6A0"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Спільні коаліції опозиційних сил мали місце, наприклад, у 2004 році під час Помаранчевої революції, у 2013–2014 роках під час Революції Гідності. Проте, коли опозиція приходила до влади, внутрішні конфлікти руйнували коаліційну єдність. У 2014–2015 роках "коктейль" з різних ідейних течій, від лібералів до націоналістів, не витримав випробування владою. Аналітики НІСД підкреслюють, що проблема полягає в слабкій інституційності політичних партій та залежності від лідерських постатей.</w:t>
      </w:r>
    </w:p>
    <w:p w14:paraId="521E5880" w14:textId="781CD345"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На сьогодні спроби коаліційного об’єднання натрапляють на відсутність чіткого спільного порядку денного. Опозиція не має єдиної стратегії щодо </w:t>
      </w:r>
      <w:r w:rsidRPr="00A248F8">
        <w:rPr>
          <w:rFonts w:ascii="Times New Roman" w:hAnsi="Times New Roman" w:cs="Times New Roman"/>
          <w:sz w:val="28"/>
          <w:szCs w:val="28"/>
        </w:rPr>
        <w:lastRenderedPageBreak/>
        <w:t>антикорупційних реформ, умов для переговорів з РФ чи темпів європейської інтеграції. Це знижує її здатність ефективно конкурувати з владою.</w:t>
      </w:r>
    </w:p>
    <w:p w14:paraId="431BF439" w14:textId="6579EFFD"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Опозиція в Україні намагається формувати альтернативний порядок денний, висуваючи альтернативні політичні стратегії у сферах економіки, соціальної політики, зовнішніх відносин.</w:t>
      </w:r>
    </w:p>
    <w:p w14:paraId="0F5F175F" w14:textId="7697737D"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Опозиція критикує уряд за високий рівень інфляції, що у 2023 році перевищив 20%, за недостатню підтримку малого та середнього бізнесу, недостатні темпи приватизації та реформи держпідприємств. Вона пропонує:</w:t>
      </w:r>
    </w:p>
    <w:p w14:paraId="4E104F55"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Зниження податкового тиску, особливо для малого бізнесу.</w:t>
      </w:r>
    </w:p>
    <w:p w14:paraId="62C05614"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Реіндустріалізацію через стимули інновацій та інвестицій.</w:t>
      </w:r>
    </w:p>
    <w:p w14:paraId="07B3342E"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Підвищення прозорості публічних фінансів та ефективності антикорупційних інституцій.</w:t>
      </w:r>
    </w:p>
    <w:p w14:paraId="005E1DA8" w14:textId="4E5D912E"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Однак ці пропозиції часто залишаються декларативними. Звіт "Сучасна українська політика" (2022) свідчить, що опозиція рідко надає чітко розписані законопроєкти з фінансовими обґрунтуваннями. Часто ініціативи опозиції мають популістичний характер (наприклад, радикальне зниження тарифів на газ без врахування економічних наслідків).</w:t>
      </w:r>
    </w:p>
    <w:p w14:paraId="1BC526D4" w14:textId="38262A6A"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Опозиція переважно підтримує курс на євроатлантичну інтеграцію. За опитуваннями фонду "Демократичні ініціативи" (2023), близько 76% українців підтримують вступ до НАТО, що збігається з позицією більшості опозиційних партій. Проте опозиція критикує владу за повільний темп виконання критеріїв для вступу до ЄС, недостатню активність у залученні міжнародної допомоги, запізнілість у реформуванні оборонно-промислового комплексу.</w:t>
      </w:r>
    </w:p>
    <w:p w14:paraId="4D87CC8D" w14:textId="1347E26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Водночас опозиція не пропонує радикально відмінного зовнішньополітичного курсу. В умовах війни вона змушена орієнтуватися на національний консенсус, розуміючи, що відступ від євроатлантичної лінії чи сумнівні переговори з РФ призведуть до втрати суспільної підтримки.</w:t>
      </w:r>
    </w:p>
    <w:p w14:paraId="637BB454" w14:textId="05201D81"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Взаємодія між опозицією та владою визначається механізмами парламентського контролю, інформаційної боротьби, а також рівнем політичної культури та готовності до компромісів.</w:t>
      </w:r>
    </w:p>
    <w:p w14:paraId="313E7174" w14:textId="1A03E2EB"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Опозиція активно використовує парламентські запити, інтерпеляції, виступи на засіданнях Верховної Ради, пресконференції та соціальні мережі. Проте вплив цих інструментів ускладнений:</w:t>
      </w:r>
    </w:p>
    <w:p w14:paraId="43934801"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Воєнний стан обмежив доступ опозиції до ефірів на центральних телеканалах, які транслюють єдиний телемарафон. Опозиційні діячі стверджують, що урядова більшість має монополію на інформацію.</w:t>
      </w:r>
    </w:p>
    <w:p w14:paraId="043E388A"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Соціальні мережі та інтернет-ЗМІ залишаються головними майданчиками для опозиції. Водночас їхня аудиторія обмежена порівняно з телебаченням.</w:t>
      </w:r>
    </w:p>
    <w:p w14:paraId="3EB773BE" w14:textId="1885521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Конфлікти, такі як суперечки під час ухвалення бюджету чи законів про оподаткування, демонструють, що опозиція часто не бажає "попуститися" у принципових питаннях. Це створює певний ризик політичної нестабільності. Водночас жорсткий опір владі у час війни може бути сприйнятий як безвідповідальність, що знижує готовність суспільства підтримувати опозицію. Деякі експерти (матеріали журналу "Політична думка", 2023) вважають, що наразі опозиція перебуває у стратегічній пастці: надто гостра критика владних дій під час війни може дискредитувати опозиціонерів у очах патріотично налаштованого електорату.</w:t>
      </w:r>
    </w:p>
    <w:p w14:paraId="2C0C19FF" w14:textId="18D2CC61"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Більшість українських партій залишаються "лідерськими проєктами", а не інституціоналізованими організаціями з чіткою ідеологією, розгалуженою мережею первинних осередків, внутрішньопартійною демократією. Це ускладнює кадрову політику, розробку довгострокових стратегій і підтримку стабільної опозиційної лінії. Партії часто зазнають криз при втраті популярності лідера або зміни кон’юнктури.</w:t>
      </w:r>
    </w:p>
    <w:p w14:paraId="4CE39C04" w14:textId="1BED770B"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Хоча з 2015 року було впроваджено державне фінансування партій, опозиція не завжди має достатні ресурси. Часто залежність від олігархічних кіл призводить до втрати довіри виборців, ускладнює вироблення незалежних позицій. Звіти НАЗК свідчать, що фінансова прозорість партій покращилась, проте далека від ідеалу. Опозиційні партії потребують ефективніших механізмів залучення малих донорів та краудфандингу.</w:t>
      </w:r>
    </w:p>
    <w:p w14:paraId="38C50FA4" w14:textId="6EDA2CAB"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Обмежений доступ опозиції до загальнонаціональних теле- і радіоканалів в умовах воєнного стану, домінування проурядового інформаційного порядку денного, складнощі в організації пресконференцій та дебатів – усе це знижує якість політичної конкуренції та ускладнює донесення альтернативних поглядів до суспільства. Хоча соціальні мережі та інтернет залишаються полем свободи, вони не можуть повністю замінити традиційні медіа через різну соціально-демографічну структуру аудиторії.</w:t>
      </w:r>
    </w:p>
    <w:p w14:paraId="22B5AF7D" w14:textId="5787A938" w:rsidR="00223412" w:rsidRPr="00A248F8" w:rsidRDefault="00223412" w:rsidP="004F507F">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Під час повномасштабної війни зовнішня загроза створює потребу в політичній єдності. Будь-яка надмірна критика влади може сприйматися як деструктивна. Це накладає додаткові обмеження на опозицію у формулюванні меседжів. Опозиція намагається збалансувати між відповідальністю за долю країни та виконанням своєї контролюючої та альтернативної функції.</w:t>
      </w:r>
      <w:r w:rsidR="004F507F" w:rsidRPr="004F507F">
        <w:rPr>
          <w:rFonts w:ascii="Times New Roman" w:hAnsi="Times New Roman" w:cs="Times New Roman"/>
          <w:sz w:val="28"/>
          <w:szCs w:val="28"/>
        </w:rPr>
        <w:t xml:space="preserve"> </w:t>
      </w:r>
      <w:r w:rsidRPr="00A248F8">
        <w:rPr>
          <w:rFonts w:ascii="Times New Roman" w:hAnsi="Times New Roman" w:cs="Times New Roman"/>
          <w:sz w:val="28"/>
          <w:szCs w:val="28"/>
        </w:rPr>
        <w:t>Посилення інституційності партій та</w:t>
      </w:r>
      <w:r w:rsidR="004F507F">
        <w:rPr>
          <w:rFonts w:ascii="Times New Roman" w:hAnsi="Times New Roman" w:cs="Times New Roman"/>
          <w:sz w:val="28"/>
          <w:szCs w:val="28"/>
        </w:rPr>
        <w:t xml:space="preserve"> внутрішньопартійної демократії.</w:t>
      </w:r>
    </w:p>
    <w:p w14:paraId="1625B7DA" w14:textId="6E417582"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Якщо опозиційні партії стануть більш програмно-ідеологічними, із розвиненою мережею активістів, здатністю до системного аналізу політики, вони зможуть пропонувати глибші альтернативи владі. Це вимагає від лідерів перегляду лідерських методів, більшої прозорості та відкритих праймеріз.</w:t>
      </w:r>
    </w:p>
    <w:p w14:paraId="77C3B0E1" w14:textId="11185A00"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По завершенню воєнного стану й у випадку стабілізації безпекової ситуації відновлення політичних ток-шоу, публічних дебатів, вільних ефірів для опозиції допоможе покращити комунікацію з виборцями. Міжнародні партнери (ЄС, Рада Європи) можуть чинити тиск заради забезпечення медіаплюралізму.</w:t>
      </w:r>
    </w:p>
    <w:p w14:paraId="44A29C74" w14:textId="5FB72BCE"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Молоде покоління політиків, громадські активісти, експертні середовища (think tanks), ініціативні групи – усе це може стати фундаментом нової хвилі опозиційності, вільної від корумпованих практик минулого. Цей процес може активізуватися після закінчення війни, коли суспільство буде шукати нові смисли та політичні пропозиції.</w:t>
      </w:r>
    </w:p>
    <w:p w14:paraId="2D58EDD3"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Розвиток діалогу між владою та опозицією:</w:t>
      </w:r>
    </w:p>
    <w:p w14:paraId="28A0436C" w14:textId="19C96F15"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Якщо політична культура поступово еволюціонуватиме від конфронтації до дискусії, можлива поява інституцій діалогу – спеціальних парламентських </w:t>
      </w:r>
      <w:r w:rsidRPr="00A248F8">
        <w:rPr>
          <w:rFonts w:ascii="Times New Roman" w:hAnsi="Times New Roman" w:cs="Times New Roman"/>
          <w:sz w:val="28"/>
          <w:szCs w:val="28"/>
        </w:rPr>
        <w:lastRenderedPageBreak/>
        <w:t>комітетів, переговорних майданчиків. Це знизить поляризацію та сприятиме більш передбачуваним політичним процесам.</w:t>
      </w:r>
    </w:p>
    <w:p w14:paraId="27474B52" w14:textId="77777777" w:rsidR="00223412"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Посилення ролі міжнародних стандартів та наглядових механізмів:</w:t>
      </w:r>
    </w:p>
    <w:p w14:paraId="17D100A4" w14:textId="7EC19794" w:rsidR="00CB086A" w:rsidRPr="00A248F8" w:rsidRDefault="00223412"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Євроінтеграційний курс України передбачає відповідність демократичним принципам. ЄС, ОБСЄ, Рада Європи уважно стежать за дотриманням прав опозиції. Рекомендації Венеціанської комісії, спостережні місії ОБСЄ на виборах, консультації з експертами ЄС можуть стати каталізатором реформ, що посилять опозицію.</w:t>
      </w:r>
    </w:p>
    <w:p w14:paraId="4BE82A2A"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Вибори залишаються центральною ареною політичної боротьби, де опозиція має змогу кинути виклик чинній владі, мобілізуючи суспільство та пропонуючи альтернативний порядок денний. У перехідних демократіях, таких як Україна, електоральні стратегії опозиції стають важливим індикатором демократичної зрілості. Ефективна конкуренція між політичними силами забезпечує виборцям реальний вибір між різними моделями розвитку, сприяючи посиленню демократичних інститутів.</w:t>
      </w:r>
    </w:p>
    <w:p w14:paraId="38EBF7AE" w14:textId="3E7D7C0C"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Українські виборчі кампанії значною мірою формуються під впливом історичних подій, зокрема революційних змін 2004 та 2013–2014 років. Помаранчева революція заклала підґрунтя для активної участі громадянського суспільства у політичному процесі, тоді як Революція Гідності стала каталізатором для впровадження європейських цінностей та стандартів. У цих умовах опозиція отримала суспільний мандат на реалізацію реформ, спрямованих на боротьбу з корупцією, євроінтеграцію та посилення національної безпеки.</w:t>
      </w:r>
    </w:p>
    <w:p w14:paraId="4F899910"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Відповідно до даних Київського міжнародного інституту соціології (КМІС, 2023), після Революції Гідності понад 68% громадян очікували від опозиції чітких і реалістичних програм реформ, які могли б забезпечити економічну стабільність, ефективну боротьбу з корупцією та покращення умов життя. Цей запит вплинув на формування електоральних стратегій, спрямованих на збільшення довіри до опозиції та розширення її електоральної бази.</w:t>
      </w:r>
    </w:p>
    <w:p w14:paraId="7A40035F"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Україна характеризується значною регіональною диференціацією політичних вподобань, що впливає на електоральні стратегії опозиції. Східні та південні регіони традиційно демонструють більшу підтримку партій, орієнтованих на економічний популізм та соціальну стабільність, тоді як західні області є більш лояльними до партій, що акцентують увагу на національних та євроінтеграційних питаннях. Водночас центральна Україна залишається полем боротьби між різними політичними силами, що змушує опозицію адаптувати свої програми до різних соціальних і культурних контекстів.</w:t>
      </w:r>
    </w:p>
    <w:p w14:paraId="58F8B85F" w14:textId="5CBC4A5B"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У сучасному політичному середовищі цифрові технології стали важливим інструментом для опозиції. Соціальні мережі, такі як Facebook, Telegram, YouTube, Instagram, дозволяють політичним силам напряму комунікувати з виборцями, минаючи традиційні медіа, які часто знаходяться під контролем олігархічних структур або є лояльними до влади.</w:t>
      </w:r>
    </w:p>
    <w:p w14:paraId="3B55EFE1" w14:textId="68A3533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Згідно з дослідженням Digital Campaign Monitor (2023), понад 46% українських виборців отримують політичну інформацію через соціальні мережі, що робить їх ключовим джерелом інформації. YouTube, зокрема, стає платформою для публікації аналітичних матеріалів, викриття корупційних схем та критики урядових рішень. Наприклад, успішне використання цієї платформи продемонстрували такі опозиційні лідери, як Олександр Дубінський, які змогли створити незалежну інформаційну повістку, спрямовану на мобілізацію електорату.</w:t>
      </w:r>
    </w:p>
    <w:p w14:paraId="6AE05344"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Водночас цифровізація супроводжується ризиками, такими як поширення дезінформації, кібератаки та фейкові новини. Здатність опозиції оперативно реагувати на ці виклики є критично важливою для збереження довіри виборців.</w:t>
      </w:r>
    </w:p>
    <w:p w14:paraId="59A20B2D" w14:textId="15408E64"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Об'єднання опозиційних партій у коаліції є важливим елементом електоральних стратегій, оскільки воно дозволяє акумулювати ресурси, розширювати електоральну базу та створювати потужну контрвагу владі. Проте в Україні коаліційні процеси часто ускладнюються через відсутність </w:t>
      </w:r>
      <w:r w:rsidRPr="00A248F8">
        <w:rPr>
          <w:rFonts w:ascii="Times New Roman" w:hAnsi="Times New Roman" w:cs="Times New Roman"/>
          <w:sz w:val="28"/>
          <w:szCs w:val="28"/>
        </w:rPr>
        <w:lastRenderedPageBreak/>
        <w:t>сталої партійної ідеології, персональні амбіції лідерів та кулуарні домовленості.</w:t>
      </w:r>
    </w:p>
    <w:p w14:paraId="25B2D08D" w14:textId="71DC3BE8" w:rsidR="00011CF5"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Порівняльний аналіз політичних систем Центральної та Східної Європи показує, що успішні коаліції базуються на прозорих угодах та спільних реформаторських пріоритетах. В Україні ж несталість коаліцій негативно впливає на довіру виборців: згідно з дослідженням Фонду демократичних ініціатив (2023), понад 43% громадян вважають, що коаліційні домовленості в Україні є непрозорими та недемократичними.</w:t>
      </w:r>
    </w:p>
    <w:p w14:paraId="28F32E64" w14:textId="77777777" w:rsidR="004F507F" w:rsidRPr="00A248F8" w:rsidRDefault="004F507F" w:rsidP="00A248F8">
      <w:pPr>
        <w:spacing w:after="0" w:line="360" w:lineRule="auto"/>
        <w:ind w:firstLine="567"/>
        <w:jc w:val="both"/>
        <w:rPr>
          <w:rFonts w:ascii="Times New Roman" w:hAnsi="Times New Roman" w:cs="Times New Roman"/>
          <w:sz w:val="28"/>
          <w:szCs w:val="28"/>
        </w:rPr>
      </w:pPr>
    </w:p>
    <w:p w14:paraId="26E4A79A" w14:textId="06959E90" w:rsidR="001146FC" w:rsidRDefault="001146FC"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rPr>
        <w:t>3.2. Опозиція у зовнішній політиці та соціокультурний вимір діяльності</w:t>
      </w:r>
    </w:p>
    <w:p w14:paraId="34F0A0C0" w14:textId="77777777" w:rsidR="00EC7D6C" w:rsidRPr="00A248F8" w:rsidRDefault="00EC7D6C" w:rsidP="00EC7D6C">
      <w:pPr>
        <w:spacing w:after="0" w:line="360" w:lineRule="auto"/>
        <w:ind w:firstLine="567"/>
        <w:jc w:val="center"/>
        <w:rPr>
          <w:rFonts w:ascii="Times New Roman" w:hAnsi="Times New Roman" w:cs="Times New Roman"/>
          <w:b/>
          <w:bCs/>
          <w:sz w:val="28"/>
          <w:szCs w:val="28"/>
        </w:rPr>
      </w:pPr>
    </w:p>
    <w:p w14:paraId="2BA60B2D" w14:textId="36B70918"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Україна протягом десятиліть перебуває у складному геополітичному становищі, що визначає ключові вектори її зовнішньої політики. Євроінтеграційний курс, особливо після Революції Гідності, став маркером політичного розвитку країни. У цих умовах опозиція відіграє важливу роль у формуванні зовнішньополітичного порядку денного, будучи носієм альтернативних ідей та моделей європейської інтеграції.</w:t>
      </w:r>
    </w:p>
    <w:p w14:paraId="289F282F" w14:textId="513FD7EF"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Згідно з теорією політичних систем Габріеля Алмонда та Девіда Істона, стабільність політичного режиму визначається здатністю системи адаптуватися до змін внутрішнього та зовнішнього середовища. У цьому контексті опозиція виступає як ключовий суб’єкт, що через політичну конкуренцію може коригувати зовнішньополітичний курс. В Україні, яка переживає перехідний період і водночас зазнає зовнішньої агресії з боку Росії, опозиція виконує функцію як критика влади, так і каталізатора реформ.</w:t>
      </w:r>
    </w:p>
    <w:p w14:paraId="20FCD2FC" w14:textId="31A83C5B"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Опозиційні партії часто використовують платформу євроінтеграції для легітимації своєї політичної позиції. Це відповідає концепції </w:t>
      </w:r>
      <w:r w:rsidR="00EC7D6C">
        <w:rPr>
          <w:rFonts w:ascii="Times New Roman" w:hAnsi="Times New Roman" w:cs="Times New Roman"/>
          <w:sz w:val="28"/>
          <w:szCs w:val="28"/>
        </w:rPr>
        <w:t>“</w:t>
      </w:r>
      <w:r w:rsidRPr="00A248F8">
        <w:rPr>
          <w:rFonts w:ascii="Times New Roman" w:hAnsi="Times New Roman" w:cs="Times New Roman"/>
          <w:sz w:val="28"/>
          <w:szCs w:val="28"/>
        </w:rPr>
        <w:t>нормативної сили Європи</w:t>
      </w:r>
      <w:r w:rsidR="00EC7D6C">
        <w:rPr>
          <w:rFonts w:ascii="Times New Roman" w:hAnsi="Times New Roman" w:cs="Times New Roman"/>
          <w:sz w:val="28"/>
          <w:szCs w:val="28"/>
        </w:rPr>
        <w:t>”</w:t>
      </w:r>
      <w:r w:rsidRPr="00A248F8">
        <w:rPr>
          <w:rFonts w:ascii="Times New Roman" w:hAnsi="Times New Roman" w:cs="Times New Roman"/>
          <w:sz w:val="28"/>
          <w:szCs w:val="28"/>
        </w:rPr>
        <w:t xml:space="preserve"> (Йоханнес Дельє), згідно з якою країни, що прагнуть інтеграції до ЄС, адаптують свої інститути та політики відповідно до європейських стандартів. В українському контексті це означає не лише прагнення до </w:t>
      </w:r>
      <w:r w:rsidRPr="00A248F8">
        <w:rPr>
          <w:rFonts w:ascii="Times New Roman" w:hAnsi="Times New Roman" w:cs="Times New Roman"/>
          <w:sz w:val="28"/>
          <w:szCs w:val="28"/>
        </w:rPr>
        <w:lastRenderedPageBreak/>
        <w:t>членства, але й використання євроінтеграції як інструменту внутрішньої трансформації.</w:t>
      </w:r>
    </w:p>
    <w:p w14:paraId="4946B4B2" w14:textId="41C25662"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Опозиція в Україні часто використовує питання євроінтеграції для мобілізації підтримки виборців. За даними досліджень Київського міжнародного інституту соціології (КМІС, 2023), близько 67% громадян підтримують європейський вектор розвитку країни. Політичні партії, орієнтуючись на цей запит, формують свої програми на основі таких елементів:</w:t>
      </w:r>
    </w:p>
    <w:p w14:paraId="388EE988"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Впровадження європейських стандартів у правосудді, боротьбі з корупцією та економічному управлінні.</w:t>
      </w:r>
    </w:p>
    <w:p w14:paraId="5DA1CA37"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Залучення міжнародної допомоги для проведення реформ.</w:t>
      </w:r>
    </w:p>
    <w:p w14:paraId="22D78895"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Підтримка ініціатив щодо лібералізації візового режиму та інтеграції до єдиного європейського ринку.</w:t>
      </w:r>
    </w:p>
    <w:p w14:paraId="1FD0B938" w14:textId="3C4BC49C"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Платформи опозиції в зовнішній політиці значною мірою формуються як реакція на провали уряду. Наприклад, затримка в імплементації Угоди про асоціацію між Україною та ЄС стала предметом гострої критики з боку опозиційних партій, які акцентували на необхідності дотримання європейських стандартів як умови для подальшого просування інтеграційних процесів.</w:t>
      </w:r>
    </w:p>
    <w:p w14:paraId="31BB70FD" w14:textId="162248B3"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Опозиційні сили активно співпрацюють з європейськими партнерами, використовуючи міжнародні майданчики для підвищення свого політичного статусу. Залучення до міжнародних форумів, обговорення проблем демократизації та прав людини, організація обмінів між політичними структурами України та ЄС створюють умови для посилення позицій опозиції.</w:t>
      </w:r>
    </w:p>
    <w:p w14:paraId="02450B7D" w14:textId="39E15FBB"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Наприклад, програми навчання для молодих політиків, організовані німецьким Фондом Конрада Аденауера, сприяють формуванню нового покоління опозиційних лідерів. Це підвищує якість політичного дискурсу та дозволяє інтегрувати найкращі практики європейського управління.</w:t>
      </w:r>
    </w:p>
    <w:p w14:paraId="2DD667BE"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Виклики євроінтеграційного курсу для опозиції</w:t>
      </w:r>
    </w:p>
    <w:p w14:paraId="3B209713" w14:textId="5C8D169C"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У той час як євроінтеграція є важливим інструментом мобілізації, вона також створює виклики для опозиції. Серед них:</w:t>
      </w:r>
    </w:p>
    <w:p w14:paraId="6C5080B4"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Слабкість інституцій. Відсутність чіткої координації між органами влади ускладнює імплементацію реформ, що використовує уряд для критики опозиції.</w:t>
      </w:r>
    </w:p>
    <w:p w14:paraId="67665A32"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Вплив олігархічних груп. Олігархічні інтереси часто перешкоджають проведенню реформ, що вимагають прозорості.</w:t>
      </w:r>
    </w:p>
    <w:p w14:paraId="5C9F2414" w14:textId="77777777" w:rsidR="007A11B8" w:rsidRPr="00A248F8" w:rsidRDefault="007A11B8"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Геополітичні ризики. Конфлікт із Росією створює додаткове навантаження на економіку, відволікаючи ресурси від реформ.</w:t>
      </w:r>
    </w:p>
    <w:p w14:paraId="51ECC4ED" w14:textId="56EE5068" w:rsidR="007A11B8" w:rsidRPr="00A248F8" w:rsidRDefault="007A11B8"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rPr>
        <w:t>Таким чином, євроінтеграція для опозиції є як можливістю для посилення свого впливу, так і викликом, що вимагає адаптації стратегій до реалій сучасного політичного контексту.</w:t>
      </w:r>
    </w:p>
    <w:p w14:paraId="04B21A49" w14:textId="51E1D59E"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Ефективна участь опозиції у законодавчому процесі є невід’ємною складовою функціонування демократії, адже вона забезпечує політичний плюралізм, сприяє конкуренції ідей та мінімізує ризики монополізації влади однією політичною силою. Відповідно до концепцій Р. Дала щодо поліархії та підходів Дж. Сарторі до аналізу партійних систем, наявність дієвої опозиції у парламенті — це показник здоров’я політичної системи, котра здатна реагувати на суспільні виклики та регенеруватися за рахунок внутрішнього діалогу.</w:t>
      </w:r>
    </w:p>
    <w:p w14:paraId="0737927F" w14:textId="5FC2DE95" w:rsidR="00454146" w:rsidRPr="00A248F8" w:rsidRDefault="00454146" w:rsidP="00A248F8">
      <w:pPr>
        <w:spacing w:after="0" w:line="360" w:lineRule="auto"/>
        <w:ind w:firstLine="567"/>
        <w:jc w:val="both"/>
        <w:rPr>
          <w:rFonts w:ascii="Times New Roman" w:hAnsi="Times New Roman" w:cs="Times New Roman"/>
          <w:b/>
          <w:bCs/>
          <w:sz w:val="28"/>
          <w:szCs w:val="28"/>
        </w:rPr>
      </w:pPr>
      <w:r w:rsidRPr="00A248F8">
        <w:rPr>
          <w:rFonts w:ascii="Times New Roman" w:hAnsi="Times New Roman" w:cs="Times New Roman"/>
          <w:b/>
          <w:bCs/>
          <w:sz w:val="28"/>
          <w:szCs w:val="28"/>
        </w:rPr>
        <w:t>Функції та механізми впливу опозиції у законотворчості можна розглядати у кількох аспектах:</w:t>
      </w:r>
    </w:p>
    <w:p w14:paraId="79FBB6D9" w14:textId="77777777" w:rsidR="00454146" w:rsidRPr="00A248F8" w:rsidRDefault="00454146" w:rsidP="00A248F8">
      <w:pPr>
        <w:spacing w:after="0" w:line="360" w:lineRule="auto"/>
        <w:ind w:firstLine="567"/>
        <w:jc w:val="both"/>
        <w:rPr>
          <w:rFonts w:ascii="Times New Roman" w:hAnsi="Times New Roman" w:cs="Times New Roman"/>
          <w:b/>
          <w:bCs/>
          <w:sz w:val="28"/>
          <w:szCs w:val="28"/>
        </w:rPr>
      </w:pPr>
      <w:r w:rsidRPr="00A248F8">
        <w:rPr>
          <w:rFonts w:ascii="Times New Roman" w:hAnsi="Times New Roman" w:cs="Times New Roman"/>
          <w:b/>
          <w:bCs/>
          <w:sz w:val="28"/>
          <w:szCs w:val="28"/>
        </w:rPr>
        <w:t>Критично-аналітична функція:</w:t>
      </w:r>
    </w:p>
    <w:p w14:paraId="225B21C3" w14:textId="3401178F"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Опозиційні сили виступають своєрідним «контрольним органом», детально аналізуючи законопроєкти, пропоновані урядом та пропрезидентською більшістю. Дослідження Інституту законодавства Верховної Ради України та інших аналітичних центрів, свідчать, що опозиційні депутати часто подають альтернативні експертні висновки, звертають увагу на конфлікти інтересів, невідповідність законодавчих пропозицій міжнародним стандартам чи Європейській конвенції з прав </w:t>
      </w:r>
      <w:r w:rsidRPr="00A248F8">
        <w:rPr>
          <w:rFonts w:ascii="Times New Roman" w:hAnsi="Times New Roman" w:cs="Times New Roman"/>
          <w:sz w:val="28"/>
          <w:szCs w:val="28"/>
        </w:rPr>
        <w:lastRenderedPageBreak/>
        <w:t>людини. Такий критичний аналіз створює стимули для урядової коаліції покращувати якість законодавства, враховувати зауваження та уникати надмірної концентрації влади.</w:t>
      </w:r>
    </w:p>
    <w:p w14:paraId="1D2AE798" w14:textId="77777777" w:rsidR="00454146" w:rsidRPr="00A248F8" w:rsidRDefault="00454146" w:rsidP="00A248F8">
      <w:pPr>
        <w:spacing w:after="0" w:line="360" w:lineRule="auto"/>
        <w:ind w:firstLine="567"/>
        <w:jc w:val="both"/>
        <w:rPr>
          <w:rFonts w:ascii="Times New Roman" w:hAnsi="Times New Roman" w:cs="Times New Roman"/>
          <w:b/>
          <w:bCs/>
          <w:sz w:val="28"/>
          <w:szCs w:val="28"/>
        </w:rPr>
      </w:pPr>
      <w:r w:rsidRPr="00A248F8">
        <w:rPr>
          <w:rFonts w:ascii="Times New Roman" w:hAnsi="Times New Roman" w:cs="Times New Roman"/>
          <w:b/>
          <w:bCs/>
          <w:sz w:val="28"/>
          <w:szCs w:val="28"/>
        </w:rPr>
        <w:t>Альтернативно-нормотворча функція:</w:t>
      </w:r>
    </w:p>
    <w:p w14:paraId="2AE206FD" w14:textId="76EB425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Внесення опозиційних законодавчих ініціатив, навіть якщо вони не знаходять підтримки більшості, сприяє формуванню суспільного дискурсу навколо важливих питань — від соціальної політики до антикорупційних заходів. Згідно з даними дослідницьких проектів, </w:t>
      </w:r>
      <w:r w:rsidR="005B2DB1" w:rsidRPr="00A248F8">
        <w:rPr>
          <w:rFonts w:ascii="Times New Roman" w:hAnsi="Times New Roman" w:cs="Times New Roman"/>
          <w:sz w:val="28"/>
          <w:szCs w:val="28"/>
          <w:lang w:val="uk-UA"/>
        </w:rPr>
        <w:t>проведенеми в Україні</w:t>
      </w:r>
      <w:r w:rsidRPr="00A248F8">
        <w:rPr>
          <w:rFonts w:ascii="Times New Roman" w:hAnsi="Times New Roman" w:cs="Times New Roman"/>
          <w:sz w:val="28"/>
          <w:szCs w:val="28"/>
        </w:rPr>
        <w:t>, тематика опозиційних законопроєктів часто відображає нагальні соціальні запити, пропонує альтернативні сценарії реформ, підсилюючи тим самим змістовну різноманітність політичного порядку денного.</w:t>
      </w:r>
    </w:p>
    <w:p w14:paraId="3C32DD85" w14:textId="77777777" w:rsidR="00454146" w:rsidRPr="00A248F8" w:rsidRDefault="00454146" w:rsidP="00A248F8">
      <w:pPr>
        <w:spacing w:after="0" w:line="360" w:lineRule="auto"/>
        <w:ind w:firstLine="567"/>
        <w:jc w:val="both"/>
        <w:rPr>
          <w:rFonts w:ascii="Times New Roman" w:hAnsi="Times New Roman" w:cs="Times New Roman"/>
          <w:b/>
          <w:bCs/>
          <w:sz w:val="28"/>
          <w:szCs w:val="28"/>
        </w:rPr>
      </w:pPr>
      <w:r w:rsidRPr="00A248F8">
        <w:rPr>
          <w:rFonts w:ascii="Times New Roman" w:hAnsi="Times New Roman" w:cs="Times New Roman"/>
          <w:b/>
          <w:bCs/>
          <w:sz w:val="28"/>
          <w:szCs w:val="28"/>
        </w:rPr>
        <w:t>Контрольна та наглядова функція:</w:t>
      </w:r>
    </w:p>
    <w:p w14:paraId="064B6E26" w14:textId="7D83B7C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Опозиція має можливість здійснювати парламентський контроль за діяльністю виконавчої влади, створювати тимчасові слідчі комісії, звертатися із депутатськими запитами, ініціювати слухання у комітетах. Наприклад, досвід країн Центрально-Східної Європи (Польщі, Чехії) демонструє, що ефективний парламентський контроль опозиції здатний стимулювати прозорість та підзвітність урядовців. Дослідники порівняльної політології (А. Лейпгарт, В. Шугарт) зазначають, що в умовах міцних інституційних гарантій опозиція стає важливим елементом системи стримувань і противаг, знижуючи ймовірність зловживання владою та корупційних практик.</w:t>
      </w:r>
    </w:p>
    <w:p w14:paraId="16CD5D9B" w14:textId="77777777" w:rsidR="00454146" w:rsidRPr="00A248F8" w:rsidRDefault="00454146" w:rsidP="00A248F8">
      <w:pPr>
        <w:spacing w:after="0" w:line="360" w:lineRule="auto"/>
        <w:ind w:firstLine="567"/>
        <w:jc w:val="both"/>
        <w:rPr>
          <w:rFonts w:ascii="Times New Roman" w:hAnsi="Times New Roman" w:cs="Times New Roman"/>
          <w:b/>
          <w:bCs/>
          <w:sz w:val="28"/>
          <w:szCs w:val="28"/>
        </w:rPr>
      </w:pPr>
      <w:r w:rsidRPr="00A248F8">
        <w:rPr>
          <w:rFonts w:ascii="Times New Roman" w:hAnsi="Times New Roman" w:cs="Times New Roman"/>
          <w:b/>
          <w:bCs/>
          <w:sz w:val="28"/>
          <w:szCs w:val="28"/>
        </w:rPr>
        <w:t>Комунікативна функція та взаємодія із суспільством:</w:t>
      </w:r>
    </w:p>
    <w:p w14:paraId="5F8CC6D1" w14:textId="7777777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Опозиція транслює альтернативні позиції до громадськості через медіа, публічні форуми, громадські слухання, соціальні мережі. Це формує електоральну базу та посилює суспільний контроль за діями влади. Дослідження аналітичних центрів свідчать, що якісна комунікація опозиційних сил зі суспільством стимулює підвищення політичної культури громадян, розвиває критичне мислення та сприяє більш відповідальному вибору під час голосування.</w:t>
      </w:r>
    </w:p>
    <w:p w14:paraId="5FD470C2" w14:textId="7774E1CB"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У парламентській практиці України опозиція формально має гарантовані права, такі як внесення законопроєктів, участь у комітетах, створення тимчасових слідчих комісій. Однак дослідження, проведені Центром політико-правових реформ, свідчать про низький відсоток прийняття опозиційних ініціатив — лише близько 15% з-понад 2000 поданих з 2019 по 2024 рік. Це свідчить про структурну нерівність впливу, недостатнє представництво опозиції у керівництві комітетів і нерівний доступ до аналітичних ресурсів. Маргіналізація опозиційних позицій послаблює плюралізм, перешкоджає повноцінній політичній конкуренції та погіршує якість законодавчого процесу.</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41</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 xml:space="preserve"> </w:t>
      </w:r>
    </w:p>
    <w:p w14:paraId="73F6B723" w14:textId="7777777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Під час порівняння з міжнародними практиками виявляється, що у державах із усталеною демократичною традицією (Велика Британія, Німеччина, Скандинавські країни) існують чіткі інституційні механізми та політичні звичаї, які гарантують опозиції не просто «формальні права», а реальні інструменти для впливу на законотворчість. Інститут «тіньового кабінету» у Великій Британії, пропорційний розподіл посад голів комітетів між владою та опозицією у деяких парламентських системах, а також забезпечення експертної та фінансової підтримки опозиційним фракціям сприяє ефективнішій конкуренції ідей.</w:t>
      </w:r>
    </w:p>
    <w:p w14:paraId="151BB1EE" w14:textId="0C10C343"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Для підвищення ролі опозиції у законодавчому процесі в Україні необхідні комплексні зміни:</w:t>
      </w:r>
    </w:p>
    <w:p w14:paraId="6285B87F" w14:textId="7777777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Реформування парламентських регламентних норм з метою справедливішого розподілу керівних посад у комітетах та доступу опозиції до аналітичної інформації.</w:t>
      </w:r>
    </w:p>
    <w:p w14:paraId="3F03D374" w14:textId="7777777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Інституціоналізація механізмів захисту прав опозиції у правовому полі, унеможливлення їхнього звуження внаслідок політичної кон’юнктури.</w:t>
      </w:r>
    </w:p>
    <w:p w14:paraId="10D3D186" w14:textId="7777777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Підвищення рівня політичної культури, формування звичаю поваги до опозиції як до легітимного учасника політичного процесу, а не як до ворожої сили.</w:t>
      </w:r>
    </w:p>
    <w:p w14:paraId="2919C6FD" w14:textId="77777777" w:rsidR="00454146" w:rsidRPr="00A248F8" w:rsidRDefault="00454146"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Активізація громадянського суспільства та незалежних медіа, які можуть слугувати інструментом тиску на владу з метою створення більш сприятливих умов для опозиційної діяльності у парламенті.</w:t>
      </w:r>
    </w:p>
    <w:p w14:paraId="0F8F914E" w14:textId="67546492" w:rsidR="007A11B8" w:rsidRPr="00A248F8" w:rsidRDefault="00BD0C6D"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lang w:val="uk-UA"/>
        </w:rPr>
        <w:t>Існує</w:t>
      </w:r>
      <w:r w:rsidR="00454146" w:rsidRPr="00A248F8">
        <w:rPr>
          <w:rFonts w:ascii="Times New Roman" w:hAnsi="Times New Roman" w:cs="Times New Roman"/>
          <w:sz w:val="28"/>
          <w:szCs w:val="28"/>
        </w:rPr>
        <w:t xml:space="preserve"> думк</w:t>
      </w:r>
      <w:r w:rsidRPr="00A248F8">
        <w:rPr>
          <w:rFonts w:ascii="Times New Roman" w:hAnsi="Times New Roman" w:cs="Times New Roman"/>
          <w:sz w:val="28"/>
          <w:szCs w:val="28"/>
          <w:lang w:val="uk-UA"/>
        </w:rPr>
        <w:t>а</w:t>
      </w:r>
      <w:r w:rsidR="00454146" w:rsidRPr="00A248F8">
        <w:rPr>
          <w:rFonts w:ascii="Times New Roman" w:hAnsi="Times New Roman" w:cs="Times New Roman"/>
          <w:sz w:val="28"/>
          <w:szCs w:val="28"/>
        </w:rPr>
        <w:t>,</w:t>
      </w:r>
      <w:r w:rsidRPr="00A248F8">
        <w:rPr>
          <w:rFonts w:ascii="Times New Roman" w:hAnsi="Times New Roman" w:cs="Times New Roman"/>
          <w:sz w:val="28"/>
          <w:szCs w:val="28"/>
          <w:lang w:val="uk-UA"/>
        </w:rPr>
        <w:t xml:space="preserve"> що</w:t>
      </w:r>
      <w:r w:rsidR="00454146" w:rsidRPr="00A248F8">
        <w:rPr>
          <w:rFonts w:ascii="Times New Roman" w:hAnsi="Times New Roman" w:cs="Times New Roman"/>
          <w:sz w:val="28"/>
          <w:szCs w:val="28"/>
        </w:rPr>
        <w:t xml:space="preserve"> без збалансованої взаємодії всіх політичних </w:t>
      </w:r>
      <w:r w:rsidRPr="00A248F8">
        <w:rPr>
          <w:rFonts w:ascii="Times New Roman" w:hAnsi="Times New Roman" w:cs="Times New Roman"/>
          <w:sz w:val="28"/>
          <w:szCs w:val="28"/>
          <w:lang w:val="uk-UA"/>
        </w:rPr>
        <w:t>ф</w:t>
      </w:r>
      <w:r w:rsidR="00454146" w:rsidRPr="00A248F8">
        <w:rPr>
          <w:rFonts w:ascii="Times New Roman" w:hAnsi="Times New Roman" w:cs="Times New Roman"/>
          <w:sz w:val="28"/>
          <w:szCs w:val="28"/>
        </w:rPr>
        <w:t>акторів — влади, опозиції, громадянського суспільства, медіа — побудова ефективної та стійкої демократичної системи залишатиметься під питанням. Повноцінна роль опозиції у законодавчому процесі є ключем до зміцнення демократії, створення дієвого політичного діалогу та підвищення легітимності державної влади. В умовах перехідних демократій, до яких належить Україна, консолідація опозиційних прав і можливостей може стати важливим чинником стабілізації політичної системи, підвищення якості законодавства та формування більш збалансованої політичної культури.</w:t>
      </w:r>
    </w:p>
    <w:p w14:paraId="752A87B9" w14:textId="3A2A0A4F" w:rsidR="007E4C69" w:rsidRPr="00A248F8"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Взаємодія опозиції та громадянського суспільства в сучасній Україні є багатовимірним процесом, який суттєво впливає на якість демократичного врядування, рівень політичної культури та ступінь інституційної сталості політичної системи. Ця взаємодія не обмежується формальними контактами між окремими опозиційними політиками та лідерами громадських організацій. Вона виявляється у розбудові мережі постійного діалогу, у спільному формуванні суспільного порядку денного, у прагненні до впровадження реформ, заснованих на принципах транспарентності, підзвітності та правовладдя.</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11</w:t>
      </w:r>
      <w:r w:rsidR="009436A1" w:rsidRPr="00F22443">
        <w:rPr>
          <w:rFonts w:ascii="Times New Roman" w:hAnsi="Times New Roman" w:cs="Times New Roman"/>
          <w:sz w:val="28"/>
          <w:szCs w:val="28"/>
          <w:lang w:val="uk-UA"/>
        </w:rPr>
        <w:t>]</w:t>
      </w:r>
    </w:p>
    <w:p w14:paraId="1FB4F5C1" w14:textId="3A5D047C" w:rsidR="007E4C69" w:rsidRPr="00A248F8"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Після Революції Гідності роль громадянського суспільства в Україні значно посилилася. Дослідники вказують на те, що саме громадські ініціативи, волонтерські рухи та професійні асоціації стали ключовими каталізаторами реформ, створюючи своєрідний «зовнішній тиск» на інститути влади. Цей тиск забезпечує не лише корекцію політичних курсів, а й уможливлює структурні зміни в самій логіці політичного процесу (Оніщенко, 2020). У такому контексті опозиція здатна черпати ресурси легітимності, аргументацію та експертну базу для критики влади без скочування в популізм чи демагогію. Аналітики неодноразово наголошували, що опозиція, яка зважує власні </w:t>
      </w:r>
      <w:r w:rsidRPr="00A248F8">
        <w:rPr>
          <w:rFonts w:ascii="Times New Roman" w:hAnsi="Times New Roman" w:cs="Times New Roman"/>
          <w:sz w:val="28"/>
          <w:szCs w:val="28"/>
        </w:rPr>
        <w:lastRenderedPageBreak/>
        <w:t>політичні програми крізь призму суспільного запиту та рекомендацій громадських експертів, має більше шансів на довготривале зміцнення свого електорального фундаменту.</w:t>
      </w:r>
    </w:p>
    <w:p w14:paraId="745ADE47" w14:textId="0157D882" w:rsidR="007E4C69" w:rsidRPr="00A248F8"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Втім, слід підкреслити, що така взаємодія не є автоматичною або гарантованою. Громадянське суспільство в Україні залишається неоднорідним, неоднаково професіоналізованим, з різним ступенем залежності від зовнішнього фінансування чи політичних патронів (Таран, 2019). Деякі організації, орієнтовані на короткострокові проекти, можуть виконувати радше роль субконтракторів для донорських структур, аніж виступати незалежними виробниками суспільного блага. У такому випадку опозиції важко інтегрувати їхні напрацювання у власну стратегічну лінію без ризику втрати довіри більш зрілих та авторитетних сегментів громадянського сектора. Відсутність сталої координації між різними «полянами» громадянського суспільства (правозахисниками, аналітичними центрами, профспілками, антикорупційними ініціативами) ускладнює формування узгоджених пакетів реформ, які опозиція могла б консолідовано підтримувати.</w:t>
      </w:r>
    </w:p>
    <w:p w14:paraId="05E3A84A" w14:textId="3EC0EB67" w:rsidR="007E4C69" w:rsidRPr="00A248F8"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Окрім того, на взаємодію опозиції та громадянського суспільства впливають культурно-історичні та політико-психологічні чинники. Традиційний недолік довіри між політичними акторами та громадськими організаціями, породжений радянською спадщиною недемократичного врядування, поступово долається, проте все ще відчутний. Високий рівень поляризації українського суспільства, зокрема в умовах російської агресії, накладає додаткові обмеження на можливості опозиції залучати громадські організації, які орієнтовані на суто експертну роботу, і навпаки. Військові дії на Сході та Півдні країни, економічні труднощі, а також виклики євроінтеграції і необхідність впровадження складних, а часом непопулярних реформ створюють умови для епізодичних конфліктів інтересів: громадянське суспільство може вимагати рішучіших кроків у сфері антикорупційної політики чи реформування судової системи, тоді як опозиція прагнутиме </w:t>
      </w:r>
      <w:r w:rsidRPr="00A248F8">
        <w:rPr>
          <w:rFonts w:ascii="Times New Roman" w:hAnsi="Times New Roman" w:cs="Times New Roman"/>
          <w:sz w:val="28"/>
          <w:szCs w:val="28"/>
        </w:rPr>
        <w:lastRenderedPageBreak/>
        <w:t>використати ці вимоги для посилення тиску на владу, але без готовності брати на себе відповідальність за втілення складних системних змін.</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36</w:t>
      </w:r>
      <w:r w:rsidR="009436A1" w:rsidRPr="00F22443">
        <w:rPr>
          <w:rFonts w:ascii="Times New Roman" w:hAnsi="Times New Roman" w:cs="Times New Roman"/>
          <w:sz w:val="28"/>
          <w:szCs w:val="28"/>
          <w:lang w:val="uk-UA"/>
        </w:rPr>
        <w:t>]</w:t>
      </w:r>
    </w:p>
    <w:p w14:paraId="02B6254D" w14:textId="44BDE211" w:rsidR="007E4C69" w:rsidRPr="00A248F8"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Тим не менше, попри всі суперечності, дослідження, проведені Міжнародним центром перспективних досліджень (МЦПД) та іншими аналітичними установами, свідчать про поступове зближення позицій опозиції та громадянського суспільства в аспекті стратегічних цілей: утвердження верховенства права, підвищення ролі парламентського контролю, здійснення децентралізації, зміцнення незалежності судової та правоохоронної системи. Опозиція, яка здатна ефективно комунікувати з громадськими активістами, брати участь у публічних дискусіях, експертних платформах та тематичних коаліціях, отримує переваги у формуванні позитивного іміджу як конструктивної альтернативи владі.</w:t>
      </w:r>
    </w:p>
    <w:p w14:paraId="3FCA34E9" w14:textId="58A81F19" w:rsidR="007E4C69" w:rsidRPr="00A248F8"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Усвідомлення важливості такої взаємодії призвело до появи нових форм комунікації: регулярних публічних консультацій, відкритих слухань, робочих груп із фахівцями громадського сектора, спільних ініціатив із підготовки законопроєктів. Зокрема, в окремих випадках опозиційні депутати запрошують громадських експертів до обговорення ініціатив ще на етапі їх розробки, тим самим інтегруючи критичний зворотний зв’язок до офіційного порядку денного. Такі практики, хоча й не є поки що повсюдними, закладають основу для інституціоналізації співпраці між опозицією та громадянським суспільством.</w:t>
      </w:r>
    </w:p>
    <w:p w14:paraId="53F1D397" w14:textId="1E3961DF" w:rsidR="007E4C69" w:rsidRDefault="007E4C69"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Зрештою, ефективне партнерство між опозицією та громадянським суспільством може стати чинником прискорення демократичної консолідації України. Адже за умови зміцнення ролі громадських організацій як джерела експертизи та «вартового» суспільних інтересів, опозиція має більше стимулів і ресурсів для розбудови системної критики влади, пропонування альтернативних програм та здійснення тиску в бік більш прозорого й підзвітного врядування. Цей процес, попри всі його складнощі, є маркером руху України до більш відкритої, стійкої та відповідальної демократії, у якій </w:t>
      </w:r>
      <w:r w:rsidRPr="00A248F8">
        <w:rPr>
          <w:rFonts w:ascii="Times New Roman" w:hAnsi="Times New Roman" w:cs="Times New Roman"/>
          <w:sz w:val="28"/>
          <w:szCs w:val="28"/>
        </w:rPr>
        <w:lastRenderedPageBreak/>
        <w:t>державна політика формується в діалозі між владою, опозицією та інституційно зрілим громадянським суспільством.</w:t>
      </w:r>
    </w:p>
    <w:p w14:paraId="1A6C5FB0" w14:textId="77777777" w:rsidR="004F507F" w:rsidRPr="00A248F8" w:rsidRDefault="004F507F" w:rsidP="00A248F8">
      <w:pPr>
        <w:spacing w:after="0" w:line="360" w:lineRule="auto"/>
        <w:ind w:firstLine="567"/>
        <w:jc w:val="both"/>
        <w:rPr>
          <w:rFonts w:ascii="Times New Roman" w:hAnsi="Times New Roman" w:cs="Times New Roman"/>
          <w:sz w:val="28"/>
          <w:szCs w:val="28"/>
        </w:rPr>
      </w:pPr>
    </w:p>
    <w:p w14:paraId="6596D2B2" w14:textId="3EF52980" w:rsidR="00C8555D" w:rsidRDefault="001146FC" w:rsidP="00EC7D6C">
      <w:pPr>
        <w:spacing w:after="0" w:line="360" w:lineRule="auto"/>
        <w:ind w:firstLine="567"/>
        <w:jc w:val="center"/>
        <w:rPr>
          <w:rFonts w:ascii="Times New Roman" w:hAnsi="Times New Roman" w:cs="Times New Roman"/>
          <w:b/>
          <w:bCs/>
          <w:sz w:val="28"/>
          <w:szCs w:val="28"/>
        </w:rPr>
      </w:pPr>
      <w:r w:rsidRPr="00A248F8">
        <w:rPr>
          <w:rFonts w:ascii="Times New Roman" w:hAnsi="Times New Roman" w:cs="Times New Roman"/>
          <w:b/>
          <w:bCs/>
          <w:sz w:val="28"/>
          <w:szCs w:val="28"/>
        </w:rPr>
        <w:t>3.3. Шляхи інституційного зміцнення, посилення стримувань і противаг</w:t>
      </w:r>
    </w:p>
    <w:p w14:paraId="5E45ED43" w14:textId="77777777" w:rsidR="00EC7D6C" w:rsidRPr="00A248F8" w:rsidRDefault="00EC7D6C" w:rsidP="00EC7D6C">
      <w:pPr>
        <w:spacing w:after="0" w:line="360" w:lineRule="auto"/>
        <w:ind w:firstLine="567"/>
        <w:jc w:val="center"/>
        <w:rPr>
          <w:rFonts w:ascii="Times New Roman" w:hAnsi="Times New Roman" w:cs="Times New Roman"/>
          <w:b/>
          <w:bCs/>
          <w:sz w:val="28"/>
          <w:szCs w:val="28"/>
          <w:lang w:val="uk-UA"/>
        </w:rPr>
      </w:pPr>
    </w:p>
    <w:p w14:paraId="77159527" w14:textId="6E5E2266"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Сучасна опозиційна діяльність функціонує у складному просторі перетину суспільних очікувань, історичної пам’яті, політичної культури та динамічних процесів комунікації через медіа й соціальні мережі. Аналіз опозиції як політичного феномену вимагає врахування не лише формальних інституційних чинників, а й багатовимірного соціокультурного контексту. У демократичних суспільствах, які прагнуть до зрілості політичних інститутів, опозиція є органічною частиною системи врядування, виконує функції стримування влади й забезпечує альтернативність поглядів. Проте реальний статус опозиційних сил, рівень їх підтримки та розуміння їхньої ролі багато в чому залежать від того, як суспільство інтерпретує діяльність опозиції, які цінності вважає фундаментальними та яким є інформаційний клімат, у якому триває політичний дискурс.</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45</w:t>
      </w:r>
      <w:r w:rsidR="009436A1" w:rsidRPr="00F22443">
        <w:rPr>
          <w:rFonts w:ascii="Times New Roman" w:hAnsi="Times New Roman" w:cs="Times New Roman"/>
          <w:sz w:val="28"/>
          <w:szCs w:val="28"/>
          <w:lang w:val="uk-UA"/>
        </w:rPr>
        <w:t>]</w:t>
      </w:r>
    </w:p>
    <w:p w14:paraId="57F657AC" w14:textId="058AAC4F"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Дослідження громадської думки, проведені різними соціологічними службами, а також міжнародними інституціями (Gallup, Pew Research Center), дозволяють виявляти фактори, що впливають на довіру чи недовіру до опозиційних сил. У той час як політична культура, історична пам’ять і колективні ідентичності формують глибинне підґрунтя ставлення до опозиції, медіа та соціальні мережі здатні його трансформувати чи навіть радикально переробляти в режимі реального часу. Відкриті джерела – від аналітичних звітів Freedom House та Transparency International до досліджень World Values Survey і European Values Study – пропонують широкий спектр емпіричних матеріалів, за допомогою яких можна простежити, як емоції, цінності, інтерпретації минулого та вплив інформаційного середовища моделюють образ опозиції. Ця проблематика стає особливо актуальною для </w:t>
      </w:r>
      <w:r w:rsidRPr="00A248F8">
        <w:rPr>
          <w:rFonts w:ascii="Times New Roman" w:hAnsi="Times New Roman" w:cs="Times New Roman"/>
          <w:sz w:val="28"/>
          <w:szCs w:val="28"/>
        </w:rPr>
        <w:lastRenderedPageBreak/>
        <w:t>пострадянських країн, включно з Україною, де процес інституціоналізації демократії триває, а суспільство одночасно переживає історичні злами та складні безпекові виклики.</w:t>
      </w:r>
    </w:p>
    <w:p w14:paraId="32FED8A1" w14:textId="0C0AB95B"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Громадська думка щодо опозиції визначається багатьма змінними, які лежать як у політичній площині – ефективність опозиційних лідерів, розробленість їхніх програм, здатність до конструктивної критики, – так і в соціальній, економічній та культурній сферах. Відкриті соціологічні дані свідчать, що довіра до опозиції підвищується, коли вона пропонує чітко сформульовані альтернативні політичні курси, оперті на експертні оцінки та емпіричні дані. Так, різні аналітичні центри й дослідницькі проєкти показують, що громадяни схильні підтримувати опозиційні сили, які уникають популізму, пропонують раціональні рішення складних проблем і наполягають на прозорості, підзвітності та боротьбі з корупцією. Натомість, якщо в опозиції виявляються корупційні практики, неетичне фінансування чи відсутність ясних програмних орієнтирів, довіра стрімко падає. У медіапросторі, який дедалі частіше стає полем конкуруючих наративів, відкриті розслідування журналістів та громадських ініціатив, таких як Bellingcat, OCCRP чи рухи з моніторингу партійних фінансів, можуть оперативно виявляти факти непрозорості та зловживань. Це, у свою чергу, знижує легітимність опозиції в очах виборців.</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52</w:t>
      </w:r>
      <w:r w:rsidR="009436A1" w:rsidRPr="00F22443">
        <w:rPr>
          <w:rFonts w:ascii="Times New Roman" w:hAnsi="Times New Roman" w:cs="Times New Roman"/>
          <w:sz w:val="28"/>
          <w:szCs w:val="28"/>
          <w:lang w:val="uk-UA"/>
        </w:rPr>
        <w:t>]</w:t>
      </w:r>
    </w:p>
    <w:p w14:paraId="497F115B" w14:textId="5380C19C"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Систематичність, послідовність і принциповість опозиції у захисті громадських інтересів, свобод слова та права на правдиву інформацію відіграють не меншу роль, ніж персональний авторитет лідерів. Коли певні опозиційні політики демонструють здатність довго й принципово відстоювати демократичні цінності, вони стають точками кристалізації довіри. Звіти аналітичних центрів, які регулярно досліджують політичний процес в Україні та інших країнах перехідної демократії, підтверджують, що суспільство позитивно реагує на політиків, які не змінюють свою позицію залежно від політичної кон’юнктури та не користуються подвійними стандартами у критичних ситуаціях. Навпаки, використання пустої риторики, відсутність </w:t>
      </w:r>
      <w:r w:rsidRPr="00A248F8">
        <w:rPr>
          <w:rFonts w:ascii="Times New Roman" w:hAnsi="Times New Roman" w:cs="Times New Roman"/>
          <w:sz w:val="28"/>
          <w:szCs w:val="28"/>
        </w:rPr>
        <w:lastRenderedPageBreak/>
        <w:t>належної комунікації з різними соціальними групами – молоддю, пенсіонерами, національними меншинами, професійними спільнотами – призводить до фрагментації підтримки та невизнання опозиції як репрезентанта ширших суспільних інтересів.</w:t>
      </w:r>
    </w:p>
    <w:p w14:paraId="14D5763F" w14:textId="122FEC16"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Соціологічні дослідження також свідчать, що ступінь підтримки опозиції тісно пов’язаний із загальним рівнем довіри до політичних інститутів, задоволенням соціально-економічною ситуацією та оцінкою громадянами легітимності чинної влади. Якщо влада сприймається як неефективна чи корумпована, це відкриває додаткові можливості для опозиції здобути прихильність виборців за рахунок критики і пропонування альтернатив. Проте такі можливості ніколи не реалізуються автоматично: громадська думка очікує від опозиційних сил відповідальності та здатності запропонувати аргументовану політику, а не лише гучні заяви.</w:t>
      </w:r>
    </w:p>
    <w:p w14:paraId="6A62F2BC" w14:textId="5597D25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Глибинні чинники, які формують ставлення суспільства до опозиції, неможливо зрозуміти без аналізу політичної культури, історичної пам’яті та колективної ідентичності. Політична культура – це сукупність цінностей, норм, переконань і поведінкових моделей, притаманних даному суспільству. Усталені демократії, які мають тривалу традицію політичного плюралізму, зазвичай розглядають опозицію як природну складову політичної системи, що гарантує безперервний діалог між владою і суспільством. Звіти Freedom House, Bertelsmann Transformation Index та інших міжнародних організацій ілюструють, що в країнах із розвиненою політичною культурою опозиція сприймається не як загроза, а як гарант свободи обміну ідей. Натомість у державах з авторитарним чи посттоталітарним минулим, де політична культура має елементи недовіри, страху або історичних травм, опозиція може розглядатися крізь призму ворожості та підозри.</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54</w:t>
      </w:r>
      <w:r w:rsidR="009436A1" w:rsidRPr="00F22443">
        <w:rPr>
          <w:rFonts w:ascii="Times New Roman" w:hAnsi="Times New Roman" w:cs="Times New Roman"/>
          <w:sz w:val="28"/>
          <w:szCs w:val="28"/>
          <w:lang w:val="uk-UA"/>
        </w:rPr>
        <w:t>]</w:t>
      </w:r>
    </w:p>
    <w:p w14:paraId="331D360B" w14:textId="71A72D46"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Історична пам’ять, що відображає колективний досвід попередніх поколінь, чинить істотний вплив на ставлення до опозиційних рухів. У суспільствах, які пройшли через хвилі репресій, геноцидів, політичних переслідувань, опозиція може набути символічного статусу: вона асоціюється </w:t>
      </w:r>
      <w:r w:rsidRPr="00A248F8">
        <w:rPr>
          <w:rFonts w:ascii="Times New Roman" w:hAnsi="Times New Roman" w:cs="Times New Roman"/>
          <w:sz w:val="28"/>
          <w:szCs w:val="28"/>
        </w:rPr>
        <w:lastRenderedPageBreak/>
        <w:t>з боротьбою за свободу, правами людини, демократичними перетвореннями. У цьому разі наявність опозиції є не лише політичним фактом, а й ціннісним знаком: її активність може вважатися відлунням історичних змагань за незалежність чи правову державність. З іншого боку, якщо історична пам’ять пов’язує опозицію з періодами хаосу, зовнішнього втручання або внутрішньої нестабільності, ці негативні асоціації можуть надовго закріпитися в масовій свідомості та знижувати рівень довіри.</w:t>
      </w:r>
    </w:p>
    <w:p w14:paraId="0FA31440" w14:textId="2C025C99"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Колективні ідентичності, які в Україні та інших багатоетнічних, різнорелігійних чи регіонально розмежованих суспільствах є багаторівневими, також впливають на опозиційні настрої. Якщо опозиційна сила спроможна переконливо апелювати до цінностей певної групи, пов’язувати свої пропозиції з історичними чи культурними символами, близькими цій групі, вона має шанс на посилення підтримки. Відкриті джерела – етносоціологічні дослідження, регіональні опитування, культурні проєкти – свідчать, що деякі опозиційні партії або рухи набувають більшої популярності в конкретних регіонах чи серед певних субкультур, якщо їхні політичні меседжі відповідають груповим ціннісним пріоритетам, історичним наративам та образам національних героїв. У такому разі опозиція може діяти як важливий агент конструювання та трансформації ідентичності. Якщо ж опозиційні сили ігнорують цю складову або сприймаються як чужорідний, зовнішній елемент, що не відповідає цінностям спільнот, вони залишаються периферійними акторами політичного процесу.</w:t>
      </w:r>
    </w:p>
    <w:p w14:paraId="3443193E" w14:textId="53531128"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Сучасне інформаційне середовище є потужним чинником формування образу опозиції. Традиційні медіа (телебачення, радіо, друковані ЗМІ), онлайн-видання, соціальні мережі (Facebook, Twitter, Instagram, YouTube, TikTok) та спеціалізовані платформи для фактчекінгу й журналістики даних (StopFake, FactCheck.org) створюють складну екосистему, в якій опозиція постає перед суспільством. Аналіз відкритих джерел свідчить, що інформаційні канали та їхні пріоритети визначають інтерпретаційні рамки, крізь які громадяни оцінюють пропозиції, заяви та діяльність опозиційних сил.</w:t>
      </w:r>
    </w:p>
    <w:p w14:paraId="74D53420" w14:textId="6F1D5502"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У медійному просторі опозиція може посилити свій вплив, якщо буде представлена як джерело аргументованих ідей, експертної думки та відповідального лідерства. Традиційні журналістські розслідування, підтримані незалежними фактчекерами, створюють умови для формування об’єктивного образу опозиціонерів, а прозоре інформування про фінансування, партійні бюджети та персональну біографію лідерів мінімізує ризик негативних спекуляцій. Якщо ЗМІ дотримуються професійних стандартів, підкріплюють свої матеріали верифікованими даними з офіційних статистик, аналітичних інституцій та міжнародних моніторингових структур, аудиторія отримує підстави для формування більш усвідомленого ставлення до опозиції.</w:t>
      </w:r>
    </w:p>
    <w:p w14:paraId="03DFA625" w14:textId="75219D01"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Натомість, у разі низьких стандартів журналістики та поширення дезінформації, опозиція може ставати мішенню пропагандистських атак. Використання історичних травм, етнічних стереотипів чи конфесійних конфліктів дозволяє медіа-маніпуляторам змінити контекст та зобразити опозицію як деструктивну силу, що загрожує національній ідентичності чи стабільності держави. Різноманітні дослідницькі ініціативи (Atlantic Council, Digital Forensic Research Lab, EUvsDisinfo) фіксують численні приклади інформаційних операцій, спрямованих на підрив довіри до альтернативних політичних голосів. У таких умовах суспільство змушене орієнтуватися в складному просторі конкуруючих наративів, для чого необхідні розвинені навички медіаграмотності, критичного мислення та доступ до відкритих джерел верифікованої інформації.</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51</w:t>
      </w:r>
      <w:r w:rsidR="009436A1" w:rsidRPr="00F22443">
        <w:rPr>
          <w:rFonts w:ascii="Times New Roman" w:hAnsi="Times New Roman" w:cs="Times New Roman"/>
          <w:sz w:val="28"/>
          <w:szCs w:val="28"/>
          <w:lang w:val="uk-UA"/>
        </w:rPr>
        <w:t>]</w:t>
      </w:r>
    </w:p>
    <w:p w14:paraId="291A7A50" w14:textId="436751C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Соціальні мережі трансформують взаємодію опозиції з суспільством, надаючи опозиційним політикам інструменти прямої комунікації без посередництва традиційних медіа. Це спрощує процес мобілізації прихильників, дозволяє створювати нішеві аудиторії, реагувати на критику та резонансні події майже миттєво. Втім, відкритість соціальних медіа сприяє і поширенню фейків, ботоферм, маніпулятивних кампаній, метою яких є дискредитація опозиції. Тому ефективність використання соціальних мереж </w:t>
      </w:r>
      <w:r w:rsidRPr="00A248F8">
        <w:rPr>
          <w:rFonts w:ascii="Times New Roman" w:hAnsi="Times New Roman" w:cs="Times New Roman"/>
          <w:sz w:val="28"/>
          <w:szCs w:val="28"/>
        </w:rPr>
        <w:lastRenderedPageBreak/>
        <w:t>залежить від здатності опозиційних сил інвестувати в експертний супровід, аналіз даних, контент-стратегії, засновані на реальних фактах, а також залучати громадські ініціативи для фактчекінгу та інформаційної гігієни.</w:t>
      </w:r>
    </w:p>
    <w:p w14:paraId="757F9504" w14:textId="11108FBF"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Зрештою, медіа, соціальні мережі та культурні чинники взаємодіють між собою, створюючи складну систему, у якій опозиція постає не просто як набір програмних положень чи конкретних політиків, а як частина ширшого суспільного дискурсу, вкоріненого в історичному досвіді, цінностях, пам’яті й ідентичності. Від вмілості опозиційних сил працювати у цій системі, адаптувати свою комунікацію до різних сегментів суспільства, враховувати вплив минулого та динаміку масової свідомості залежить те, чи стануть вони легітимними й поважаними учасниками політичного процесу, здатними спонукати владу до діалогу та реформ.</w:t>
      </w:r>
    </w:p>
    <w:p w14:paraId="5B236934" w14:textId="6A41F9BC" w:rsidR="007E4C69"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Таким чином, соціологічний та культурний вимір опозиційної діяльності не можна звести до окремих статистичних показників чи монокausalних пояснень. Це складне переплетіння соціальної довіри, історичних наративів, культурних кодів та інформаційних потоків, у якому опозиція мусить знайти свій голос, налаштувати стратегії спілкування з громадськістю й переконати суспільство у своїй ролі як конструктивної, відповідальної та невід’ємної складової демократичного розвитку.</w:t>
      </w:r>
    </w:p>
    <w:p w14:paraId="2F2757FD" w14:textId="77777777" w:rsidR="009F7C91" w:rsidRPr="00A248F8" w:rsidRDefault="009F7C91" w:rsidP="00A248F8">
      <w:pPr>
        <w:spacing w:after="0" w:line="360" w:lineRule="auto"/>
        <w:ind w:firstLine="567"/>
        <w:jc w:val="both"/>
        <w:rPr>
          <w:rFonts w:ascii="Times New Roman" w:hAnsi="Times New Roman" w:cs="Times New Roman"/>
          <w:sz w:val="28"/>
          <w:szCs w:val="28"/>
        </w:rPr>
      </w:pPr>
      <w:bookmarkStart w:id="2" w:name="_Hlk184662623"/>
      <w:r w:rsidRPr="00A248F8">
        <w:rPr>
          <w:rFonts w:ascii="Times New Roman" w:hAnsi="Times New Roman" w:cs="Times New Roman"/>
          <w:sz w:val="28"/>
          <w:szCs w:val="28"/>
        </w:rPr>
        <w:t>Інституційні перетворення є фундаментом для створення середовища, в якому опозиція може ефективно реалізовувати свої функції. Парламент, як центральний орган представницької демократії, має стати ареною конструктивного діалогу між більшістю та опозицією, забезпечити прозору конкуренцію політичних ідей та програм. В умовах постконфліктної відбудови України особливо важливо закріпити на законодавчому рівні механізми, які захищатимуть опозиційні сили від політичного тиску, а також гарантуватимуть їм доступ до формування порядку денного. Таким чином, належне інституційне оформлення ролі опозиції сприятиме розбудові зрілої, стабільної та відповідальної демократії.</w:t>
      </w:r>
    </w:p>
    <w:p w14:paraId="136746ED"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Одним із ключових напрямів інституціоналізації є чітке закріплення правового статусу опозиції у парламентських регламентах. Цей статус має містити положення про офіційне визнання опозиції як окремого суб’єкта в законодавчому органі, визначати її можливості впливу на формування порядку денного пленарних засідань та роботу профільних комітетів. Передбачення процедур для створення тіньового кабінету дозволить опозиції пропонувати альтернативні політики та формувати суспільну дискусію навколо них. Тіньові міністри матимуть можливість презентувати альтернативні плани дій у відповідних галузях, систематично критикувати діяльність уряду та пропонувати власні законодавчі ініціативи.</w:t>
      </w:r>
    </w:p>
    <w:p w14:paraId="7C18A68B" w14:textId="27344C62"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Наступним кроком є інституціоналізація консультаційних механізмів. Створення постійних консультативних рад із залученням представників опозиції, громадських організацій та незалежних експертів слугуватиме додатковим майданчиком для формування балансу інтересів і конструктивного пошуку компромісів. Такі органи мають бути захищені від зовнішнього тиску й підпорядковані верховенству права. Залучення міжнародних експертів, представників академічної спільноти та фахових аналітичних центрів (think tanks) дозволить покращити якість законопроєктної роботи та політичної дискусії, закріплюючи сталі демократичні практики.</w:t>
      </w:r>
      <w:r w:rsidR="009436A1" w:rsidRPr="009436A1">
        <w:rPr>
          <w:rFonts w:ascii="Times New Roman" w:hAnsi="Times New Roman" w:cs="Times New Roman"/>
          <w:sz w:val="28"/>
          <w:szCs w:val="28"/>
          <w:lang w:val="uk-UA"/>
        </w:rPr>
        <w:t xml:space="preserve"> </w:t>
      </w:r>
    </w:p>
    <w:p w14:paraId="58BA2864"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Важливим чинником інституційних змін є також посилення парламентського контролю за виконавчою владою. Для цього необхідно запровадити вдосконалені процедури парламентських розслідувань, регулярні звіти урядовців, чіткі процедури для розгляду ініціатив опозиційних депутатів та відкриті слухання з важливих суспільних питань. Посилення ролі парламентської опозиції в процесі призначення керівників ключових наглядових та контрольно-ревізійних органів може забезпечити додаткові запобіжники проти зловживань владою. Також доцільно надати опозиції можливість ініціювати механізми вотуму недовіри окремим урядовцям, за умови прозорої процедури та чітких критеріїв.</w:t>
      </w:r>
    </w:p>
    <w:p w14:paraId="78AC74F1" w14:textId="1FC30D6C"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Крім того, слід розглянути питання зміцнення правового статусу парламентських комітетів. Надання опозиції права головувати в деяких комітетах, особливо тих, що відповідають за бюджетний контроль, протидію корупції чи діяльність правоохоронних органів, стане запорукою збалансованого нагляду за владою. Такий підхід продемонструє повагу до принципу стримувань і противаг, водночас підвищуючи довіру громадян до парламенту та його спроможності реагувати на суспільні виклики.</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46</w:t>
      </w:r>
      <w:r w:rsidR="009436A1" w:rsidRPr="00F22443">
        <w:rPr>
          <w:rFonts w:ascii="Times New Roman" w:hAnsi="Times New Roman" w:cs="Times New Roman"/>
          <w:sz w:val="28"/>
          <w:szCs w:val="28"/>
          <w:lang w:val="uk-UA"/>
        </w:rPr>
        <w:t>]</w:t>
      </w:r>
    </w:p>
    <w:p w14:paraId="0B0F41FB"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Не менш суттєвою є проблема забезпечення ефективного доступу опозиції до державної інформації. Створення зрозумілих та відкритих процедур доступу до офіційних документів, а також механізмів оскарження у разі відмови дозволить опозиціонерам краще готувати аналітичні матеріали, розкривати можливі зловживання і підкріплювати свої позиції перевіреними фактами. Це має бути закріплено у відповідних законодавчих актах, а контроль за реалізацією цих процедур варто делегувати незалежним інституціям, наприклад, інформаційним уповноваженим.</w:t>
      </w:r>
    </w:p>
    <w:p w14:paraId="6732A7D2" w14:textId="01B00478"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Підсумовуючи, інституціональні зміни, що включають закріплення офіційного статусу опозиції, вдосконалення парламентських процедур, посилення контрольних функцій, створення консультаційних майданчиків, а також гарантування доступу до інформації, стануть основою для підвищення ролі парламенту у формуванні державної політики. Це сприятиме ефективному функціонуванню демократичної системи, формуванню культури політичної конкуренції та зміцненню довіри суспільства до виборних інституцій. У сукупності такі кроки забезпечать опозиції реальні умови для виконання свого конституційного призначення – контролю і збалансування влади, гарантування плюралізму та захисту прав громадян.</w:t>
      </w:r>
    </w:p>
    <w:p w14:paraId="1658CAC8"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Реформування виборчого законодавства є одним із найважливіших напрямків удосконалення демократичного процесу, оскільки саме від виборчих правил залежать можливості опозиції для здобуття підтримки електорату, рівність доступу до політичної конкуренції та легітимність представницьких інституцій. Зміни у виборчому законодавстві мають бути </w:t>
      </w:r>
      <w:r w:rsidRPr="00A248F8">
        <w:rPr>
          <w:rFonts w:ascii="Times New Roman" w:hAnsi="Times New Roman" w:cs="Times New Roman"/>
          <w:sz w:val="28"/>
          <w:szCs w:val="28"/>
        </w:rPr>
        <w:lastRenderedPageBreak/>
        <w:t>спрямовані на забезпечення прозорості, підзвітності, чесності та конкуренції між політичними силами, а також на нейтралізацію чинників, які сприяють олігархізації та монополізації влади.</w:t>
      </w:r>
    </w:p>
    <w:p w14:paraId="67680823" w14:textId="68225D45"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Одним з ключових заходів реформування є запровадження пропорційної виборчої системи з відкритими списками. Така система зменшує залежність політичних партій від приватних спонсорів, оскільки прозорість формування партійних списків та можливість виборців впливати на місця кандидатів у списку стимулює партії обирати найбільш компетентних та репутаційно бездоганних кандидатів. Це, у свою чергу, розширює можливості опозиційних сил, які раніше були позбавлені доступу до достатнього фінансування чи медіаресурсів. Відкриті списки спонукають до розбудови внутрішньопартійної демократії та підвищення конкуренції в середині самих політичних утворень, що в перспективі знижує вплив вузьких фінансово-політичних угруповань.</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48</w:t>
      </w:r>
      <w:r w:rsidR="009436A1" w:rsidRPr="00F22443">
        <w:rPr>
          <w:rFonts w:ascii="Times New Roman" w:hAnsi="Times New Roman" w:cs="Times New Roman"/>
          <w:sz w:val="28"/>
          <w:szCs w:val="28"/>
          <w:lang w:val="uk-UA"/>
        </w:rPr>
        <w:t>]</w:t>
      </w:r>
    </w:p>
    <w:p w14:paraId="1D0D0A5F"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Прозорість фінансування політичних партій є наступним критично важливим питанням. Запровадження детальних вимог до звітності про походження коштів, розкриття імен донорів, встановлення верхніх лімітів на витрати під час виборчих кампаній та контроль за дотриманням цих правил здатні знизити вплив олігархічних груп на політику. Створення незалежного органу з питань контролю партійного фінансування, наділеного широкими повноваженнями щодо проведення аудитів та застосування санкцій, стане дієвим механізмом запобігання корупційним практикам. Зрештою, прозорість фінансування допоможе опозиції конкурувати на рівних із партіями влади, для яких часто характерна привілейована ресурсна база.</w:t>
      </w:r>
    </w:p>
    <w:p w14:paraId="1853A852" w14:textId="23349016"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Одночасно з виборчими реформами критично важливо забезпечити медіаплюралізм. Медіа-простір суттєво впливає на громадську думку, формує електоральні уподобання та може або сприяти, або перешкоджати справедливій конкуренції ідей. Запровадження чітких нормативних рамок для недопущення медіаконцентрації та монополії на інформаційний контент – важливий крок, що обмежить можливості використання медіа як інструмента </w:t>
      </w:r>
      <w:r w:rsidRPr="00A248F8">
        <w:rPr>
          <w:rFonts w:ascii="Times New Roman" w:hAnsi="Times New Roman" w:cs="Times New Roman"/>
          <w:sz w:val="28"/>
          <w:szCs w:val="28"/>
        </w:rPr>
        <w:lastRenderedPageBreak/>
        <w:t xml:space="preserve">просування інтересів однієї політичної сили. Ефективні антимонопольні механізми, здійснювані незалежними медіарегуляторами, мають мінімізувати ризики концентрації ЗМІ </w:t>
      </w:r>
      <w:r w:rsidR="009436A1" w:rsidRPr="00A248F8">
        <w:rPr>
          <w:rFonts w:ascii="Times New Roman" w:hAnsi="Times New Roman" w:cs="Times New Roman"/>
          <w:sz w:val="28"/>
          <w:szCs w:val="28"/>
        </w:rPr>
        <w:t>у рук</w:t>
      </w:r>
      <w:r w:rsidR="009436A1">
        <w:rPr>
          <w:rFonts w:ascii="Times New Roman" w:hAnsi="Times New Roman" w:cs="Times New Roman"/>
          <w:sz w:val="28"/>
          <w:szCs w:val="28"/>
          <w:lang w:val="uk-UA"/>
        </w:rPr>
        <w:t>ах</w:t>
      </w:r>
      <w:r w:rsidRPr="00A248F8">
        <w:rPr>
          <w:rFonts w:ascii="Times New Roman" w:hAnsi="Times New Roman" w:cs="Times New Roman"/>
          <w:sz w:val="28"/>
          <w:szCs w:val="28"/>
        </w:rPr>
        <w:t xml:space="preserve"> окремих бізнес-структур, наближених до влади.</w:t>
      </w:r>
    </w:p>
    <w:p w14:paraId="5C6D020B"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Слід також забезпечити рівний доступ опозиції до державних та приватних медійних платформ. Прозоре розподілення ефірного часу, квоти на теледебати та інформаційні програми за участю опозиційних політиків створять умови для справедливого висвітлення альтернативних точок зору. Публічний моніторинг виконання цих вимог, здійснюваний незалежними експертами, журналістами-розслідувачами та представниками громадянського суспільства, сприятиме запобіганню зловживань.</w:t>
      </w:r>
    </w:p>
    <w:p w14:paraId="5CF438EF"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Активний розвиток фактчекінгових ініціатив та підтримка розслідувальної журналістики стануть гарантією протидії дезінформації та пропаганді. Спеціалізовані громадські організації, у співпраці з міжнародними фондами, можуть надавати навчальні матеріали, методики перевірки фактів та допомагати у впровадженні стандартів медіаграмотності. Посилення інформаційної грамотності населення дозволить аудиторії критичніше оцінювати інформацію, зіставляти різні джерела та самостійно робити висновки.</w:t>
      </w:r>
    </w:p>
    <w:p w14:paraId="49A5FD36" w14:textId="4AFB177B"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Таким чином, реформування виборчого законодавства та забезпечення медіаплюралізму – взаємопов’язані процеси, що створюють сприятливе середовище для ефективної опозиційної діяльності. Прозорі виборчі процедури, справедливий розподіл інформаційних ресурсів та верховенство права у фінансуванні політичних сил забезпечать конкурентоспроможність опозиції, підвищать рівень довіри суспільства до виборчих процесів, а також унеможливлять повторення монополізації влади, яка підриває основи демократії.</w:t>
      </w:r>
    </w:p>
    <w:p w14:paraId="2D3287FB"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Міжнародне середовище відіграє дедалі вагомішу роль у процесах демократичної трансформації. Для постконфліктної України, яка прагне до інтеграції в європейські та світові структури, взаємодія з міжнародними </w:t>
      </w:r>
      <w:r w:rsidRPr="00A248F8">
        <w:rPr>
          <w:rFonts w:ascii="Times New Roman" w:hAnsi="Times New Roman" w:cs="Times New Roman"/>
          <w:sz w:val="28"/>
          <w:szCs w:val="28"/>
        </w:rPr>
        <w:lastRenderedPageBreak/>
        <w:t>акторами є важливим чинником зміцнення опозиційних інститутів. Міжнародні організації, інститути ЄС, Ради Європи, ОБСЄ, а також різноманітні міжнародні фонди та програми технічної допомоги можуть надати експертизу, консультування, методологічну та фінансову підтримку, необхідні для побудови ефективної та стабільної системи стримувань і противаг.</w:t>
      </w:r>
    </w:p>
    <w:p w14:paraId="06978553"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Першим кроком у цьому напрямі є використання кращих світових практик інституціоналізації опозиції. Консультації з експертами Венеційської комісії Ради Європи, які спеціалізуються на конституційних питаннях, допоможуть адаптувати законодавство під європейські стандарти. Співпраця з ОБСЄ (зокрема її Бюро з демократичних інститутів і прав людини) дозволить отримати рекомендації щодо проведення виборів, підвищення прозорості політичних процесів та захисту прав опозиції. Спільна робота з Європейським парламентом, парламентами держав-членів ЄС, а також із міжнародними парламентськими асамблеями здатна стимулювати вдосконалення регламентних процедур і підвищити професіоналізм законодавчої діяльності.</w:t>
      </w:r>
    </w:p>
    <w:p w14:paraId="7DE26C28"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Міжнародні організації, такі як NDI (National Democratic Institute) та IRI (International Republican Institute), можуть проводити тренінги та семінари для опозиційних політиків, парламентських помічників, працівників апарату, допомагаючи їм оволодіти інструментами стратегічного планування, комунікації з виборцями, навичками законотворчості та контролю за виконавчою владою. Важливим аспектом такої співпраці є також зміцнення внутрішньопартійної демократії та розвиток політичних молодіжних організацій, які стануть кадровим резервом для майбутніх опозиційних лідерів.</w:t>
      </w:r>
    </w:p>
    <w:p w14:paraId="725C44C5"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Міжнародна допомога може охоплювати й технічні аспекти. Наприклад, реалізація програм електронного парламенту сприятиме підвищенню прозорості законодавчого процесу, забезпеченню ефективного електронного документообігу, доступу громадян та журналістів до законопроєктів і їх аналізу. Впровадження сучасних ІТ-рішень у роботу парламентських </w:t>
      </w:r>
      <w:r w:rsidRPr="00A248F8">
        <w:rPr>
          <w:rFonts w:ascii="Times New Roman" w:hAnsi="Times New Roman" w:cs="Times New Roman"/>
          <w:sz w:val="28"/>
          <w:szCs w:val="28"/>
        </w:rPr>
        <w:lastRenderedPageBreak/>
        <w:t>комітетів і секретаріатів знизить можливості для кулуарних домовленостей та підвищить публічну підзвітність. У цій сфері європейські інституції та міжнародні організації можуть надати експертні знання, програмне забезпечення та інструкції щодо його використання.</w:t>
      </w:r>
    </w:p>
    <w:p w14:paraId="58C73EB6"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Міжнародні актори можуть також надати посередництво у діалозі між владою й опозицією, допомагаючи врегулювати конфліктні ситуації, сприяти компромісу та забезпечувати дотримання демократичних принципів. Залучення міжнародних спостерігачів, особливо під час виборів, знижує ризик фальсифікацій, підвищує довіру до виборчого процесу та його результатів. Наявність незалежних спостерігачів з авторитетних міжнародних організацій також може слугувати стримуючим чинником проти зловживань адміністративним ресурсом або тиском на опозиційних кандидатів.</w:t>
      </w:r>
    </w:p>
    <w:p w14:paraId="6EBDC3C6"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Особливу роль може відігравати фінансова та інституційна підтримка розвитку громадянського суспільства. Міжнародні донори можуть інвестувати в організації, які займаються захистом прав людини, моніторингом діяльності уряду, дослідженнями виборчого процесу, розвитком журналістики даних та фактчекінговими ініціативами. Ці організації створюватимуть альтернативне джерело інформації, підтримуючи тим самим роботу опозиції, яка послуговується даними громадського сектору для висвітлення зловживань владою та формування альтернативних програм.</w:t>
      </w:r>
    </w:p>
    <w:p w14:paraId="010C8635"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Взаємодія з міжнародними структурами має бути систематичною, а не одноразовою. Розробка довгострокових стратегій інтеграції України в європейський політичний та правовий простір дозволить закріпити демократичні стандарти у національному законодавстві, сформувати колективну пам’ять про позитивний ефект таких реформ та не допустити відкату до авторитарних практик. З часом це призведе до появи політиків і партій, які мислитимуть за логікою сталого розвитку, враховуючи інтереси майбутніх поколінь, а не тільки короткотермінові вигоди.</w:t>
      </w:r>
    </w:p>
    <w:p w14:paraId="0F1C9217" w14:textId="5353BADC"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Отже, співпраця з міжнародними акторами є стратегічним ресурсом для зміцнення опозиційних інститутів в Україні. Міжнародні стандарти, досвід </w:t>
      </w:r>
      <w:r w:rsidRPr="00A248F8">
        <w:rPr>
          <w:rFonts w:ascii="Times New Roman" w:hAnsi="Times New Roman" w:cs="Times New Roman"/>
          <w:sz w:val="28"/>
          <w:szCs w:val="28"/>
        </w:rPr>
        <w:lastRenderedPageBreak/>
        <w:t>розвинених демократій та підтримка транснаціональних організацій можуть значно підвищити інституційну стійкість, правову визначеність та професіоналізм опозиційних сил, сприяючи формуванню сильної, збалансованої та відповідальної політичної системи.</w:t>
      </w:r>
    </w:p>
    <w:p w14:paraId="3B0855CC"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Постконфліктний період розвитку держави характеризується підвищеною чутливістю до концентрації влади, нестабільністю інституцій та загрозою згортання демократичних прав і свобод. У контексті України, що проходить складну фазу відновлення після збройного конфлікту, надзвичайно важливо створити умови для сталої системи стримувань і противаг, яка забезпечить рівновагу між гілками влади, прозорість прийняття рішень та повагу до принципів верховенства права. Цей процес має включати довгострокове конституційне закріплення механізмів контролю, розвиток незалежних органів нагляду, залучення громадянського суспільства та формування політичної культури, що усвідомлює цінність балансу інтересів.</w:t>
      </w:r>
    </w:p>
    <w:p w14:paraId="49D053EB" w14:textId="6CDE7335"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Однією з найважливіших передумов є передбачення на конституційному рівні механізмів, що гарантують опозиції доступ до ключових процесів. Закріплення права опозиції на ініціацію парламентських розслідувань, доступ до офіційних документів, участь у формуванні порядку денного комітетів, ініціювання референдумів з питань суспільного інтересу – все це може забезпечити рівновагу між владою та опозицією. Конституційна основа для цих прав ускладнить їх скасування звичайним законом та забезпечить тривалість демократичних практик навіть за зміни політичних еліт.</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44</w:t>
      </w:r>
      <w:r w:rsidR="009436A1" w:rsidRPr="00F22443">
        <w:rPr>
          <w:rFonts w:ascii="Times New Roman" w:hAnsi="Times New Roman" w:cs="Times New Roman"/>
          <w:sz w:val="28"/>
          <w:szCs w:val="28"/>
          <w:lang w:val="uk-UA"/>
        </w:rPr>
        <w:t>]</w:t>
      </w:r>
    </w:p>
    <w:p w14:paraId="58302BEC"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Наступним кроком є розвиток незалежних інституцій «четвертої влади», що здійснюють нагляд за діяльністю уряду та інших державних органів. Антикорупційні бюро, органи фінансового контролю, омбудсмени з прав людини, національні комісії з питань інформації та етики в державній службі мають бути захищеними від політичних впливів. Для цього необхідне чітке законодавче регулювання їх діяльності, прозорі конкурси на призначення керівників, фіксовані каденції, які не можна свавільно переривати, а також неможливість одноосібного звільнення посадовців з боку керівництва </w:t>
      </w:r>
      <w:r w:rsidRPr="00A248F8">
        <w:rPr>
          <w:rFonts w:ascii="Times New Roman" w:hAnsi="Times New Roman" w:cs="Times New Roman"/>
          <w:sz w:val="28"/>
          <w:szCs w:val="28"/>
        </w:rPr>
        <w:lastRenderedPageBreak/>
        <w:t>виконавчої влади. Міжнародна практика свідчить, що незалежні регулятори сприяють зменшенню зловживань та корупції, а їх ефективна робота є запорукою здорової конкуренції ідей, від якої виграє опозиція.</w:t>
      </w:r>
    </w:p>
    <w:p w14:paraId="4B11D680"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Не менш важливо розвивати інструменти безпосередньої демократії та залучення громадян. Механізми електронних петицій, громадських слухань, партисипативного бюджетування, а також зміцнення ролі громадських рад при держструктурах дозволять суспільству впливати на політику і поза виборами. Активна участь громадських організацій у моніторингу дотримання прав, виконання державних програм та контролю за використанням бюджетних коштів підвищує прозорість та підзвітність влади. За таких умов опозиція отримує потужного союзника в особі громадянського суспільства, яке може сигналізувати про проблеми, порушення і зловживання.</w:t>
      </w:r>
    </w:p>
    <w:p w14:paraId="065EB735" w14:textId="55BB0F8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Формування сталої системи стримувань і противаг неможливе без розвитку політичної культури, що сприймає опозицію як невід’ємну частину демократичної системи. Освітні програми з громадянської освіти, популяризація знань про конституційні права та свободи, історію демократії та авторитаризму, засвоєння уроків минулих політичних криз – усе це сприяє підвищенню політичної грамотності населення. Медіа та культурні інституції можуть діяти як провідники цих ідей, допомагаючи суспільству розуміти цінність розподілу влади та необхідність критичного ставлення до політичних лідерів незалежно від їхнього статусу.</w:t>
      </w:r>
      <w:r w:rsidR="009436A1" w:rsidRPr="009436A1">
        <w:rPr>
          <w:rFonts w:ascii="Times New Roman" w:hAnsi="Times New Roman" w:cs="Times New Roman"/>
          <w:sz w:val="28"/>
          <w:szCs w:val="28"/>
          <w:lang w:val="uk-UA"/>
        </w:rPr>
        <w:t xml:space="preserve"> </w:t>
      </w:r>
      <w:r w:rsidR="009436A1" w:rsidRPr="00F22443">
        <w:rPr>
          <w:rFonts w:ascii="Times New Roman" w:hAnsi="Times New Roman" w:cs="Times New Roman"/>
          <w:sz w:val="28"/>
          <w:szCs w:val="28"/>
          <w:lang w:val="uk-UA"/>
        </w:rPr>
        <w:t>[</w:t>
      </w:r>
      <w:r w:rsidR="009436A1">
        <w:rPr>
          <w:rFonts w:ascii="Times New Roman" w:hAnsi="Times New Roman" w:cs="Times New Roman"/>
          <w:sz w:val="28"/>
          <w:szCs w:val="28"/>
          <w:lang w:val="uk-UA"/>
        </w:rPr>
        <w:t>39</w:t>
      </w:r>
      <w:r w:rsidR="009436A1" w:rsidRPr="00F22443">
        <w:rPr>
          <w:rFonts w:ascii="Times New Roman" w:hAnsi="Times New Roman" w:cs="Times New Roman"/>
          <w:sz w:val="28"/>
          <w:szCs w:val="28"/>
          <w:lang w:val="uk-UA"/>
        </w:rPr>
        <w:t>]</w:t>
      </w:r>
    </w:p>
    <w:p w14:paraId="7AA72366"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Окрім того, постконфліктна відбудова передбачає врахування регіональних особливостей та залучення місцевого самоврядування. Децентралізація владних повноважень, підтримка регіональної преси та громадських ініціатив на місцях створює додатковий рівень стримувань і противаг. Опозиція, яка якісно працює не лише на центральному рівні, а й у регіонах, матиме змогу оперативно реагувати на зловживання владою, ініціювати розслідування та мобілізувати місцеві громади задля захисту їхніх інтересів.</w:t>
      </w:r>
    </w:p>
    <w:p w14:paraId="7905F444" w14:textId="77777777" w:rsidR="009F7C91" w:rsidRPr="00A248F8" w:rsidRDefault="009F7C9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lastRenderedPageBreak/>
        <w:t>Зрештою, сталий баланс сил між владою та опозицією дозволяє уникнути небезпечних крайнощів – концентрації влади в руках вузького кола осіб або, навпаки, нескінченної політичної нестабільності. Система стримувань і противаг, вкорінена у правову систему, підтримана незалежними інституціями, підсилена громадянською активністю та освітніми ініціативами, стає гарантом демократичної тяглості. Така система забезпечить опозиції сталу основу для ефективної діяльності, а суспільству – впевненість у тому, що політична влада не зможе свавільно зловживати повноваженнями, порушувати права людини чи ігнорувати інтереси громади.</w:t>
      </w:r>
    </w:p>
    <w:p w14:paraId="7305B360" w14:textId="5BC44656"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Зміцнення ролі опозиції в Україні після завершення конфліктних подій є тривалим та багатогранним процесом, що охоплює сфери від інституційного дизайну до формування політичної культури та трансформації суспільних цінностей. Впровадження рекомендованих у попередніх підрозділах кроків (6.1–6.4) створює основу для розбудови сталої демократичної системи, де опозиція не лише формально присутня, а є рівноправним учасником політичних процесів. Проте, аби зрозуміти дієвість реформ, необхідно розробити чіткі механізми оцінки їх ефективності та застосувати міжнародно визнані індикатори для фіксації прогресу або виявлення проблемних зон.</w:t>
      </w:r>
    </w:p>
    <w:p w14:paraId="3CBF69A1"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Розробка індикаторів оцінки та використання міжнародних рейтингів:</w:t>
      </w:r>
    </w:p>
    <w:p w14:paraId="4CB7FF1A" w14:textId="75ADA5E0"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Для моніторингу успіху реформ доречно використовувати комбінацію міжнародних та національних індикаторів</w:t>
      </w:r>
    </w:p>
    <w:p w14:paraId="444F3904" w14:textId="21C1697A"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Міжнародні індекси демократії та свободи:</w:t>
      </w:r>
    </w:p>
    <w:p w14:paraId="2E4B1F74"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Freedom House (Freedom in the World): Покращення показників політичних прав та громадянських свобод, зростання оцінки «electoral process» та «political pluralism» будуть свідчити про зміцнення позицій опозиції.</w:t>
      </w:r>
    </w:p>
    <w:p w14:paraId="1302662E"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Economist Intelligence Unit (EIU) Democracy Index: Збільшення балів за параметрами «pluralism and electoral process», «political participation» та «functioning of government» вкаже на посилену роль опозиційних сил.</w:t>
      </w:r>
    </w:p>
    <w:p w14:paraId="5E16BFA9"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Varieties of Democracy (V-Dem): Цей академічний проект пропонує глибинну оцінку демократії за понад 350 індикаторами. Позитивна динаміка </w:t>
      </w:r>
      <w:r w:rsidRPr="00A248F8">
        <w:rPr>
          <w:rFonts w:ascii="Times New Roman" w:hAnsi="Times New Roman" w:cs="Times New Roman"/>
          <w:sz w:val="28"/>
          <w:szCs w:val="28"/>
          <w:lang w:val="uk-UA"/>
        </w:rPr>
        <w:lastRenderedPageBreak/>
        <w:t>за показниками «legislative constraints on the executive» і «party institutionalization» відобразить інституційну якість опозиції.</w:t>
      </w:r>
    </w:p>
    <w:p w14:paraId="29C3A524"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Національні соціологічні дослідження:</w:t>
      </w:r>
    </w:p>
    <w:p w14:paraId="795E7F7A" w14:textId="607F0394"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Регулярні опитування, проведені вітчизняними центрами</w:t>
      </w:r>
      <w:r w:rsidR="005B2DB1" w:rsidRPr="00A248F8">
        <w:rPr>
          <w:rFonts w:ascii="Times New Roman" w:hAnsi="Times New Roman" w:cs="Times New Roman"/>
          <w:sz w:val="28"/>
          <w:szCs w:val="28"/>
          <w:lang w:val="uk-UA"/>
        </w:rPr>
        <w:t xml:space="preserve"> </w:t>
      </w:r>
      <w:r w:rsidRPr="00A248F8">
        <w:rPr>
          <w:rFonts w:ascii="Times New Roman" w:hAnsi="Times New Roman" w:cs="Times New Roman"/>
          <w:sz w:val="28"/>
          <w:szCs w:val="28"/>
          <w:lang w:val="uk-UA"/>
        </w:rPr>
        <w:t>дозволять оцінити рівень довіри громадян до опозиції, ступінь поінформованості про її діяльність, готовність громадян голосувати за опозиційні сили. Зростання довіри з 20% до 35–40% протягом кількох років є важливим маркером якісних змін.</w:t>
      </w:r>
    </w:p>
    <w:p w14:paraId="394D5558"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Аналітика парламентської діяльності:</w:t>
      </w:r>
    </w:p>
    <w:p w14:paraId="51925752" w14:textId="3672C5B5"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Публічні бази даних законопроєктів, наприклад, відкриті портали Верховної Ради України, дозволять відстежити частку ініційованих опозиційними депутатами ініціатив, які стають законами, або впливають на порядок денний. Позитивна динаміка з 5–10% до 20–25% прийнятих опозиційних пропозицій свідчитиме про посилення впливовості опозиції.</w:t>
      </w:r>
    </w:p>
    <w:p w14:paraId="762CB316"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Моніторинг якості медіапростору:</w:t>
      </w:r>
    </w:p>
    <w:p w14:paraId="30766320" w14:textId="6C177490"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Дані органів медіарегулювання, звіти міжнародних організацій (Reporters Without Borders, IREX) щодо індексу стійкості медіа та факти доступу опозиційних лідерів до публічних дискусій допоможуть оцінити, чи спростилося отримання опозицією ефірного часу, чи знизився вплив олігархічних груп на медіасферу, та наскільки зросла частка незалежних фактчекінгових проектів.</w:t>
      </w:r>
    </w:p>
    <w:p w14:paraId="48C57D85"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Міжнародний досвід та кейси для порівняння:</w:t>
      </w:r>
    </w:p>
    <w:p w14:paraId="05B06C78" w14:textId="5ADFA0E9"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Варто розглянути приклади успішних трансформацій у країнах з подібними стартовими умовами. Зокрема, держави Центрально-Східної Європи (Польща, Чехія, Словаччина) після перехідного періоду 1990-х років змогли закласти інституційні основи для сильної опозиції. Покращення їхніх позицій у Democracy Index EIU з середніх значень до показників, порівнянних із західноєвропейськими демократіями, дає зрозуміти: інституціоналізована опозиція – це ключ до забезпечення довгострокової стабільності. З іншого боку, негативний досвід окремих пострадянських країн, які не змогли </w:t>
      </w:r>
      <w:r w:rsidRPr="00A248F8">
        <w:rPr>
          <w:rFonts w:ascii="Times New Roman" w:hAnsi="Times New Roman" w:cs="Times New Roman"/>
          <w:sz w:val="28"/>
          <w:szCs w:val="28"/>
          <w:lang w:val="uk-UA"/>
        </w:rPr>
        <w:lastRenderedPageBreak/>
        <w:t>створити належних умов для опозиції, демонструє, що відсутність реальних стримувань і противаг веде до згортання свобод, економічної стагнації та посилення авторитарних тенденцій.</w:t>
      </w:r>
    </w:p>
    <w:p w14:paraId="5C3DDE2E"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Врахування постконфліктного контексту:</w:t>
      </w:r>
    </w:p>
    <w:p w14:paraId="1E1D42D1" w14:textId="502CFA5D"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В умовах, коли Україна долає наслідки війни, політичне середовище особливо чутливе до ризиків згортання демократії під приводом безпекових викликів. У такій ситуації опозиція може стати голосом громад, які відчувають недостатність уваги до їхніх потреб, особливо в регіонах, що постраждали від бойових дій. Експертні оцінки міжнародних донорських організацій (ПРООН, Світовий банк) про темпи відбудови інфраструктури, розвиток місцевого самоврядування та рівень прозорості розподілу допомоги стануть додатковим показником того, чи здатна опозиція ефективно контролювати та впливати на процеси відновлення.</w:t>
      </w:r>
    </w:p>
    <w:p w14:paraId="63990013"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Розвиток громадянської освіти та ментальних установок:</w:t>
      </w:r>
    </w:p>
    <w:p w14:paraId="6ED6D8C2" w14:textId="688D94F4"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Окремим пластом індикаторів є статистика щодо рівня громадянської освіти та медіаграмотності населення. За даними UNESCO, підвищення індексу медіаграмотності на 10–15% може суттєво покращити здатність суспільства критично оцінювати інформацію, сприяючи належному сприйняттю ролі опозиції. Оцінювання рівня політичної участі молоді, частки громадян, які беруть участь у громадських слуханнях, подають електронні петиції чи долучаються до діяльності незалежних аналітичних центрів, допоможе зрозуміти, наскільки глибоко демократичні норми вкорінюються в політичну культуру.</w:t>
      </w:r>
    </w:p>
    <w:p w14:paraId="43468296"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Комбінування кількісних та якісних показників:</w:t>
      </w:r>
    </w:p>
    <w:p w14:paraId="14BA192C" w14:textId="1A98464F"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Разом із цифрами та процентами доречно звертати увагу на якісні дослідження: фокус-групи, глибинні інтерв’ю з представниками опозиції, громадськими активістами, журналістами-розслідувачами, аналітиками. Ці методи дозволять виявити латентні проблеми, неочевидні тенденції та кричущі зловживання, які не завжди відображаються у формалізованій </w:t>
      </w:r>
      <w:r w:rsidRPr="00A248F8">
        <w:rPr>
          <w:rFonts w:ascii="Times New Roman" w:hAnsi="Times New Roman" w:cs="Times New Roman"/>
          <w:sz w:val="28"/>
          <w:szCs w:val="28"/>
          <w:lang w:val="uk-UA"/>
        </w:rPr>
        <w:lastRenderedPageBreak/>
        <w:t>статистиці. Водночас, кількісний аналіз та міжнародні індекси надають загальну картину, необхідну для порівнянь у динаміці та з іншими країнами.</w:t>
      </w:r>
    </w:p>
    <w:p w14:paraId="426474FE"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Фідбек-цикл та адаптивне управління реформами:</w:t>
      </w:r>
    </w:p>
    <w:p w14:paraId="62B535DC" w14:textId="5ECE0D3A"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Застосування описаних індикаторів та інструментів оцінювання не має бути разовою акцією. Замість цього слід запровадити постійний фідбек-цикл, у межах якого результати оцінок систематично обговорюватимуться в парламенті, експертному середовищі та громадському секторі. У разі виявлення гальмування реформ або негативних трендів (наприклад, зниження довіри до опозиції після певних скандалів чи нововведень) можна оперативно вносити корективи до законодавчих актів, регламентних норм або комунікаційних стратегій.</w:t>
      </w:r>
    </w:p>
    <w:p w14:paraId="5CE021E5" w14:textId="77777777"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Сталість реформ та внутрішнє сприйняття опозиції:</w:t>
      </w:r>
    </w:p>
    <w:p w14:paraId="01A9CCE6" w14:textId="21DE63AE" w:rsidR="001E472C"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Успіхи у зміцненні опозиції в Україні залежатимуть не лише від зовнішніх оцінок, а й від внутрішньої динаміки опозиційних партій. Їх здатність адаптуватися до нових умов, напрацьовувати якісні політичні пропозиції, відмовлятися від популізму та корупції, підтримувати зв’язок із громадою та експертами безпосередньо впливатиме на ефективність системи стримувань і противаг. Якщо опозиція засвоїть уроки конкуренції, запровадження прозорості та професіоналізму, то рівень її впливу зростатиме не завдяки формальним преференціям, а через реальну корисність для суспільства.</w:t>
      </w:r>
    </w:p>
    <w:p w14:paraId="0016A374" w14:textId="5BA1651B" w:rsidR="009F7C91" w:rsidRPr="00A248F8" w:rsidRDefault="001E472C" w:rsidP="00A248F8">
      <w:pPr>
        <w:spacing w:after="0" w:line="360" w:lineRule="auto"/>
        <w:ind w:firstLine="567"/>
        <w:jc w:val="both"/>
        <w:rPr>
          <w:rFonts w:ascii="Times New Roman" w:hAnsi="Times New Roman" w:cs="Times New Roman"/>
          <w:sz w:val="28"/>
          <w:szCs w:val="28"/>
          <w:lang w:val="uk-UA"/>
        </w:rPr>
      </w:pPr>
      <w:r w:rsidRPr="00A248F8">
        <w:rPr>
          <w:rFonts w:ascii="Times New Roman" w:hAnsi="Times New Roman" w:cs="Times New Roman"/>
          <w:sz w:val="28"/>
          <w:szCs w:val="28"/>
          <w:lang w:val="uk-UA"/>
        </w:rPr>
        <w:t xml:space="preserve">Зрозуміло що запровадження описаного вище комплексу кількісних і якісних індикаторів, порівнянь та міжнародних оцінок дозволить не тільки фіксувати факт існування опозиції, а й вимірювати рівень її впливу, корисності та відповідальності. Систематичний моніторинг і публічне обговорення результатів створять підстави для органічного вдосконалення демократичних механізмів. У кінцевому підсумку, стале зростання довіри до опозиції, підвищення ефективності її законодавчих ініціатив, покращення позицій у міжнародних рейтингах та розвиток громадянської активності сигналізуватимуть про успішність обраної стратегії постконфліктного </w:t>
      </w:r>
      <w:r w:rsidRPr="00A248F8">
        <w:rPr>
          <w:rFonts w:ascii="Times New Roman" w:hAnsi="Times New Roman" w:cs="Times New Roman"/>
          <w:sz w:val="28"/>
          <w:szCs w:val="28"/>
          <w:lang w:val="uk-UA"/>
        </w:rPr>
        <w:lastRenderedPageBreak/>
        <w:t>реформування. Це стане запорукою тривалої політичної стабільності, економічного прогресу та культурної трансформації, завдяки яким Україна утвердиться як повноцінна європейська демократія.</w:t>
      </w:r>
    </w:p>
    <w:bookmarkEnd w:id="2"/>
    <w:p w14:paraId="6BED6725" w14:textId="77777777" w:rsidR="00817E7F" w:rsidRPr="00A248F8" w:rsidRDefault="00817E7F" w:rsidP="00A248F8">
      <w:pPr>
        <w:spacing w:after="0" w:line="360" w:lineRule="auto"/>
        <w:ind w:firstLine="567"/>
        <w:jc w:val="both"/>
        <w:rPr>
          <w:rFonts w:ascii="Times New Roman" w:hAnsi="Times New Roman" w:cs="Times New Roman"/>
          <w:b/>
          <w:bCs/>
          <w:sz w:val="28"/>
          <w:szCs w:val="28"/>
          <w:lang w:val="uk-UA"/>
        </w:rPr>
      </w:pPr>
    </w:p>
    <w:p w14:paraId="0AE121B1" w14:textId="77777777" w:rsidR="00817E7F" w:rsidRPr="00A248F8" w:rsidRDefault="00817E7F" w:rsidP="00A248F8">
      <w:pPr>
        <w:spacing w:after="0" w:line="360" w:lineRule="auto"/>
        <w:ind w:firstLine="567"/>
        <w:jc w:val="both"/>
        <w:rPr>
          <w:rFonts w:ascii="Times New Roman" w:hAnsi="Times New Roman" w:cs="Times New Roman"/>
          <w:b/>
          <w:bCs/>
          <w:sz w:val="28"/>
          <w:szCs w:val="28"/>
          <w:lang w:val="uk-UA"/>
        </w:rPr>
      </w:pPr>
    </w:p>
    <w:p w14:paraId="2B4AD318" w14:textId="77777777" w:rsidR="00817E7F" w:rsidRPr="00A248F8" w:rsidRDefault="00817E7F" w:rsidP="00A248F8">
      <w:pPr>
        <w:spacing w:after="0" w:line="360" w:lineRule="auto"/>
        <w:ind w:firstLine="567"/>
        <w:jc w:val="both"/>
        <w:rPr>
          <w:rFonts w:ascii="Times New Roman" w:hAnsi="Times New Roman" w:cs="Times New Roman"/>
          <w:b/>
          <w:bCs/>
          <w:sz w:val="28"/>
          <w:szCs w:val="28"/>
          <w:lang w:val="uk-UA"/>
        </w:rPr>
      </w:pPr>
    </w:p>
    <w:p w14:paraId="791CAA98" w14:textId="0596EFD2" w:rsidR="005B2DB1" w:rsidRPr="00A248F8" w:rsidRDefault="005B2DB1" w:rsidP="00A248F8">
      <w:pPr>
        <w:spacing w:after="0" w:line="360" w:lineRule="auto"/>
        <w:jc w:val="both"/>
        <w:rPr>
          <w:rFonts w:ascii="Times New Roman" w:hAnsi="Times New Roman" w:cs="Times New Roman"/>
          <w:b/>
          <w:bCs/>
          <w:sz w:val="28"/>
          <w:szCs w:val="28"/>
          <w:lang w:val="uk-UA"/>
        </w:rPr>
      </w:pPr>
    </w:p>
    <w:p w14:paraId="5F19B56D" w14:textId="77777777" w:rsidR="005B2DB1" w:rsidRPr="00A248F8" w:rsidRDefault="005B2DB1" w:rsidP="00A248F8">
      <w:pPr>
        <w:spacing w:after="0" w:line="360" w:lineRule="auto"/>
        <w:ind w:firstLine="567"/>
        <w:jc w:val="both"/>
        <w:rPr>
          <w:rFonts w:ascii="Times New Roman" w:hAnsi="Times New Roman" w:cs="Times New Roman"/>
          <w:b/>
          <w:bCs/>
          <w:sz w:val="28"/>
          <w:szCs w:val="28"/>
          <w:lang w:val="uk-UA"/>
        </w:rPr>
      </w:pPr>
    </w:p>
    <w:p w14:paraId="365B05CB" w14:textId="77777777" w:rsidR="00817E7F" w:rsidRPr="00A248F8" w:rsidRDefault="00817E7F" w:rsidP="00A248F8">
      <w:pPr>
        <w:spacing w:after="0" w:line="360" w:lineRule="auto"/>
        <w:ind w:firstLine="567"/>
        <w:jc w:val="both"/>
        <w:rPr>
          <w:rFonts w:ascii="Times New Roman" w:hAnsi="Times New Roman" w:cs="Times New Roman"/>
          <w:b/>
          <w:bCs/>
          <w:sz w:val="28"/>
          <w:szCs w:val="28"/>
          <w:lang w:val="uk-UA"/>
        </w:rPr>
      </w:pPr>
    </w:p>
    <w:p w14:paraId="58A1E554"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2C12ABF"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6DDC6553"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0BB74747"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64D0629B"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52D1F26"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25F09DCB"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283F4FD"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6778D4D7"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4D8C27A4"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AB072ED"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57CCDD3B"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DD0AF20"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A655B27"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494C63CE"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463E3376"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1A9F1EF1"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CF2B891"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2FAAD7E7"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B46ACCC"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39E46956"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59B0AEEC" w14:textId="22C6AECD" w:rsidR="001E472C" w:rsidRPr="00A248F8" w:rsidRDefault="004F507F" w:rsidP="004F507F">
      <w:pPr>
        <w:spacing w:after="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w:t>
      </w:r>
      <w:r w:rsidR="00BD0C6D" w:rsidRPr="00A248F8">
        <w:rPr>
          <w:rFonts w:ascii="Times New Roman" w:hAnsi="Times New Roman" w:cs="Times New Roman"/>
          <w:b/>
          <w:bCs/>
          <w:sz w:val="28"/>
          <w:szCs w:val="28"/>
          <w:lang w:val="uk-UA"/>
        </w:rPr>
        <w:t>К</w:t>
      </w:r>
      <w:r>
        <w:rPr>
          <w:rFonts w:ascii="Times New Roman" w:hAnsi="Times New Roman" w:cs="Times New Roman"/>
          <w:b/>
          <w:bCs/>
          <w:sz w:val="28"/>
          <w:szCs w:val="28"/>
          <w:lang w:val="uk-UA"/>
        </w:rPr>
        <w:t>И</w:t>
      </w:r>
    </w:p>
    <w:p w14:paraId="751ADF79" w14:textId="76937190"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Представлена магістерська робота є масштабним, ґрунтовним та системним дослідженням феномену політичної опозиції в сучасній Україні, що поєднує багатовимірний підхід до вивчення цього явища. </w:t>
      </w:r>
      <w:r w:rsidR="005B2DB1" w:rsidRPr="00A248F8">
        <w:rPr>
          <w:rFonts w:ascii="Times New Roman" w:hAnsi="Times New Roman" w:cs="Times New Roman"/>
          <w:sz w:val="28"/>
          <w:szCs w:val="28"/>
          <w:lang w:val="uk-UA"/>
        </w:rPr>
        <w:t>Здійснючи</w:t>
      </w:r>
      <w:r w:rsidRPr="00A248F8">
        <w:rPr>
          <w:rFonts w:ascii="Times New Roman" w:hAnsi="Times New Roman" w:cs="Times New Roman"/>
          <w:sz w:val="28"/>
          <w:szCs w:val="28"/>
        </w:rPr>
        <w:t xml:space="preserve"> глибокий аналіз опозиційної діяльності, враховуючи різні рівні та аспекти: історичний, теоретико-концептуальний, інституційний, міжнародно-порівняльний, соціально-культурний, правовий та комунікаційний. Завдяки такій міждисциплінарній методології робота значно розширює традиційні рамки політичного аналізу опозиції, створюючи комплексну картину функціонування цього інституту в Україні.</w:t>
      </w:r>
    </w:p>
    <w:p w14:paraId="05D5C7B0" w14:textId="15F046E0"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Особливої уваги заслуговує теоретична частина дослідження, в якій автор(ка) розкриває концепт політичної опозиції в контексті демократичних систем, спираючись на надбання класичної та сучасної політологічної думки (Р. Даль, Дж. Сарторі, Г. Алмонд, Д. Істон та інші). Ґрунтовне опрацювання теоретичних моделей дає змогу переосмислити опозицію не як суто реактивну силу, що протистоїть владі, а як повноцінний інститут демократичного врядування, котрий підтримує динаміку політичного процесу, забезпечує конкурентність, стримує можливі зловживання правлячих еліт, сприяє формуванню альтернативних програм розвитку держави. Такий підхід підвищує загальний рівень теоретичної аргументації та демонструє розуміння опозиції як критично необхідного компонента демократичної системи.</w:t>
      </w:r>
    </w:p>
    <w:p w14:paraId="7D9E66D0" w14:textId="7FA77CB8"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Аналіз історичного розвитку опозиційних сил з 1991 року до теперішнього часу дозволяє простежити складний шлях становлення опозиції в умовах пострадянського транзиту. Автор(ка) показує, як розмаїті та нестабільні умови — слабка інституціоналізація партійної системи, вплив олігархічних груп, відсутність усталених демократичних традицій та загрозливі безпекові виклики — формували мінливий ландшафт опозиції. Особливо цінним є відтворення «точок біфуркації»: Помаранчевої революції (2004) та Революції Гідності (2013–2014), коли опозиція виходила за рамки формальних інституційних механізмів і мобілізувала багатомільйонну </w:t>
      </w:r>
      <w:r w:rsidRPr="00A248F8">
        <w:rPr>
          <w:rFonts w:ascii="Times New Roman" w:hAnsi="Times New Roman" w:cs="Times New Roman"/>
          <w:sz w:val="28"/>
          <w:szCs w:val="28"/>
        </w:rPr>
        <w:lastRenderedPageBreak/>
        <w:t>громадську підтримку, змінюючи вектор політичного розвитку України. Такий історичний ракурс демонструє, наскільки тісно опозиція пов’язана з процесами демократизації, трансформації політичної культури та формування громадянського суспільства.</w:t>
      </w:r>
    </w:p>
    <w:p w14:paraId="3E47580C" w14:textId="220ABD4A" w:rsidR="001E472C" w:rsidRPr="00A248F8" w:rsidRDefault="005B2DB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lang w:val="uk-UA"/>
        </w:rPr>
        <w:t>Також можна</w:t>
      </w:r>
      <w:r w:rsidR="001E472C" w:rsidRPr="00A248F8">
        <w:rPr>
          <w:rFonts w:ascii="Times New Roman" w:hAnsi="Times New Roman" w:cs="Times New Roman"/>
          <w:sz w:val="28"/>
          <w:szCs w:val="28"/>
        </w:rPr>
        <w:t xml:space="preserve"> приділ</w:t>
      </w:r>
      <w:r w:rsidRPr="00A248F8">
        <w:rPr>
          <w:rFonts w:ascii="Times New Roman" w:hAnsi="Times New Roman" w:cs="Times New Roman"/>
          <w:sz w:val="28"/>
          <w:szCs w:val="28"/>
          <w:lang w:val="uk-UA"/>
        </w:rPr>
        <w:t>ити</w:t>
      </w:r>
      <w:r w:rsidR="001E472C" w:rsidRPr="00A248F8">
        <w:rPr>
          <w:rFonts w:ascii="Times New Roman" w:hAnsi="Times New Roman" w:cs="Times New Roman"/>
          <w:sz w:val="28"/>
          <w:szCs w:val="28"/>
        </w:rPr>
        <w:t xml:space="preserve"> велику увагу міжнародному виміру, що дозволяє побачити, де саме розташована Україна на світовій «мапі демократій». Вивчення досвіду країн Європейського Союзу, США, Великої Британії, а також держав Центрально-Східної Європи, які пройшли власні етапи демократичних перетворень, формує базу для порівняння. Різні інституційні моделі (парламентські, президентські, змішані республіки) та рівні демократичної зрілості стають лабораторією ідей, які Україна може застосувати для покращення власних механізмів політичного змагання. Опрацьовано міжнародні стандарти (зокрема рекомендації ОБСЄ/БДІПЛ, Венеційської комісії Ради Європи), а також звернено увагу на роль євроінтеграції та міжнародних організацій як каталізаторів реформ, що можуть надати імпульс для посилення інституційних прав опозиції.</w:t>
      </w:r>
    </w:p>
    <w:p w14:paraId="5E154BA3" w14:textId="6CAEC6B4"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Особливо вагомим є внесок у розуміння складних реалій, у яких опозиція діє після 2014 року — у стані перманентної агресії з боку РФ, анексії Криму, окупації частини Донбасу, а з 2022 року — повномасштабної війни. Політична опозиція опиняється в унікальній ситуації, коли критика влади може трактуватися як «підрив національної єдності», а розбудова демократичних стандартів — як складний баланс між безпековими потребами та політичними свободами. Аналіз таких викликів підкреслює, що опозиція в Україні функціонує в умовах екстремального тиску, коли необхідно зберігати демократичні засади без послаблення обороноздатності держави.</w:t>
      </w:r>
    </w:p>
    <w:p w14:paraId="6FA76F7F" w14:textId="3C99A07E"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 xml:space="preserve">Дослідження не обмежується правовими та інституційними рамками. Важливим внеском є аналіз впливу політичної культури, історичної пам’яті, ціннісних орієнтацій та соціологічних факторів на сприйняття опозиції. Автор(ка) враховує роль ЗМІ, соціальних мереж, блогосфери, громадських рухів та аналітичних центрів у формуванні іміджу опозиції, довіри або </w:t>
      </w:r>
      <w:r w:rsidRPr="00A248F8">
        <w:rPr>
          <w:rFonts w:ascii="Times New Roman" w:hAnsi="Times New Roman" w:cs="Times New Roman"/>
          <w:sz w:val="28"/>
          <w:szCs w:val="28"/>
        </w:rPr>
        <w:lastRenderedPageBreak/>
        <w:t>скептицизму виборців. Виявлено, що опозиція не може бути ефективною, якщо не вміє налагодити конструктивний діалог із суспільством, пропонувати громадянам чіткі та зрозумілі альтернативи, діяти прозоро й підзвітно. Здатність опозиційних сил апелювати до цінностей, історичних наративів та національної ідентичності суттєво впливає на їхню легітимність.</w:t>
      </w:r>
    </w:p>
    <w:p w14:paraId="45B5FBB2" w14:textId="07254A22"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Праця містить вагомі практичні пропозиції, які можуть стати настільними для реформаторів, депутатів, представників громадянського суспільства та міжнародних партнерів України. Зокрема, пропонуються такі заходи:</w:t>
      </w:r>
    </w:p>
    <w:p w14:paraId="7185C7A2" w14:textId="7777777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Чітке закріплення прав опозиції у парламентському регламенті, включно з правом формувати тіньовий уряд, ініціювати слухання та парламентські розслідування.</w:t>
      </w:r>
    </w:p>
    <w:p w14:paraId="3448883D" w14:textId="7777777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Реформування виборчого законодавства (пропорційна система з відкритими списками) для підвищення прозорості та зменшення впливу олігархічних ресурсів.</w:t>
      </w:r>
    </w:p>
    <w:p w14:paraId="5D9F65B3" w14:textId="7777777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Забезпечення реального медіаплюралізму, створення умов для незалежної журналістики, оприлюднення повної інформації про власників ЗМІ, підтримка фактчекінгових ініціатив.</w:t>
      </w:r>
    </w:p>
    <w:p w14:paraId="470D6030" w14:textId="7777777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Посилення парламентського контролю за виконавчою владою через надання опозиції головування у ключових комітетах (бюджетному, антикорупційному тощо).</w:t>
      </w:r>
    </w:p>
    <w:p w14:paraId="672FFB4F" w14:textId="7777777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Розвиток співпраці з міжнародними організаціями та донорськими фондами, які можуть надати технологічну, фінансову та експертну підтримку реформам, спрямованим на посилення ролі опозиції.</w:t>
      </w:r>
    </w:p>
    <w:p w14:paraId="36C8F8CA" w14:textId="7777777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Інвестиції в громадянську освіту, підвищення рівня політичної грамотності населення, підтримка громадських об’єднань, які працюють над підвищенням якості політичного процесу.</w:t>
      </w:r>
    </w:p>
    <w:p w14:paraId="4B3C5761" w14:textId="6EC20C37"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Впровадження цих рекомендацій здатне створити умови для більш стійкої та відповідальної опозиції, яка матиме інструменти впливу на владу і зможе виконувати свою демократичну роль навіть у складні перехідні часи.</w:t>
      </w:r>
    </w:p>
    <w:p w14:paraId="61E6533B" w14:textId="198287E1" w:rsidR="001E472C" w:rsidRPr="00A248F8" w:rsidRDefault="005B2DB1"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lang w:val="uk-UA"/>
        </w:rPr>
        <w:lastRenderedPageBreak/>
        <w:t>Створивши</w:t>
      </w:r>
      <w:r w:rsidR="001E472C" w:rsidRPr="00A248F8">
        <w:rPr>
          <w:rFonts w:ascii="Times New Roman" w:hAnsi="Times New Roman" w:cs="Times New Roman"/>
          <w:color w:val="FF0000"/>
          <w:sz w:val="28"/>
          <w:szCs w:val="28"/>
        </w:rPr>
        <w:t xml:space="preserve"> </w:t>
      </w:r>
      <w:r w:rsidR="001E472C" w:rsidRPr="00A248F8">
        <w:rPr>
          <w:rFonts w:ascii="Times New Roman" w:hAnsi="Times New Roman" w:cs="Times New Roman"/>
          <w:sz w:val="28"/>
          <w:szCs w:val="28"/>
        </w:rPr>
        <w:t>міцний аналітичний фундамент, на основі якого можна продовжувати дослідження питань, пов’язаних із якістю демократії, ефективністю інституцій, взаємодією громадянського суспільства та владних структур. Отримані результати можуть бути корисними для подальших наукових розвідок: зокрема, дослідження постконфліктного будівництва державних інституцій, впливу інформаційних технологій на демократію, ролі опозиції у процесах європейської інтеграції, моделей демократичного контролю над сектором безпеки та оборони.</w:t>
      </w:r>
    </w:p>
    <w:p w14:paraId="5E404C15" w14:textId="06B7E290"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Магістерська робота є вагомим внеском у розуміння того, як політична опозиція може та має функціонувати в умовах перехідної демократії, зокрема в Україні, яка одночасно прагне до європейських стандартів врядування й змушена відбивати зовнішню агресію. Робота показує опозицію не як перешкоду для влади, а як необхідний механізм забезпечення повноцінної політичної конкуренції, вироблення альтернативних рішень і захисту інтересів громадян. Завдяки комплексному аналізу, міцній теоретичній базі, залученню міжнародного досвіду, емпіричним спостереженням, соціологічній аргументації та практичним рекомендаціям, ця праця може стати дорожньою картою для розбудови демократичних механізмів і підвищення рівня довіри до політичних інститутів, у тому числі – до опозиції.</w:t>
      </w:r>
    </w:p>
    <w:p w14:paraId="69BD2D98" w14:textId="18816568" w:rsidR="001E472C" w:rsidRPr="00A248F8" w:rsidRDefault="001E472C" w:rsidP="00A248F8">
      <w:pPr>
        <w:spacing w:after="0" w:line="360" w:lineRule="auto"/>
        <w:ind w:firstLine="567"/>
        <w:jc w:val="both"/>
        <w:rPr>
          <w:rFonts w:ascii="Times New Roman" w:hAnsi="Times New Roman" w:cs="Times New Roman"/>
          <w:sz w:val="28"/>
          <w:szCs w:val="28"/>
        </w:rPr>
      </w:pPr>
      <w:r w:rsidRPr="00A248F8">
        <w:rPr>
          <w:rFonts w:ascii="Times New Roman" w:hAnsi="Times New Roman" w:cs="Times New Roman"/>
          <w:sz w:val="28"/>
          <w:szCs w:val="28"/>
        </w:rPr>
        <w:t>Зважаючи на усі наведені аспекти, можна стверджувати, що ця магістерська робота є актуальною, інноваційною та надзвичайно корисною для глибшого розуміння політичних процесів, а її висновки та рекомендації можуть послужити підґрунтям для реальних реформ в українській політичній системі.</w:t>
      </w:r>
    </w:p>
    <w:p w14:paraId="0FBFC210" w14:textId="0716A284" w:rsidR="005B2DB1" w:rsidRPr="00A248F8" w:rsidRDefault="005B2DB1" w:rsidP="00A248F8">
      <w:pPr>
        <w:spacing w:after="0" w:line="360" w:lineRule="auto"/>
        <w:jc w:val="both"/>
        <w:rPr>
          <w:rFonts w:ascii="Times New Roman" w:hAnsi="Times New Roman" w:cs="Times New Roman"/>
          <w:b/>
          <w:bCs/>
          <w:sz w:val="28"/>
          <w:szCs w:val="28"/>
        </w:rPr>
      </w:pPr>
    </w:p>
    <w:p w14:paraId="0A6545FF" w14:textId="77777777" w:rsidR="00A248F8" w:rsidRPr="00A248F8" w:rsidRDefault="00A248F8" w:rsidP="00A248F8">
      <w:pPr>
        <w:spacing w:after="0" w:line="360" w:lineRule="auto"/>
        <w:jc w:val="both"/>
        <w:rPr>
          <w:rFonts w:ascii="Times New Roman" w:hAnsi="Times New Roman" w:cs="Times New Roman"/>
          <w:b/>
          <w:bCs/>
          <w:color w:val="FF0000"/>
          <w:sz w:val="28"/>
          <w:szCs w:val="28"/>
        </w:rPr>
      </w:pPr>
    </w:p>
    <w:p w14:paraId="5C5DE0AE" w14:textId="77777777" w:rsidR="005B2DB1" w:rsidRPr="00A248F8" w:rsidRDefault="005B2DB1" w:rsidP="00A248F8">
      <w:pPr>
        <w:spacing w:after="0" w:line="360" w:lineRule="auto"/>
        <w:ind w:firstLine="567"/>
        <w:jc w:val="both"/>
        <w:rPr>
          <w:rFonts w:ascii="Times New Roman" w:hAnsi="Times New Roman" w:cs="Times New Roman"/>
          <w:sz w:val="28"/>
          <w:szCs w:val="28"/>
        </w:rPr>
      </w:pPr>
    </w:p>
    <w:p w14:paraId="2ECF59C8"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0F1FFE8C"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78E7E0BA" w14:textId="77777777" w:rsidR="00EC7D6C" w:rsidRDefault="00EC7D6C" w:rsidP="00A248F8">
      <w:pPr>
        <w:spacing w:after="0" w:line="360" w:lineRule="auto"/>
        <w:ind w:firstLine="567"/>
        <w:jc w:val="both"/>
        <w:rPr>
          <w:rFonts w:ascii="Times New Roman" w:hAnsi="Times New Roman" w:cs="Times New Roman"/>
          <w:b/>
          <w:bCs/>
          <w:sz w:val="28"/>
          <w:szCs w:val="28"/>
          <w:lang w:val="uk-UA"/>
        </w:rPr>
      </w:pPr>
    </w:p>
    <w:p w14:paraId="4EDC2A89" w14:textId="35A4C728" w:rsidR="00817E7F" w:rsidRPr="00A248F8" w:rsidRDefault="004F507F" w:rsidP="004F507F">
      <w:pPr>
        <w:spacing w:after="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СПИСОК ВИКОРИСТАНИХ </w:t>
      </w:r>
      <w:r w:rsidR="00817E7F" w:rsidRPr="00A248F8">
        <w:rPr>
          <w:rFonts w:ascii="Times New Roman" w:hAnsi="Times New Roman" w:cs="Times New Roman"/>
          <w:b/>
          <w:bCs/>
          <w:sz w:val="28"/>
          <w:szCs w:val="28"/>
          <w:lang w:val="uk-UA"/>
        </w:rPr>
        <w:t>ДЖЕРЕЛ</w:t>
      </w:r>
    </w:p>
    <w:p w14:paraId="0CF9FEEB"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Andrew Wilson. Ukraine Crisis: What It Means for the West. – ISBN: 978-0300211596.</w:t>
      </w:r>
    </w:p>
    <w:p w14:paraId="6DB52947" w14:textId="27E13E10"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Dahl, R. A. Polyarchy: Participation and Opposition. – New Haven: Yale University Press, 1971. – 37</w:t>
      </w:r>
      <w:r w:rsidR="00A248F8" w:rsidRPr="00A248F8">
        <w:rPr>
          <w:rFonts w:ascii="Times New Roman" w:hAnsi="Times New Roman" w:cs="Times New Roman"/>
          <w:sz w:val="28"/>
          <w:szCs w:val="28"/>
          <w:lang w:val="uk-UA"/>
        </w:rPr>
        <w:t>3</w:t>
      </w:r>
      <w:r w:rsidRPr="00A248F8">
        <w:rPr>
          <w:rFonts w:ascii="Times New Roman" w:hAnsi="Times New Roman" w:cs="Times New Roman"/>
          <w:sz w:val="28"/>
          <w:szCs w:val="28"/>
        </w:rPr>
        <w:t xml:space="preserve"> с. – ISBN 978-0300015652.</w:t>
      </w:r>
    </w:p>
    <w:p w14:paraId="59FD7391"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Європейська конвенція з прав людини (1950). – URL: https://www.echr.coe.int/Documents/Convention_UKR.pdf</w:t>
      </w:r>
    </w:p>
    <w:p w14:paraId="6B47555E"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Freedom House. Nations in Transit 2023: Ukraine. – 2023. – URL: https://freedomhouse.org/report/nations-transit/2023/ukraine</w:t>
      </w:r>
    </w:p>
    <w:p w14:paraId="2AA2F33B" w14:textId="563D66C3"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Habermas, J. The Structural Transformation of the Public Sphere. – Cambridge: Polity Press, 1989. – </w:t>
      </w:r>
      <w:r w:rsidR="00A248F8" w:rsidRPr="00A248F8">
        <w:rPr>
          <w:rFonts w:ascii="Times New Roman" w:hAnsi="Times New Roman" w:cs="Times New Roman"/>
          <w:sz w:val="28"/>
          <w:szCs w:val="28"/>
          <w:lang w:val="uk-UA"/>
        </w:rPr>
        <w:t>2</w:t>
      </w:r>
      <w:r w:rsidRPr="00A248F8">
        <w:rPr>
          <w:rFonts w:ascii="Times New Roman" w:hAnsi="Times New Roman" w:cs="Times New Roman"/>
          <w:sz w:val="28"/>
          <w:szCs w:val="28"/>
        </w:rPr>
        <w:t>01 с. – ISBN 978-0745610771.</w:t>
      </w:r>
    </w:p>
    <w:p w14:paraId="4859F07B" w14:textId="55B1C185"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Hale, Henry E. "Democracy or Autocracy on the March? The Colored Revolutions as Normal Dynamics of Patronal Presidentialism." // Communist and Post-Communist Studies. – 2006. – Vol. 39 (3). – С. 30</w:t>
      </w:r>
      <w:r w:rsidR="00A248F8" w:rsidRPr="00A248F8">
        <w:rPr>
          <w:rFonts w:ascii="Times New Roman" w:hAnsi="Times New Roman" w:cs="Times New Roman"/>
          <w:sz w:val="28"/>
          <w:szCs w:val="28"/>
          <w:lang w:val="uk-UA"/>
        </w:rPr>
        <w:t>1</w:t>
      </w:r>
      <w:r w:rsidRPr="00A248F8">
        <w:rPr>
          <w:rFonts w:ascii="Times New Roman" w:hAnsi="Times New Roman" w:cs="Times New Roman"/>
          <w:sz w:val="28"/>
          <w:szCs w:val="28"/>
        </w:rPr>
        <w:t>–3</w:t>
      </w:r>
      <w:r w:rsidR="00A248F8" w:rsidRPr="00A248F8">
        <w:rPr>
          <w:rFonts w:ascii="Times New Roman" w:hAnsi="Times New Roman" w:cs="Times New Roman"/>
          <w:sz w:val="28"/>
          <w:szCs w:val="28"/>
          <w:lang w:val="uk-UA"/>
        </w:rPr>
        <w:t>02</w:t>
      </w:r>
      <w:r w:rsidRPr="00A248F8">
        <w:rPr>
          <w:rFonts w:ascii="Times New Roman" w:hAnsi="Times New Roman" w:cs="Times New Roman"/>
          <w:sz w:val="28"/>
          <w:szCs w:val="28"/>
        </w:rPr>
        <w:t>.</w:t>
      </w:r>
    </w:p>
    <w:p w14:paraId="3D6B748D" w14:textId="7F15B4F0"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Havrylyshyn, Oleh. "The Political Economy of Delayed Reform in Ukraine." // In Ukraine: The Search for a National Identity / Ed. by Sharon Wolchik and Volodymyr Zviglyanich. – Lanham, MD: Rowman and Littlefield, 2000. – С. </w:t>
      </w:r>
      <w:r w:rsidR="00A248F8" w:rsidRPr="00A248F8">
        <w:rPr>
          <w:rFonts w:ascii="Times New Roman" w:hAnsi="Times New Roman" w:cs="Times New Roman"/>
          <w:sz w:val="28"/>
          <w:szCs w:val="28"/>
          <w:lang w:val="uk-UA"/>
        </w:rPr>
        <w:t>45</w:t>
      </w:r>
      <w:r w:rsidRPr="00A248F8">
        <w:rPr>
          <w:rFonts w:ascii="Times New Roman" w:hAnsi="Times New Roman" w:cs="Times New Roman"/>
          <w:sz w:val="28"/>
          <w:szCs w:val="28"/>
        </w:rPr>
        <w:t>–6</w:t>
      </w:r>
      <w:r w:rsidR="00A248F8" w:rsidRPr="00A248F8">
        <w:rPr>
          <w:rFonts w:ascii="Times New Roman" w:hAnsi="Times New Roman" w:cs="Times New Roman"/>
          <w:sz w:val="28"/>
          <w:szCs w:val="28"/>
          <w:lang w:val="uk-UA"/>
        </w:rPr>
        <w:t>7</w:t>
      </w:r>
      <w:r w:rsidRPr="00A248F8">
        <w:rPr>
          <w:rFonts w:ascii="Times New Roman" w:hAnsi="Times New Roman" w:cs="Times New Roman"/>
          <w:sz w:val="28"/>
          <w:szCs w:val="28"/>
        </w:rPr>
        <w:t>.</w:t>
      </w:r>
    </w:p>
    <w:p w14:paraId="5E632534" w14:textId="6ED270EB"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Hellman, Joel S. "Winners Take All: The Politics of Partial Reform in Postcommunist Transitions." // World Politics. – 1998. – Vol. 50 (2). – С. 203–23</w:t>
      </w:r>
      <w:r w:rsidR="00A248F8" w:rsidRPr="00A248F8">
        <w:rPr>
          <w:rFonts w:ascii="Times New Roman" w:hAnsi="Times New Roman" w:cs="Times New Roman"/>
          <w:sz w:val="28"/>
          <w:szCs w:val="28"/>
          <w:lang w:val="uk-UA"/>
        </w:rPr>
        <w:t>4</w:t>
      </w:r>
      <w:r w:rsidRPr="00A248F8">
        <w:rPr>
          <w:rFonts w:ascii="Times New Roman" w:hAnsi="Times New Roman" w:cs="Times New Roman"/>
          <w:sz w:val="28"/>
          <w:szCs w:val="28"/>
        </w:rPr>
        <w:t>.</w:t>
      </w:r>
    </w:p>
    <w:p w14:paraId="1C972FE2" w14:textId="7A3AD938"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Hellman, Joel S., and Daniel Kaufmann. Confronting the Challenges of State Capture in Transition Economies. – Washington, DC: IMF, 2001. – 7</w:t>
      </w:r>
      <w:r w:rsidR="00A248F8" w:rsidRPr="00A248F8">
        <w:rPr>
          <w:rFonts w:ascii="Times New Roman" w:hAnsi="Times New Roman" w:cs="Times New Roman"/>
          <w:sz w:val="28"/>
          <w:szCs w:val="28"/>
          <w:lang w:val="uk-UA"/>
        </w:rPr>
        <w:t>1</w:t>
      </w:r>
      <w:r w:rsidRPr="00A248F8">
        <w:rPr>
          <w:rFonts w:ascii="Times New Roman" w:hAnsi="Times New Roman" w:cs="Times New Roman"/>
          <w:sz w:val="28"/>
          <w:szCs w:val="28"/>
        </w:rPr>
        <w:t xml:space="preserve"> с.</w:t>
      </w:r>
    </w:p>
    <w:p w14:paraId="6F14AB78" w14:textId="60C606B1"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Helmke, Gretchen, and Steven Levitsky. "Informal Institutions and Comparative Politics: A Reform Agenda." // Perspectives on Politics. – 2004. – Vol. 2. – С. 72</w:t>
      </w:r>
      <w:r w:rsidR="00A248F8" w:rsidRPr="00A248F8">
        <w:rPr>
          <w:rFonts w:ascii="Times New Roman" w:hAnsi="Times New Roman" w:cs="Times New Roman"/>
          <w:sz w:val="28"/>
          <w:szCs w:val="28"/>
          <w:lang w:val="uk-UA"/>
        </w:rPr>
        <w:t>4</w:t>
      </w:r>
      <w:r w:rsidRPr="00A248F8">
        <w:rPr>
          <w:rFonts w:ascii="Times New Roman" w:hAnsi="Times New Roman" w:cs="Times New Roman"/>
          <w:sz w:val="28"/>
          <w:szCs w:val="28"/>
        </w:rPr>
        <w:t>–7</w:t>
      </w:r>
      <w:r w:rsidR="00A248F8" w:rsidRPr="00A248F8">
        <w:rPr>
          <w:rFonts w:ascii="Times New Roman" w:hAnsi="Times New Roman" w:cs="Times New Roman"/>
          <w:sz w:val="28"/>
          <w:szCs w:val="28"/>
          <w:lang w:val="uk-UA"/>
        </w:rPr>
        <w:t>39</w:t>
      </w:r>
      <w:r w:rsidRPr="00A248F8">
        <w:rPr>
          <w:rFonts w:ascii="Times New Roman" w:hAnsi="Times New Roman" w:cs="Times New Roman"/>
          <w:sz w:val="28"/>
          <w:szCs w:val="28"/>
        </w:rPr>
        <w:t>.</w:t>
      </w:r>
    </w:p>
    <w:p w14:paraId="0703078B" w14:textId="647EC04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Hendley, Kathryn. "Rewriting the Rules of the Game in Russia: The Neglected Issue of the Demand for Law." // East European Constitutional Review. – 1999. – Vol. 8 (4). – С. </w:t>
      </w:r>
      <w:r w:rsidR="00A248F8" w:rsidRPr="00A248F8">
        <w:rPr>
          <w:rFonts w:ascii="Times New Roman" w:hAnsi="Times New Roman" w:cs="Times New Roman"/>
          <w:sz w:val="28"/>
          <w:szCs w:val="28"/>
          <w:lang w:val="uk-UA"/>
        </w:rPr>
        <w:t>90</w:t>
      </w:r>
      <w:r w:rsidRPr="00A248F8">
        <w:rPr>
          <w:rFonts w:ascii="Times New Roman" w:hAnsi="Times New Roman" w:cs="Times New Roman"/>
          <w:sz w:val="28"/>
          <w:szCs w:val="28"/>
        </w:rPr>
        <w:t>–95.</w:t>
      </w:r>
    </w:p>
    <w:p w14:paraId="1A45172C"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lastRenderedPageBreak/>
        <w:t>Hix, S. What's Wrong with the European Union and How to Fix It. – Cambridge: Polity, 2008.</w:t>
      </w:r>
    </w:p>
    <w:p w14:paraId="6796A4E2" w14:textId="01B3A7D8"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Lijphart, A. Patterns of Democracy: Government Forms and Performance in Thirty-Six Countries. – New Haven: Yale University Press, 1999. – 35</w:t>
      </w:r>
      <w:r w:rsidRPr="00A248F8">
        <w:rPr>
          <w:rFonts w:ascii="Times New Roman" w:hAnsi="Times New Roman" w:cs="Times New Roman"/>
          <w:sz w:val="28"/>
          <w:szCs w:val="28"/>
          <w:lang w:val="uk-UA"/>
        </w:rPr>
        <w:t>-0</w:t>
      </w:r>
      <w:r w:rsidRPr="00A248F8">
        <w:rPr>
          <w:rFonts w:ascii="Times New Roman" w:hAnsi="Times New Roman" w:cs="Times New Roman"/>
          <w:sz w:val="28"/>
          <w:szCs w:val="28"/>
        </w:rPr>
        <w:t>с. – ISBN 978-0300078930.</w:t>
      </w:r>
    </w:p>
    <w:p w14:paraId="19407142" w14:textId="1443D62D"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Ravishankar N. "The cost of ruling: Anti-incumbency in elections." // Economic and Political Weekly. – 2009. – С. 9</w:t>
      </w:r>
      <w:r w:rsidRPr="00A248F8">
        <w:rPr>
          <w:rFonts w:ascii="Times New Roman" w:hAnsi="Times New Roman" w:cs="Times New Roman"/>
          <w:sz w:val="28"/>
          <w:szCs w:val="28"/>
          <w:lang w:val="uk-UA"/>
        </w:rPr>
        <w:t>1</w:t>
      </w:r>
      <w:r w:rsidRPr="00A248F8">
        <w:rPr>
          <w:rFonts w:ascii="Times New Roman" w:hAnsi="Times New Roman" w:cs="Times New Roman"/>
          <w:sz w:val="28"/>
          <w:szCs w:val="28"/>
        </w:rPr>
        <w:t>–9</w:t>
      </w:r>
      <w:r w:rsidRPr="00A248F8">
        <w:rPr>
          <w:rFonts w:ascii="Times New Roman" w:hAnsi="Times New Roman" w:cs="Times New Roman"/>
          <w:sz w:val="28"/>
          <w:szCs w:val="28"/>
          <w:lang w:val="uk-UA"/>
        </w:rPr>
        <w:t>7</w:t>
      </w:r>
      <w:r w:rsidRPr="00A248F8">
        <w:rPr>
          <w:rFonts w:ascii="Times New Roman" w:hAnsi="Times New Roman" w:cs="Times New Roman"/>
          <w:sz w:val="28"/>
          <w:szCs w:val="28"/>
        </w:rPr>
        <w:t>.</w:t>
      </w:r>
    </w:p>
    <w:p w14:paraId="5845ADD1" w14:textId="5102AEE2"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Андрущенко В. П. Інституціоналізація політичної опозиції в Україні. – Київ: Наукова думка, 2020. – </w:t>
      </w:r>
      <w:r w:rsidRPr="00A248F8">
        <w:rPr>
          <w:rFonts w:ascii="Times New Roman" w:hAnsi="Times New Roman" w:cs="Times New Roman"/>
          <w:sz w:val="28"/>
          <w:szCs w:val="28"/>
          <w:lang w:val="uk-UA"/>
        </w:rPr>
        <w:t>247-</w:t>
      </w:r>
      <w:r w:rsidRPr="00A248F8">
        <w:rPr>
          <w:rFonts w:ascii="Times New Roman" w:hAnsi="Times New Roman" w:cs="Times New Roman"/>
          <w:sz w:val="28"/>
          <w:szCs w:val="28"/>
        </w:rPr>
        <w:t>248 с.</w:t>
      </w:r>
    </w:p>
    <w:p w14:paraId="042A17A7" w14:textId="77777777" w:rsidR="004E7A9B" w:rsidRPr="004F507F" w:rsidRDefault="004E7A9B" w:rsidP="00A248F8">
      <w:pPr>
        <w:pStyle w:val="a5"/>
        <w:numPr>
          <w:ilvl w:val="0"/>
          <w:numId w:val="4"/>
        </w:numPr>
        <w:spacing w:after="0" w:line="360" w:lineRule="auto"/>
        <w:jc w:val="both"/>
        <w:rPr>
          <w:rFonts w:ascii="Times New Roman" w:hAnsi="Times New Roman" w:cs="Times New Roman"/>
          <w:color w:val="000000" w:themeColor="text1"/>
          <w:sz w:val="28"/>
          <w:szCs w:val="28"/>
        </w:rPr>
      </w:pPr>
      <w:r w:rsidRPr="004F507F">
        <w:rPr>
          <w:rFonts w:ascii="Times New Roman" w:hAnsi="Times New Roman" w:cs="Times New Roman"/>
          <w:color w:val="000000" w:themeColor="text1"/>
          <w:sz w:val="28"/>
          <w:szCs w:val="28"/>
        </w:rPr>
        <w:t>Веніславський Ф. В. Конституційні основи взаємовідносин законодавчої та виконавчої влади в Україні : автореф. дис. ... канд. юрид. наук : 12.00.02. – Харків, 2000. – 22 с.</w:t>
      </w:r>
    </w:p>
    <w:p w14:paraId="5DDA0449"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Закон України "Про об'єднання громадян" (1992). – URL: https://zakon.rada.gov.ua/laws/show/2460-12</w:t>
      </w:r>
    </w:p>
    <w:p w14:paraId="0FE33B37"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Закон України "Про статус народного депутата України". – URL: https://zakon.rada.gov.ua/laws/show/2790-12</w:t>
      </w:r>
    </w:p>
    <w:p w14:paraId="1B636687"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"Інформаційно-аналітичні матеріали «Парламент і парламентські вибори в Україні 2012 р.".</w:t>
      </w:r>
    </w:p>
    <w:p w14:paraId="4F610FB3" w14:textId="02FB09F3"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Ключковський Ю. Б. Принципи виборчого права. – Київ: Ваіте, 2018. – </w:t>
      </w:r>
      <w:r w:rsidRPr="00A248F8">
        <w:rPr>
          <w:rFonts w:ascii="Times New Roman" w:hAnsi="Times New Roman" w:cs="Times New Roman"/>
          <w:sz w:val="28"/>
          <w:szCs w:val="28"/>
          <w:lang w:val="uk-UA"/>
        </w:rPr>
        <w:t>900-</w:t>
      </w:r>
      <w:r w:rsidRPr="00A248F8">
        <w:rPr>
          <w:rFonts w:ascii="Times New Roman" w:hAnsi="Times New Roman" w:cs="Times New Roman"/>
          <w:sz w:val="28"/>
          <w:szCs w:val="28"/>
        </w:rPr>
        <w:t>90</w:t>
      </w:r>
      <w:r w:rsidRPr="00A248F8">
        <w:rPr>
          <w:rFonts w:ascii="Times New Roman" w:hAnsi="Times New Roman" w:cs="Times New Roman"/>
          <w:sz w:val="28"/>
          <w:szCs w:val="28"/>
          <w:lang w:val="uk-UA"/>
        </w:rPr>
        <w:t>7</w:t>
      </w:r>
      <w:r w:rsidRPr="00A248F8">
        <w:rPr>
          <w:rFonts w:ascii="Times New Roman" w:hAnsi="Times New Roman" w:cs="Times New Roman"/>
          <w:sz w:val="28"/>
          <w:szCs w:val="28"/>
        </w:rPr>
        <w:t xml:space="preserve"> с.</w:t>
      </w:r>
    </w:p>
    <w:p w14:paraId="59A42AE1" w14:textId="4137EC58"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Козюбра М. "Принцип верховенства права і реформа виборчої системи." // Вибори та демократія. – 2008. – № 4. – С. 8</w:t>
      </w:r>
      <w:r w:rsidRPr="00A248F8">
        <w:rPr>
          <w:rFonts w:ascii="Times New Roman" w:hAnsi="Times New Roman" w:cs="Times New Roman"/>
          <w:sz w:val="28"/>
          <w:szCs w:val="28"/>
          <w:lang w:val="uk-UA"/>
        </w:rPr>
        <w:t>0</w:t>
      </w:r>
      <w:r w:rsidRPr="00A248F8">
        <w:rPr>
          <w:rFonts w:ascii="Times New Roman" w:hAnsi="Times New Roman" w:cs="Times New Roman"/>
          <w:sz w:val="28"/>
          <w:szCs w:val="28"/>
        </w:rPr>
        <w:t>–87.</w:t>
      </w:r>
    </w:p>
    <w:p w14:paraId="0A0DE650"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Конституція України. – 1996. – URL: https://zakon.rada.gov.ua/laws/show/254к/96-вр</w:t>
      </w:r>
    </w:p>
    <w:p w14:paraId="5249461B" w14:textId="7A71B043"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Макушев П. В., Сибіряков С. О. "Громадянська та правова культури." // Право і суспільство. – 2006. – № 3. – С. 3</w:t>
      </w:r>
      <w:r w:rsidRPr="00A248F8">
        <w:rPr>
          <w:rFonts w:ascii="Times New Roman" w:hAnsi="Times New Roman" w:cs="Times New Roman"/>
          <w:sz w:val="28"/>
          <w:szCs w:val="28"/>
          <w:lang w:val="uk-UA"/>
        </w:rPr>
        <w:t>0</w:t>
      </w:r>
      <w:r w:rsidRPr="00A248F8">
        <w:rPr>
          <w:rFonts w:ascii="Times New Roman" w:hAnsi="Times New Roman" w:cs="Times New Roman"/>
          <w:sz w:val="28"/>
          <w:szCs w:val="28"/>
        </w:rPr>
        <w:t>–3</w:t>
      </w:r>
      <w:r w:rsidRPr="00A248F8">
        <w:rPr>
          <w:rFonts w:ascii="Times New Roman" w:hAnsi="Times New Roman" w:cs="Times New Roman"/>
          <w:sz w:val="28"/>
          <w:szCs w:val="28"/>
          <w:lang w:val="uk-UA"/>
        </w:rPr>
        <w:t>8</w:t>
      </w:r>
      <w:r w:rsidRPr="00A248F8">
        <w:rPr>
          <w:rFonts w:ascii="Times New Roman" w:hAnsi="Times New Roman" w:cs="Times New Roman"/>
          <w:sz w:val="28"/>
          <w:szCs w:val="28"/>
        </w:rPr>
        <w:t>.</w:t>
      </w:r>
    </w:p>
    <w:p w14:paraId="77CEFFD1" w14:textId="4F3CD5DC" w:rsidR="000D5B6D"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Мірошниченко Ю. "Формування парламентської більшості: проблеми та перспективи." // Формування парламентської більшості. Стан, проблеми, перспективи: Матеріали круглого столу. – Київ: Видавничий Дім “Юридична книга”, 2010. – С. 74–7</w:t>
      </w:r>
      <w:r w:rsidRPr="00A248F8">
        <w:rPr>
          <w:rFonts w:ascii="Times New Roman" w:hAnsi="Times New Roman" w:cs="Times New Roman"/>
          <w:sz w:val="28"/>
          <w:szCs w:val="28"/>
          <w:lang w:val="uk-UA"/>
        </w:rPr>
        <w:t>7</w:t>
      </w:r>
      <w:r w:rsidRPr="00A248F8">
        <w:rPr>
          <w:rFonts w:ascii="Times New Roman" w:hAnsi="Times New Roman" w:cs="Times New Roman"/>
          <w:sz w:val="28"/>
          <w:szCs w:val="28"/>
        </w:rPr>
        <w:t>.</w:t>
      </w:r>
    </w:p>
    <w:p w14:paraId="4CEEE965" w14:textId="1FFEC2E0"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lastRenderedPageBreak/>
        <w:t>Мироненко В. П. "Комплексний підхід до типологізації парламентських коаліцій." // Держава і право. Юридичні і політичні науки. – 2014. – Вип. 66. – С. 33</w:t>
      </w:r>
      <w:r w:rsidRPr="00A248F8">
        <w:rPr>
          <w:rFonts w:ascii="Times New Roman" w:hAnsi="Times New Roman" w:cs="Times New Roman"/>
          <w:sz w:val="28"/>
          <w:szCs w:val="28"/>
          <w:lang w:val="uk-UA"/>
        </w:rPr>
        <w:t>8</w:t>
      </w:r>
      <w:r w:rsidRPr="00A248F8">
        <w:rPr>
          <w:rFonts w:ascii="Times New Roman" w:hAnsi="Times New Roman" w:cs="Times New Roman"/>
          <w:sz w:val="28"/>
          <w:szCs w:val="28"/>
        </w:rPr>
        <w:t>–34</w:t>
      </w:r>
      <w:r w:rsidRPr="00A248F8">
        <w:rPr>
          <w:rFonts w:ascii="Times New Roman" w:hAnsi="Times New Roman" w:cs="Times New Roman"/>
          <w:sz w:val="28"/>
          <w:szCs w:val="28"/>
          <w:lang w:val="uk-UA"/>
        </w:rPr>
        <w:t>6</w:t>
      </w:r>
      <w:r w:rsidRPr="00A248F8">
        <w:rPr>
          <w:rFonts w:ascii="Times New Roman" w:hAnsi="Times New Roman" w:cs="Times New Roman"/>
          <w:sz w:val="28"/>
          <w:szCs w:val="28"/>
        </w:rPr>
        <w:t>. – URL: http://nbuv.gov.ua/UJRN/dip_2014_66_42_43</w:t>
      </w:r>
    </w:p>
    <w:p w14:paraId="047CA79B"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Мохончук Б. С., Чиріна В. Л. "Питання реалізації активного виборчого права ВПО в Україні." // Форум Права. – 2018. – № 2. – С. 81–89. – DOI: https://doi.org/10.5281/zenodo.1286091</w:t>
      </w:r>
    </w:p>
    <w:p w14:paraId="3D36859A" w14:textId="4E741C71"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Нестерович В. Ф. Виборча кампанія: словник сленгових термінів та виразів. – Київ: Ліра-К, 2020. </w:t>
      </w:r>
      <w:r w:rsidRPr="00A248F8">
        <w:rPr>
          <w:rFonts w:ascii="Times New Roman" w:hAnsi="Times New Roman" w:cs="Times New Roman"/>
          <w:sz w:val="28"/>
          <w:szCs w:val="28"/>
          <w:lang w:val="uk-UA"/>
        </w:rPr>
        <w:t xml:space="preserve">639 </w:t>
      </w:r>
      <w:r w:rsidRPr="00A248F8">
        <w:rPr>
          <w:rFonts w:ascii="Times New Roman" w:hAnsi="Times New Roman" w:cs="Times New Roman"/>
          <w:sz w:val="28"/>
          <w:szCs w:val="28"/>
        </w:rPr>
        <w:t>– 6</w:t>
      </w:r>
      <w:r w:rsidRPr="00A248F8">
        <w:rPr>
          <w:rFonts w:ascii="Times New Roman" w:hAnsi="Times New Roman" w:cs="Times New Roman"/>
          <w:sz w:val="28"/>
          <w:szCs w:val="28"/>
          <w:lang w:val="uk-UA"/>
        </w:rPr>
        <w:t>50</w:t>
      </w:r>
      <w:r w:rsidRPr="00A248F8">
        <w:rPr>
          <w:rFonts w:ascii="Times New Roman" w:hAnsi="Times New Roman" w:cs="Times New Roman"/>
          <w:sz w:val="28"/>
          <w:szCs w:val="28"/>
        </w:rPr>
        <w:t xml:space="preserve"> с.</w:t>
      </w:r>
    </w:p>
    <w:p w14:paraId="6FB049CC" w14:textId="0E989ECA"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Нестерович В. Ф. "Поняття виборчої системи та її основні розуміння в конституційному праві." // Публічне право. – 2019. – № 1. – С. </w:t>
      </w:r>
      <w:r w:rsidRPr="00A248F8">
        <w:rPr>
          <w:rFonts w:ascii="Times New Roman" w:hAnsi="Times New Roman" w:cs="Times New Roman"/>
          <w:sz w:val="28"/>
          <w:szCs w:val="28"/>
          <w:lang w:val="uk-UA"/>
        </w:rPr>
        <w:t>15</w:t>
      </w:r>
      <w:r w:rsidRPr="00A248F8">
        <w:rPr>
          <w:rFonts w:ascii="Times New Roman" w:hAnsi="Times New Roman" w:cs="Times New Roman"/>
          <w:sz w:val="28"/>
          <w:szCs w:val="28"/>
        </w:rPr>
        <w:t>–</w:t>
      </w:r>
      <w:r w:rsidRPr="00A248F8">
        <w:rPr>
          <w:rFonts w:ascii="Times New Roman" w:hAnsi="Times New Roman" w:cs="Times New Roman"/>
          <w:sz w:val="28"/>
          <w:szCs w:val="28"/>
          <w:lang w:val="uk-UA"/>
        </w:rPr>
        <w:t>30</w:t>
      </w:r>
      <w:r w:rsidRPr="00A248F8">
        <w:rPr>
          <w:rFonts w:ascii="Times New Roman" w:hAnsi="Times New Roman" w:cs="Times New Roman"/>
          <w:sz w:val="28"/>
          <w:szCs w:val="28"/>
        </w:rPr>
        <w:t>.</w:t>
      </w:r>
    </w:p>
    <w:p w14:paraId="590C03AE"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"Опозиція справжня й удавана. Хто може врятувати "монобільшість"." – URL: https://www.pravda.com.ua/articles/2024/04/18/7451706/</w:t>
      </w:r>
    </w:p>
    <w:p w14:paraId="3CF60BB1" w14:textId="5AE93A6E"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Партійне законодавство та розвиток політичних партій в Україні / М. М. Розумний, І. А. Павленко. – Київ: НІСД, 2015. </w:t>
      </w:r>
      <w:r w:rsidRPr="00A248F8">
        <w:rPr>
          <w:rFonts w:ascii="Times New Roman" w:hAnsi="Times New Roman" w:cs="Times New Roman"/>
          <w:sz w:val="28"/>
          <w:szCs w:val="28"/>
          <w:lang w:val="uk-UA"/>
        </w:rPr>
        <w:t xml:space="preserve">19 </w:t>
      </w:r>
      <w:r w:rsidRPr="00A248F8">
        <w:rPr>
          <w:rFonts w:ascii="Times New Roman" w:hAnsi="Times New Roman" w:cs="Times New Roman"/>
          <w:sz w:val="28"/>
          <w:szCs w:val="28"/>
        </w:rPr>
        <w:t>– 2</w:t>
      </w:r>
      <w:r w:rsidRPr="00A248F8">
        <w:rPr>
          <w:rFonts w:ascii="Times New Roman" w:hAnsi="Times New Roman" w:cs="Times New Roman"/>
          <w:sz w:val="28"/>
          <w:szCs w:val="28"/>
          <w:lang w:val="uk-UA"/>
        </w:rPr>
        <w:t>1</w:t>
      </w:r>
      <w:r w:rsidRPr="00A248F8">
        <w:rPr>
          <w:rFonts w:ascii="Times New Roman" w:hAnsi="Times New Roman" w:cs="Times New Roman"/>
          <w:sz w:val="28"/>
          <w:szCs w:val="28"/>
        </w:rPr>
        <w:t xml:space="preserve"> с.</w:t>
      </w:r>
    </w:p>
    <w:p w14:paraId="462B6B34" w14:textId="71FA05F2"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Погорілко В. Ф., Федоренко В. Л. Конституційне право України: підручник. – 2-ге вид., переробл. та доопр. – Київ: Прав. єдність: Алерта, 2010. </w:t>
      </w:r>
      <w:r w:rsidRPr="00A248F8">
        <w:rPr>
          <w:rFonts w:ascii="Times New Roman" w:hAnsi="Times New Roman" w:cs="Times New Roman"/>
          <w:sz w:val="28"/>
          <w:szCs w:val="28"/>
          <w:lang w:val="uk-UA"/>
        </w:rPr>
        <w:t xml:space="preserve">399 </w:t>
      </w:r>
      <w:r w:rsidRPr="00A248F8">
        <w:rPr>
          <w:rFonts w:ascii="Times New Roman" w:hAnsi="Times New Roman" w:cs="Times New Roman"/>
          <w:sz w:val="28"/>
          <w:szCs w:val="28"/>
        </w:rPr>
        <w:t>– 43</w:t>
      </w:r>
      <w:r w:rsidRPr="00A248F8">
        <w:rPr>
          <w:rFonts w:ascii="Times New Roman" w:hAnsi="Times New Roman" w:cs="Times New Roman"/>
          <w:sz w:val="28"/>
          <w:szCs w:val="28"/>
          <w:lang w:val="uk-UA"/>
        </w:rPr>
        <w:t>1</w:t>
      </w:r>
      <w:r w:rsidRPr="00A248F8">
        <w:rPr>
          <w:rFonts w:ascii="Times New Roman" w:hAnsi="Times New Roman" w:cs="Times New Roman"/>
          <w:sz w:val="28"/>
          <w:szCs w:val="28"/>
        </w:rPr>
        <w:t xml:space="preserve"> с.</w:t>
      </w:r>
    </w:p>
    <w:p w14:paraId="0ABC84EF" w14:textId="0DC1FDB0"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Політична влада і опозиція в Україні: порівняльний аналіз із зарубіжними країнами [монографія] / [Ф. М. Рудич та ін. ; за заг. ред. Ф. М. Рудича] ; НАН України, Ін-т політ. і етнонац. дослідж. ім. І. Ф. Кураса. – Київ: ІПіЕНД, 2016. </w:t>
      </w:r>
      <w:r w:rsidRPr="00A248F8">
        <w:rPr>
          <w:rFonts w:ascii="Times New Roman" w:hAnsi="Times New Roman" w:cs="Times New Roman"/>
          <w:sz w:val="28"/>
          <w:szCs w:val="28"/>
          <w:lang w:val="uk-UA"/>
        </w:rPr>
        <w:t>479</w:t>
      </w:r>
      <w:r w:rsidRPr="00A248F8">
        <w:rPr>
          <w:rFonts w:ascii="Times New Roman" w:hAnsi="Times New Roman" w:cs="Times New Roman"/>
          <w:sz w:val="28"/>
          <w:szCs w:val="28"/>
        </w:rPr>
        <w:t>– 48</w:t>
      </w:r>
      <w:r w:rsidRPr="00A248F8">
        <w:rPr>
          <w:rFonts w:ascii="Times New Roman" w:hAnsi="Times New Roman" w:cs="Times New Roman"/>
          <w:sz w:val="28"/>
          <w:szCs w:val="28"/>
          <w:lang w:val="uk-UA"/>
        </w:rPr>
        <w:t>5</w:t>
      </w:r>
      <w:r w:rsidRPr="00A248F8">
        <w:rPr>
          <w:rFonts w:ascii="Times New Roman" w:hAnsi="Times New Roman" w:cs="Times New Roman"/>
          <w:sz w:val="28"/>
          <w:szCs w:val="28"/>
        </w:rPr>
        <w:t xml:space="preserve"> с.</w:t>
      </w:r>
    </w:p>
    <w:p w14:paraId="7D446C88"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Про Кабінет Міністрів України: Закон від 27.02.2014 № 794-VII. // Відомості Верховної Ради України. – 2014. – № 13. – Ст. 222. – URL: https://zakon.rada.gov.ua/laws/show/794-18</w:t>
      </w:r>
    </w:p>
    <w:p w14:paraId="4504A7F3"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Про Регламент Верховної Ради України: Закон, Регламент від 10.02.2010 № 1861-VI. // Відомості ВР України. – 2010. – № 14-15, № 16-17. – Ст. 133. – URL: https://zakon.rada.gov.ua/laws/show/186117</w:t>
      </w:r>
    </w:p>
    <w:p w14:paraId="5EABE992"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"Рада заборонила проросійські партії: як працюватиме закон." – URL: https://politic.karpat.in.ua/?p=47875&amp;lang=uk</w:t>
      </w:r>
    </w:p>
    <w:p w14:paraId="042C6D25"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lastRenderedPageBreak/>
        <w:t>Рибачок С. "Конституційно-правове регулювання порядку створення, діяльності та заборони політичних партій." – URL: https://eprints.oa.edu.ua/1558/1/rybachok_121205.pdf</w:t>
      </w:r>
    </w:p>
    <w:p w14:paraId="3763D585" w14:textId="66C1FD15"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Рішення Великої палати Конституційного Суду України у справі щодо конституційності Закону "Про засудження комуністичного та нацистського режимів…" від 16.07.2019 № 9-р/2019. </w:t>
      </w:r>
    </w:p>
    <w:p w14:paraId="702956E2" w14:textId="48404185"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Романюк О. І. "Делегативна демократія: концепції та українські реалії." // Вісник ХНУ ім. В. Н. Каразіна. – 2020. – Вип. 37. – С. 1</w:t>
      </w:r>
      <w:r w:rsidRPr="00A248F8">
        <w:rPr>
          <w:rFonts w:ascii="Times New Roman" w:hAnsi="Times New Roman" w:cs="Times New Roman"/>
          <w:sz w:val="28"/>
          <w:szCs w:val="28"/>
          <w:lang w:val="uk-UA"/>
        </w:rPr>
        <w:t>0</w:t>
      </w:r>
      <w:r w:rsidRPr="00A248F8">
        <w:rPr>
          <w:rFonts w:ascii="Times New Roman" w:hAnsi="Times New Roman" w:cs="Times New Roman"/>
          <w:sz w:val="28"/>
          <w:szCs w:val="28"/>
        </w:rPr>
        <w:t>–2</w:t>
      </w:r>
      <w:r w:rsidRPr="00A248F8">
        <w:rPr>
          <w:rFonts w:ascii="Times New Roman" w:hAnsi="Times New Roman" w:cs="Times New Roman"/>
          <w:sz w:val="28"/>
          <w:szCs w:val="28"/>
          <w:lang w:val="uk-UA"/>
        </w:rPr>
        <w:t>0</w:t>
      </w:r>
      <w:r w:rsidRPr="00A248F8">
        <w:rPr>
          <w:rFonts w:ascii="Times New Roman" w:hAnsi="Times New Roman" w:cs="Times New Roman"/>
          <w:sz w:val="28"/>
          <w:szCs w:val="28"/>
        </w:rPr>
        <w:t>.</w:t>
      </w:r>
    </w:p>
    <w:p w14:paraId="7CF704B3" w14:textId="23C9C29C"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Рудич Ф. "Політична влада і опозиція в Україні: методологічний контекст." // Віче. – 2013. – № 17. – С. 1</w:t>
      </w:r>
      <w:r w:rsidRPr="00A248F8">
        <w:rPr>
          <w:rFonts w:ascii="Times New Roman" w:hAnsi="Times New Roman" w:cs="Times New Roman"/>
          <w:sz w:val="28"/>
          <w:szCs w:val="28"/>
          <w:lang w:val="uk-UA"/>
        </w:rPr>
        <w:t>7</w:t>
      </w:r>
      <w:r w:rsidRPr="00A248F8">
        <w:rPr>
          <w:rFonts w:ascii="Times New Roman" w:hAnsi="Times New Roman" w:cs="Times New Roman"/>
          <w:sz w:val="28"/>
          <w:szCs w:val="28"/>
        </w:rPr>
        <w:t>–2</w:t>
      </w:r>
      <w:r w:rsidRPr="00A248F8">
        <w:rPr>
          <w:rFonts w:ascii="Times New Roman" w:hAnsi="Times New Roman" w:cs="Times New Roman"/>
          <w:sz w:val="28"/>
          <w:szCs w:val="28"/>
          <w:lang w:val="uk-UA"/>
        </w:rPr>
        <w:t>2</w:t>
      </w:r>
      <w:r w:rsidRPr="00A248F8">
        <w:rPr>
          <w:rFonts w:ascii="Times New Roman" w:hAnsi="Times New Roman" w:cs="Times New Roman"/>
          <w:sz w:val="28"/>
          <w:szCs w:val="28"/>
        </w:rPr>
        <w:t>.</w:t>
      </w:r>
    </w:p>
    <w:p w14:paraId="2B7C36BF" w14:textId="50F70752"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Савчин М. В. Порівняльне конституційне право: посібник. – Київ: Юрінком Інтер, 2019. – 3</w:t>
      </w:r>
      <w:r w:rsidRPr="00A248F8">
        <w:rPr>
          <w:rFonts w:ascii="Times New Roman" w:hAnsi="Times New Roman" w:cs="Times New Roman"/>
          <w:sz w:val="28"/>
          <w:szCs w:val="28"/>
          <w:lang w:val="uk-UA"/>
        </w:rPr>
        <w:t>26</w:t>
      </w:r>
      <w:r w:rsidRPr="00A248F8">
        <w:rPr>
          <w:rFonts w:ascii="Times New Roman" w:hAnsi="Times New Roman" w:cs="Times New Roman"/>
          <w:sz w:val="28"/>
          <w:szCs w:val="28"/>
        </w:rPr>
        <w:t xml:space="preserve"> с.</w:t>
      </w:r>
    </w:p>
    <w:p w14:paraId="574D10A2" w14:textId="6C7CCB73"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Совгиря О. В. Правовий статус парламентської опозиції: навч. посіб. – Київ: Центр навч. літ., 2006. – 26</w:t>
      </w:r>
      <w:r w:rsidRPr="00A248F8">
        <w:rPr>
          <w:rFonts w:ascii="Times New Roman" w:hAnsi="Times New Roman" w:cs="Times New Roman"/>
          <w:sz w:val="28"/>
          <w:szCs w:val="28"/>
          <w:lang w:val="uk-UA"/>
        </w:rPr>
        <w:t>3</w:t>
      </w:r>
      <w:r w:rsidRPr="00A248F8">
        <w:rPr>
          <w:rFonts w:ascii="Times New Roman" w:hAnsi="Times New Roman" w:cs="Times New Roman"/>
          <w:sz w:val="28"/>
          <w:szCs w:val="28"/>
        </w:rPr>
        <w:t xml:space="preserve"> с.</w:t>
      </w:r>
    </w:p>
    <w:p w14:paraId="4283E91F" w14:textId="3A68D689"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Телешун С. О. "Коаліція." // Енциклопедія державного управління у 8 т.: Т.8: Публічне врядування. – Львів: ЛРІДУ НАДУ, 2011. </w:t>
      </w:r>
      <w:r w:rsidRPr="00A248F8">
        <w:rPr>
          <w:rFonts w:ascii="Times New Roman" w:hAnsi="Times New Roman" w:cs="Times New Roman"/>
          <w:sz w:val="28"/>
          <w:szCs w:val="28"/>
          <w:lang w:val="uk-UA"/>
        </w:rPr>
        <w:t>629</w:t>
      </w:r>
      <w:r w:rsidRPr="00A248F8">
        <w:rPr>
          <w:rFonts w:ascii="Times New Roman" w:hAnsi="Times New Roman" w:cs="Times New Roman"/>
          <w:sz w:val="28"/>
          <w:szCs w:val="28"/>
        </w:rPr>
        <w:t>– 63</w:t>
      </w:r>
      <w:r w:rsidRPr="00A248F8">
        <w:rPr>
          <w:rFonts w:ascii="Times New Roman" w:hAnsi="Times New Roman" w:cs="Times New Roman"/>
          <w:sz w:val="28"/>
          <w:szCs w:val="28"/>
          <w:lang w:val="uk-UA"/>
        </w:rPr>
        <w:t>1</w:t>
      </w:r>
      <w:r w:rsidRPr="00A248F8">
        <w:rPr>
          <w:rFonts w:ascii="Times New Roman" w:hAnsi="Times New Roman" w:cs="Times New Roman"/>
          <w:sz w:val="28"/>
          <w:szCs w:val="28"/>
        </w:rPr>
        <w:t xml:space="preserve"> с.</w:t>
      </w:r>
    </w:p>
    <w:p w14:paraId="59933509" w14:textId="61930291"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Ткаченко Т. "Опозиція як політичний інститут і форма суспільного протесту." // Політичний менеджмент. – 2007. – № 5. – С. </w:t>
      </w:r>
      <w:r w:rsidRPr="00A248F8">
        <w:rPr>
          <w:rFonts w:ascii="Times New Roman" w:hAnsi="Times New Roman" w:cs="Times New Roman"/>
          <w:sz w:val="28"/>
          <w:szCs w:val="28"/>
          <w:lang w:val="uk-UA"/>
        </w:rPr>
        <w:t>19</w:t>
      </w:r>
      <w:r w:rsidRPr="00A248F8">
        <w:rPr>
          <w:rFonts w:ascii="Times New Roman" w:hAnsi="Times New Roman" w:cs="Times New Roman"/>
          <w:sz w:val="28"/>
          <w:szCs w:val="28"/>
        </w:rPr>
        <w:t>–4</w:t>
      </w:r>
      <w:r w:rsidRPr="00A248F8">
        <w:rPr>
          <w:rFonts w:ascii="Times New Roman" w:hAnsi="Times New Roman" w:cs="Times New Roman"/>
          <w:sz w:val="28"/>
          <w:szCs w:val="28"/>
          <w:lang w:val="uk-UA"/>
        </w:rPr>
        <w:t>6</w:t>
      </w:r>
      <w:r w:rsidRPr="00A248F8">
        <w:rPr>
          <w:rFonts w:ascii="Times New Roman" w:hAnsi="Times New Roman" w:cs="Times New Roman"/>
          <w:sz w:val="28"/>
          <w:szCs w:val="28"/>
        </w:rPr>
        <w:t>.</w:t>
      </w:r>
    </w:p>
    <w:p w14:paraId="7F666DE3"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"Україна 2.0: куди рухається українська опозиція та хто її очолить?" – URL: https://mind.ua/publications/20249671-ukrayina-2-0-kudi-ruhaetsya-ukrayinska-opoziciya-ta-hto-yiyi-ocholit</w:t>
      </w:r>
    </w:p>
    <w:p w14:paraId="17929295" w14:textId="2A9170E1"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Цимбалюк Д. І. "Дослідження інституту опозиції в сучасній Україні." // Вісник Нац. ун-ту «Юридична академія України ім. Ярослава Мудрого». – 2013. – № 4 (18). – С. 111–12</w:t>
      </w:r>
      <w:r w:rsidRPr="00A248F8">
        <w:rPr>
          <w:rFonts w:ascii="Times New Roman" w:hAnsi="Times New Roman" w:cs="Times New Roman"/>
          <w:sz w:val="28"/>
          <w:szCs w:val="28"/>
          <w:lang w:val="uk-UA"/>
        </w:rPr>
        <w:t>2</w:t>
      </w:r>
      <w:r w:rsidRPr="00A248F8">
        <w:rPr>
          <w:rFonts w:ascii="Times New Roman" w:hAnsi="Times New Roman" w:cs="Times New Roman"/>
          <w:sz w:val="28"/>
          <w:szCs w:val="28"/>
        </w:rPr>
        <w:t>.</w:t>
      </w:r>
    </w:p>
    <w:p w14:paraId="6D0E0E01"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"Як формуються коаліції в Україні." // Аналітичний центр «Обсерваторія демократії». – URL: http://od.org.ua/uk/</w:t>
      </w:r>
    </w:p>
    <w:p w14:paraId="4F3C3F30" w14:textId="78DFB1AB"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Шведа Ю. Р. Теорія політичних партій і партійних систем. – Львів: Тріада плюс, 2004. </w:t>
      </w:r>
      <w:r w:rsidRPr="00A248F8">
        <w:rPr>
          <w:rFonts w:ascii="Times New Roman" w:hAnsi="Times New Roman" w:cs="Times New Roman"/>
          <w:sz w:val="28"/>
          <w:szCs w:val="28"/>
          <w:lang w:val="uk-UA"/>
        </w:rPr>
        <w:t xml:space="preserve">523 </w:t>
      </w:r>
      <w:r w:rsidRPr="00A248F8">
        <w:rPr>
          <w:rFonts w:ascii="Times New Roman" w:hAnsi="Times New Roman" w:cs="Times New Roman"/>
          <w:sz w:val="28"/>
          <w:szCs w:val="28"/>
        </w:rPr>
        <w:t>– 52</w:t>
      </w:r>
      <w:r w:rsidRPr="00A248F8">
        <w:rPr>
          <w:rFonts w:ascii="Times New Roman" w:hAnsi="Times New Roman" w:cs="Times New Roman"/>
          <w:sz w:val="28"/>
          <w:szCs w:val="28"/>
          <w:lang w:val="uk-UA"/>
        </w:rPr>
        <w:t>9</w:t>
      </w:r>
      <w:r w:rsidRPr="00A248F8">
        <w:rPr>
          <w:rFonts w:ascii="Times New Roman" w:hAnsi="Times New Roman" w:cs="Times New Roman"/>
          <w:sz w:val="28"/>
          <w:szCs w:val="28"/>
        </w:rPr>
        <w:t xml:space="preserve"> с.</w:t>
      </w:r>
    </w:p>
    <w:p w14:paraId="5550F3F8" w14:textId="760EF2A5"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 xml:space="preserve">Савчин М. В. Порівняльне конституційне право: посібник. – Київ: Юрінком Інтер, 2019. </w:t>
      </w:r>
      <w:r w:rsidRPr="00A248F8">
        <w:rPr>
          <w:rFonts w:ascii="Times New Roman" w:hAnsi="Times New Roman" w:cs="Times New Roman"/>
          <w:sz w:val="28"/>
          <w:szCs w:val="28"/>
          <w:lang w:val="uk-UA"/>
        </w:rPr>
        <w:t>325</w:t>
      </w:r>
      <w:r w:rsidRPr="00A248F8">
        <w:rPr>
          <w:rFonts w:ascii="Times New Roman" w:hAnsi="Times New Roman" w:cs="Times New Roman"/>
          <w:sz w:val="28"/>
          <w:szCs w:val="28"/>
        </w:rPr>
        <w:t>– 32</w:t>
      </w:r>
      <w:r w:rsidRPr="00A248F8">
        <w:rPr>
          <w:rFonts w:ascii="Times New Roman" w:hAnsi="Times New Roman" w:cs="Times New Roman"/>
          <w:sz w:val="28"/>
          <w:szCs w:val="28"/>
          <w:lang w:val="uk-UA"/>
        </w:rPr>
        <w:t>8</w:t>
      </w:r>
      <w:r w:rsidRPr="00A248F8">
        <w:rPr>
          <w:rFonts w:ascii="Times New Roman" w:hAnsi="Times New Roman" w:cs="Times New Roman"/>
          <w:sz w:val="28"/>
          <w:szCs w:val="28"/>
        </w:rPr>
        <w:t xml:space="preserve"> с.</w:t>
      </w:r>
    </w:p>
    <w:p w14:paraId="1DAC61A3"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lastRenderedPageBreak/>
        <w:t>Нестерович В. Ф. "Поняття та види джерел виборчого права України." // Експерт: Парадигми юридичних наук і державного управління. – 2019. – № 2. – С. 39–58. – URL: http://maup.com.ua/assets/files/expert/4/3.pdf – DOI: https://doi.org/10.32689/2617-9660-2019-4-2-39-58</w:t>
      </w:r>
    </w:p>
    <w:p w14:paraId="792A7D4F"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NATO Review. Онлайн журнал, який пропонує експертну думку, аналіз і обговорення широкого кола питань безпеки. – 2024. – URL: https://www.nato.int/docu/review/uk/index.html</w:t>
      </w:r>
    </w:p>
    <w:p w14:paraId="6E162A65" w14:textId="77777777"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Літвін Л. "Сучасні концепції національних інтересів у контексті зовнішньої політики держав." // Політичне життя. – 2018. – № 2. – DOI: https://doi.org/10.31558/2519-2949.2018.2.21</w:t>
      </w:r>
    </w:p>
    <w:p w14:paraId="636557B4" w14:textId="514B60D8"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Опанасюк Т. "Опозиція політична." // Політологія: навчальний енциклопедичний словник-довідник / за наук. ред. Н. М. Хоми. – Львів: «Новий світ – 200», 2014. – С. 4</w:t>
      </w:r>
      <w:r w:rsidRPr="00A248F8">
        <w:rPr>
          <w:rFonts w:ascii="Times New Roman" w:hAnsi="Times New Roman" w:cs="Times New Roman"/>
          <w:sz w:val="28"/>
          <w:szCs w:val="28"/>
          <w:lang w:val="uk-UA"/>
        </w:rPr>
        <w:t>2</w:t>
      </w:r>
      <w:r w:rsidRPr="00A248F8">
        <w:rPr>
          <w:rFonts w:ascii="Times New Roman" w:hAnsi="Times New Roman" w:cs="Times New Roman"/>
          <w:sz w:val="28"/>
          <w:szCs w:val="28"/>
        </w:rPr>
        <w:t>3–44</w:t>
      </w:r>
      <w:r w:rsidRPr="00A248F8">
        <w:rPr>
          <w:rFonts w:ascii="Times New Roman" w:hAnsi="Times New Roman" w:cs="Times New Roman"/>
          <w:sz w:val="28"/>
          <w:szCs w:val="28"/>
          <w:lang w:val="uk-UA"/>
        </w:rPr>
        <w:t>3</w:t>
      </w:r>
      <w:r w:rsidRPr="00A248F8">
        <w:rPr>
          <w:rFonts w:ascii="Times New Roman" w:hAnsi="Times New Roman" w:cs="Times New Roman"/>
          <w:sz w:val="28"/>
          <w:szCs w:val="28"/>
        </w:rPr>
        <w:t>.</w:t>
      </w:r>
    </w:p>
    <w:p w14:paraId="7B50E8C6" w14:textId="41E28DB3" w:rsidR="004E7A9B" w:rsidRPr="00A248F8" w:rsidRDefault="004E7A9B" w:rsidP="00A248F8">
      <w:pPr>
        <w:pStyle w:val="a5"/>
        <w:numPr>
          <w:ilvl w:val="0"/>
          <w:numId w:val="4"/>
        </w:numPr>
        <w:spacing w:after="0" w:line="360" w:lineRule="auto"/>
        <w:jc w:val="both"/>
        <w:rPr>
          <w:rFonts w:ascii="Times New Roman" w:hAnsi="Times New Roman" w:cs="Times New Roman"/>
          <w:sz w:val="28"/>
          <w:szCs w:val="28"/>
        </w:rPr>
      </w:pPr>
      <w:r w:rsidRPr="00A248F8">
        <w:rPr>
          <w:rFonts w:ascii="Times New Roman" w:hAnsi="Times New Roman" w:cs="Times New Roman"/>
          <w:sz w:val="28"/>
          <w:szCs w:val="28"/>
        </w:rPr>
        <w:t>Василь Расевич. "Опозиція і влада." – URL: https://zaxid.net/statti_tag50974/</w:t>
      </w:r>
    </w:p>
    <w:sectPr w:rsidR="004E7A9B" w:rsidRPr="00A248F8" w:rsidSect="00EC7D6C">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DB6D8" w14:textId="77777777" w:rsidR="00817749" w:rsidRDefault="00817749" w:rsidP="00EC7D6C">
      <w:pPr>
        <w:spacing w:after="0" w:line="240" w:lineRule="auto"/>
      </w:pPr>
      <w:r>
        <w:separator/>
      </w:r>
    </w:p>
  </w:endnote>
  <w:endnote w:type="continuationSeparator" w:id="0">
    <w:p w14:paraId="62149486" w14:textId="77777777" w:rsidR="00817749" w:rsidRDefault="00817749" w:rsidP="00EC7D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4292511"/>
      <w:docPartObj>
        <w:docPartGallery w:val="Page Numbers (Bottom of Page)"/>
        <w:docPartUnique/>
      </w:docPartObj>
    </w:sdtPr>
    <w:sdtEndPr/>
    <w:sdtContent>
      <w:p w14:paraId="2A34D0FF" w14:textId="1371FCD8" w:rsidR="00EC7D6C" w:rsidRDefault="00EC7D6C">
        <w:pPr>
          <w:pStyle w:val="ae"/>
          <w:jc w:val="right"/>
        </w:pPr>
        <w:r>
          <w:fldChar w:fldCharType="begin"/>
        </w:r>
        <w:r>
          <w:instrText>PAGE   \* MERGEFORMAT</w:instrText>
        </w:r>
        <w:r>
          <w:fldChar w:fldCharType="separate"/>
        </w:r>
        <w:r w:rsidR="00D63DD8" w:rsidRPr="00D63DD8">
          <w:rPr>
            <w:noProof/>
            <w:lang w:val="ru-RU"/>
          </w:rPr>
          <w:t>20</w:t>
        </w:r>
        <w:r>
          <w:fldChar w:fldCharType="end"/>
        </w:r>
      </w:p>
    </w:sdtContent>
  </w:sdt>
  <w:p w14:paraId="38E21C8F" w14:textId="77777777" w:rsidR="00EC7D6C" w:rsidRDefault="00EC7D6C">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33BCE" w14:textId="77777777" w:rsidR="00817749" w:rsidRDefault="00817749" w:rsidP="00EC7D6C">
      <w:pPr>
        <w:spacing w:after="0" w:line="240" w:lineRule="auto"/>
      </w:pPr>
      <w:r>
        <w:separator/>
      </w:r>
    </w:p>
  </w:footnote>
  <w:footnote w:type="continuationSeparator" w:id="0">
    <w:p w14:paraId="13665E8C" w14:textId="77777777" w:rsidR="00817749" w:rsidRDefault="00817749" w:rsidP="00EC7D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81690E"/>
    <w:multiLevelType w:val="multilevel"/>
    <w:tmpl w:val="F19A5B80"/>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380B32AF"/>
    <w:multiLevelType w:val="hybridMultilevel"/>
    <w:tmpl w:val="FFC6D48C"/>
    <w:lvl w:ilvl="0" w:tplc="806AF760">
      <w:start w:val="1"/>
      <w:numFmt w:val="decimal"/>
      <w:lvlText w:val="%1."/>
      <w:lvlJc w:val="left"/>
      <w:pPr>
        <w:ind w:left="1287" w:hanging="360"/>
      </w:pPr>
      <w:rPr>
        <w:b w:val="0"/>
        <w:bCs w:val="0"/>
      </w:r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2" w15:restartNumberingAfterBreak="0">
    <w:nsid w:val="46EA46AD"/>
    <w:multiLevelType w:val="hybridMultilevel"/>
    <w:tmpl w:val="24CC204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4E472EB7"/>
    <w:multiLevelType w:val="multilevel"/>
    <w:tmpl w:val="97DC3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1225CFC"/>
    <w:multiLevelType w:val="hybridMultilevel"/>
    <w:tmpl w:val="11A40064"/>
    <w:lvl w:ilvl="0" w:tplc="5634A07C">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6C6F34D8"/>
    <w:multiLevelType w:val="multilevel"/>
    <w:tmpl w:val="E648E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3"/>
  </w:num>
  <w:num w:numId="3">
    <w:abstractNumId w:val="2"/>
  </w:num>
  <w:num w:numId="4">
    <w:abstractNumId w:val="4"/>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192"/>
    <w:rsid w:val="00011CF5"/>
    <w:rsid w:val="00067E94"/>
    <w:rsid w:val="00071854"/>
    <w:rsid w:val="000D5B6D"/>
    <w:rsid w:val="001146FC"/>
    <w:rsid w:val="001611E6"/>
    <w:rsid w:val="0016550A"/>
    <w:rsid w:val="001D5EEF"/>
    <w:rsid w:val="001E472C"/>
    <w:rsid w:val="00223412"/>
    <w:rsid w:val="002470DB"/>
    <w:rsid w:val="00346DD4"/>
    <w:rsid w:val="00373A2A"/>
    <w:rsid w:val="00454146"/>
    <w:rsid w:val="0049123B"/>
    <w:rsid w:val="004E7A9B"/>
    <w:rsid w:val="004F507F"/>
    <w:rsid w:val="005B2DB1"/>
    <w:rsid w:val="006043D4"/>
    <w:rsid w:val="0070336F"/>
    <w:rsid w:val="007A11B8"/>
    <w:rsid w:val="007B2334"/>
    <w:rsid w:val="007E4C69"/>
    <w:rsid w:val="00817749"/>
    <w:rsid w:val="00817E7F"/>
    <w:rsid w:val="008D2AE5"/>
    <w:rsid w:val="008E6561"/>
    <w:rsid w:val="0090750C"/>
    <w:rsid w:val="009436A1"/>
    <w:rsid w:val="00944534"/>
    <w:rsid w:val="009F7C91"/>
    <w:rsid w:val="00A248F8"/>
    <w:rsid w:val="00A92233"/>
    <w:rsid w:val="00B17CC7"/>
    <w:rsid w:val="00B94B10"/>
    <w:rsid w:val="00BD0C6D"/>
    <w:rsid w:val="00C8555D"/>
    <w:rsid w:val="00CB086A"/>
    <w:rsid w:val="00CB5A46"/>
    <w:rsid w:val="00CE1F4E"/>
    <w:rsid w:val="00D63DD8"/>
    <w:rsid w:val="00D65318"/>
    <w:rsid w:val="00E51DB7"/>
    <w:rsid w:val="00E60AB2"/>
    <w:rsid w:val="00EC7D6C"/>
    <w:rsid w:val="00ED5F36"/>
    <w:rsid w:val="00F22443"/>
    <w:rsid w:val="00F40192"/>
    <w:rsid w:val="00FB1E17"/>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BFC8D"/>
  <w15:chartTrackingRefBased/>
  <w15:docId w15:val="{0CD26FDB-C58F-441B-BBAD-AD81C1903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A248F8"/>
    <w:pPr>
      <w:widowControl w:val="0"/>
      <w:autoSpaceDE w:val="0"/>
      <w:autoSpaceDN w:val="0"/>
      <w:spacing w:after="0" w:line="240" w:lineRule="auto"/>
      <w:ind w:left="375" w:right="376"/>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67E94"/>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styleId="a4">
    <w:name w:val="Strong"/>
    <w:basedOn w:val="a0"/>
    <w:uiPriority w:val="22"/>
    <w:qFormat/>
    <w:rsid w:val="00067E94"/>
    <w:rPr>
      <w:b/>
      <w:bCs/>
    </w:rPr>
  </w:style>
  <w:style w:type="paragraph" w:styleId="a5">
    <w:name w:val="List Paragraph"/>
    <w:basedOn w:val="a"/>
    <w:uiPriority w:val="34"/>
    <w:qFormat/>
    <w:rsid w:val="00067E94"/>
    <w:pPr>
      <w:ind w:left="720"/>
      <w:contextualSpacing/>
    </w:pPr>
  </w:style>
  <w:style w:type="character" w:styleId="a6">
    <w:name w:val="Hyperlink"/>
    <w:basedOn w:val="a0"/>
    <w:uiPriority w:val="99"/>
    <w:unhideWhenUsed/>
    <w:rsid w:val="006043D4"/>
    <w:rPr>
      <w:color w:val="0563C1" w:themeColor="hyperlink"/>
      <w:u w:val="single"/>
    </w:rPr>
  </w:style>
  <w:style w:type="character" w:customStyle="1" w:styleId="11">
    <w:name w:val="Неразрешенное упоминание1"/>
    <w:basedOn w:val="a0"/>
    <w:uiPriority w:val="99"/>
    <w:semiHidden/>
    <w:unhideWhenUsed/>
    <w:rsid w:val="006043D4"/>
    <w:rPr>
      <w:color w:val="605E5C"/>
      <w:shd w:val="clear" w:color="auto" w:fill="E1DFDD"/>
    </w:rPr>
  </w:style>
  <w:style w:type="character" w:customStyle="1" w:styleId="UnresolvedMention">
    <w:name w:val="Unresolved Mention"/>
    <w:basedOn w:val="a0"/>
    <w:uiPriority w:val="99"/>
    <w:semiHidden/>
    <w:unhideWhenUsed/>
    <w:rsid w:val="000D5B6D"/>
    <w:rPr>
      <w:color w:val="605E5C"/>
      <w:shd w:val="clear" w:color="auto" w:fill="E1DFDD"/>
    </w:rPr>
  </w:style>
  <w:style w:type="character" w:customStyle="1" w:styleId="10">
    <w:name w:val="Заголовок 1 Знак"/>
    <w:basedOn w:val="a0"/>
    <w:link w:val="1"/>
    <w:uiPriority w:val="9"/>
    <w:rsid w:val="00A248F8"/>
    <w:rPr>
      <w:rFonts w:ascii="Times New Roman" w:eastAsia="Times New Roman" w:hAnsi="Times New Roman" w:cs="Times New Roman"/>
      <w:b/>
      <w:bCs/>
      <w:sz w:val="28"/>
      <w:szCs w:val="28"/>
      <w:lang w:val="uk-UA"/>
    </w:rPr>
  </w:style>
  <w:style w:type="paragraph" w:styleId="a7">
    <w:name w:val="Body Text"/>
    <w:basedOn w:val="a"/>
    <w:link w:val="a8"/>
    <w:uiPriority w:val="1"/>
    <w:qFormat/>
    <w:rsid w:val="00A248F8"/>
    <w:pPr>
      <w:widowControl w:val="0"/>
      <w:autoSpaceDE w:val="0"/>
      <w:autoSpaceDN w:val="0"/>
      <w:spacing w:after="0" w:line="240" w:lineRule="auto"/>
      <w:ind w:left="140"/>
      <w:jc w:val="both"/>
    </w:pPr>
    <w:rPr>
      <w:rFonts w:ascii="Times New Roman" w:eastAsia="Times New Roman" w:hAnsi="Times New Roman" w:cs="Times New Roman"/>
      <w:sz w:val="28"/>
      <w:szCs w:val="28"/>
      <w:lang w:val="uk-UA"/>
    </w:rPr>
  </w:style>
  <w:style w:type="character" w:customStyle="1" w:styleId="a8">
    <w:name w:val="Основной текст Знак"/>
    <w:basedOn w:val="a0"/>
    <w:link w:val="a7"/>
    <w:uiPriority w:val="1"/>
    <w:rsid w:val="00A248F8"/>
    <w:rPr>
      <w:rFonts w:ascii="Times New Roman" w:eastAsia="Times New Roman" w:hAnsi="Times New Roman" w:cs="Times New Roman"/>
      <w:sz w:val="28"/>
      <w:szCs w:val="28"/>
      <w:lang w:val="uk-UA"/>
    </w:rPr>
  </w:style>
  <w:style w:type="paragraph" w:styleId="a9">
    <w:name w:val="Title"/>
    <w:basedOn w:val="a"/>
    <w:link w:val="aa"/>
    <w:uiPriority w:val="10"/>
    <w:qFormat/>
    <w:rsid w:val="00A248F8"/>
    <w:pPr>
      <w:widowControl w:val="0"/>
      <w:autoSpaceDE w:val="0"/>
      <w:autoSpaceDN w:val="0"/>
      <w:spacing w:before="141" w:after="0" w:line="240" w:lineRule="auto"/>
      <w:ind w:left="374" w:right="376"/>
      <w:jc w:val="center"/>
    </w:pPr>
    <w:rPr>
      <w:rFonts w:ascii="Times New Roman" w:eastAsia="Times New Roman" w:hAnsi="Times New Roman" w:cs="Times New Roman"/>
      <w:b/>
      <w:bCs/>
      <w:sz w:val="32"/>
      <w:szCs w:val="32"/>
      <w:lang w:val="uk-UA"/>
    </w:rPr>
  </w:style>
  <w:style w:type="character" w:customStyle="1" w:styleId="aa">
    <w:name w:val="Заголовок Знак"/>
    <w:basedOn w:val="a0"/>
    <w:link w:val="a9"/>
    <w:uiPriority w:val="10"/>
    <w:rsid w:val="00A248F8"/>
    <w:rPr>
      <w:rFonts w:ascii="Times New Roman" w:eastAsia="Times New Roman" w:hAnsi="Times New Roman" w:cs="Times New Roman"/>
      <w:b/>
      <w:bCs/>
      <w:sz w:val="32"/>
      <w:szCs w:val="32"/>
      <w:lang w:val="uk-UA"/>
    </w:rPr>
  </w:style>
  <w:style w:type="table" w:styleId="ab">
    <w:name w:val="Table Grid"/>
    <w:basedOn w:val="a1"/>
    <w:uiPriority w:val="39"/>
    <w:rsid w:val="00A248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EC7D6C"/>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EC7D6C"/>
  </w:style>
  <w:style w:type="paragraph" w:styleId="ae">
    <w:name w:val="footer"/>
    <w:basedOn w:val="a"/>
    <w:link w:val="af"/>
    <w:uiPriority w:val="99"/>
    <w:unhideWhenUsed/>
    <w:rsid w:val="00EC7D6C"/>
    <w:pPr>
      <w:tabs>
        <w:tab w:val="center" w:pos="4677"/>
        <w:tab w:val="right" w:pos="9355"/>
      </w:tabs>
      <w:spacing w:after="0" w:line="240" w:lineRule="auto"/>
    </w:pPr>
  </w:style>
  <w:style w:type="character" w:customStyle="1" w:styleId="af">
    <w:name w:val="Нижний колонтитул Знак"/>
    <w:basedOn w:val="a0"/>
    <w:link w:val="ae"/>
    <w:uiPriority w:val="99"/>
    <w:rsid w:val="00EC7D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104554">
      <w:bodyDiv w:val="1"/>
      <w:marLeft w:val="0"/>
      <w:marRight w:val="0"/>
      <w:marTop w:val="0"/>
      <w:marBottom w:val="0"/>
      <w:divBdr>
        <w:top w:val="none" w:sz="0" w:space="0" w:color="auto"/>
        <w:left w:val="none" w:sz="0" w:space="0" w:color="auto"/>
        <w:bottom w:val="none" w:sz="0" w:space="0" w:color="auto"/>
        <w:right w:val="none" w:sz="0" w:space="0" w:color="auto"/>
      </w:divBdr>
    </w:div>
    <w:div w:id="186212694">
      <w:bodyDiv w:val="1"/>
      <w:marLeft w:val="0"/>
      <w:marRight w:val="0"/>
      <w:marTop w:val="0"/>
      <w:marBottom w:val="0"/>
      <w:divBdr>
        <w:top w:val="none" w:sz="0" w:space="0" w:color="auto"/>
        <w:left w:val="none" w:sz="0" w:space="0" w:color="auto"/>
        <w:bottom w:val="none" w:sz="0" w:space="0" w:color="auto"/>
        <w:right w:val="none" w:sz="0" w:space="0" w:color="auto"/>
      </w:divBdr>
    </w:div>
    <w:div w:id="219560649">
      <w:bodyDiv w:val="1"/>
      <w:marLeft w:val="0"/>
      <w:marRight w:val="0"/>
      <w:marTop w:val="0"/>
      <w:marBottom w:val="0"/>
      <w:divBdr>
        <w:top w:val="none" w:sz="0" w:space="0" w:color="auto"/>
        <w:left w:val="none" w:sz="0" w:space="0" w:color="auto"/>
        <w:bottom w:val="none" w:sz="0" w:space="0" w:color="auto"/>
        <w:right w:val="none" w:sz="0" w:space="0" w:color="auto"/>
      </w:divBdr>
    </w:div>
    <w:div w:id="224723052">
      <w:bodyDiv w:val="1"/>
      <w:marLeft w:val="0"/>
      <w:marRight w:val="0"/>
      <w:marTop w:val="0"/>
      <w:marBottom w:val="0"/>
      <w:divBdr>
        <w:top w:val="none" w:sz="0" w:space="0" w:color="auto"/>
        <w:left w:val="none" w:sz="0" w:space="0" w:color="auto"/>
        <w:bottom w:val="none" w:sz="0" w:space="0" w:color="auto"/>
        <w:right w:val="none" w:sz="0" w:space="0" w:color="auto"/>
      </w:divBdr>
    </w:div>
    <w:div w:id="257256792">
      <w:bodyDiv w:val="1"/>
      <w:marLeft w:val="0"/>
      <w:marRight w:val="0"/>
      <w:marTop w:val="0"/>
      <w:marBottom w:val="0"/>
      <w:divBdr>
        <w:top w:val="none" w:sz="0" w:space="0" w:color="auto"/>
        <w:left w:val="none" w:sz="0" w:space="0" w:color="auto"/>
        <w:bottom w:val="none" w:sz="0" w:space="0" w:color="auto"/>
        <w:right w:val="none" w:sz="0" w:space="0" w:color="auto"/>
      </w:divBdr>
    </w:div>
    <w:div w:id="347565868">
      <w:bodyDiv w:val="1"/>
      <w:marLeft w:val="0"/>
      <w:marRight w:val="0"/>
      <w:marTop w:val="0"/>
      <w:marBottom w:val="0"/>
      <w:divBdr>
        <w:top w:val="none" w:sz="0" w:space="0" w:color="auto"/>
        <w:left w:val="none" w:sz="0" w:space="0" w:color="auto"/>
        <w:bottom w:val="none" w:sz="0" w:space="0" w:color="auto"/>
        <w:right w:val="none" w:sz="0" w:space="0" w:color="auto"/>
      </w:divBdr>
    </w:div>
    <w:div w:id="416826277">
      <w:bodyDiv w:val="1"/>
      <w:marLeft w:val="0"/>
      <w:marRight w:val="0"/>
      <w:marTop w:val="0"/>
      <w:marBottom w:val="0"/>
      <w:divBdr>
        <w:top w:val="none" w:sz="0" w:space="0" w:color="auto"/>
        <w:left w:val="none" w:sz="0" w:space="0" w:color="auto"/>
        <w:bottom w:val="none" w:sz="0" w:space="0" w:color="auto"/>
        <w:right w:val="none" w:sz="0" w:space="0" w:color="auto"/>
      </w:divBdr>
    </w:div>
    <w:div w:id="565384518">
      <w:bodyDiv w:val="1"/>
      <w:marLeft w:val="0"/>
      <w:marRight w:val="0"/>
      <w:marTop w:val="0"/>
      <w:marBottom w:val="0"/>
      <w:divBdr>
        <w:top w:val="none" w:sz="0" w:space="0" w:color="auto"/>
        <w:left w:val="none" w:sz="0" w:space="0" w:color="auto"/>
        <w:bottom w:val="none" w:sz="0" w:space="0" w:color="auto"/>
        <w:right w:val="none" w:sz="0" w:space="0" w:color="auto"/>
      </w:divBdr>
    </w:div>
    <w:div w:id="606085091">
      <w:bodyDiv w:val="1"/>
      <w:marLeft w:val="0"/>
      <w:marRight w:val="0"/>
      <w:marTop w:val="0"/>
      <w:marBottom w:val="0"/>
      <w:divBdr>
        <w:top w:val="none" w:sz="0" w:space="0" w:color="auto"/>
        <w:left w:val="none" w:sz="0" w:space="0" w:color="auto"/>
        <w:bottom w:val="none" w:sz="0" w:space="0" w:color="auto"/>
        <w:right w:val="none" w:sz="0" w:space="0" w:color="auto"/>
      </w:divBdr>
    </w:div>
    <w:div w:id="661156625">
      <w:bodyDiv w:val="1"/>
      <w:marLeft w:val="0"/>
      <w:marRight w:val="0"/>
      <w:marTop w:val="0"/>
      <w:marBottom w:val="0"/>
      <w:divBdr>
        <w:top w:val="none" w:sz="0" w:space="0" w:color="auto"/>
        <w:left w:val="none" w:sz="0" w:space="0" w:color="auto"/>
        <w:bottom w:val="none" w:sz="0" w:space="0" w:color="auto"/>
        <w:right w:val="none" w:sz="0" w:space="0" w:color="auto"/>
      </w:divBdr>
    </w:div>
    <w:div w:id="664207907">
      <w:bodyDiv w:val="1"/>
      <w:marLeft w:val="0"/>
      <w:marRight w:val="0"/>
      <w:marTop w:val="0"/>
      <w:marBottom w:val="0"/>
      <w:divBdr>
        <w:top w:val="none" w:sz="0" w:space="0" w:color="auto"/>
        <w:left w:val="none" w:sz="0" w:space="0" w:color="auto"/>
        <w:bottom w:val="none" w:sz="0" w:space="0" w:color="auto"/>
        <w:right w:val="none" w:sz="0" w:space="0" w:color="auto"/>
      </w:divBdr>
    </w:div>
    <w:div w:id="670066890">
      <w:bodyDiv w:val="1"/>
      <w:marLeft w:val="0"/>
      <w:marRight w:val="0"/>
      <w:marTop w:val="0"/>
      <w:marBottom w:val="0"/>
      <w:divBdr>
        <w:top w:val="none" w:sz="0" w:space="0" w:color="auto"/>
        <w:left w:val="none" w:sz="0" w:space="0" w:color="auto"/>
        <w:bottom w:val="none" w:sz="0" w:space="0" w:color="auto"/>
        <w:right w:val="none" w:sz="0" w:space="0" w:color="auto"/>
      </w:divBdr>
      <w:divsChild>
        <w:div w:id="296648670">
          <w:marLeft w:val="0"/>
          <w:marRight w:val="0"/>
          <w:marTop w:val="0"/>
          <w:marBottom w:val="0"/>
          <w:divBdr>
            <w:top w:val="none" w:sz="0" w:space="0" w:color="auto"/>
            <w:left w:val="none" w:sz="0" w:space="0" w:color="auto"/>
            <w:bottom w:val="none" w:sz="0" w:space="0" w:color="auto"/>
            <w:right w:val="none" w:sz="0" w:space="0" w:color="auto"/>
          </w:divBdr>
          <w:divsChild>
            <w:div w:id="848720160">
              <w:marLeft w:val="0"/>
              <w:marRight w:val="0"/>
              <w:marTop w:val="0"/>
              <w:marBottom w:val="0"/>
              <w:divBdr>
                <w:top w:val="none" w:sz="0" w:space="0" w:color="auto"/>
                <w:left w:val="none" w:sz="0" w:space="0" w:color="auto"/>
                <w:bottom w:val="none" w:sz="0" w:space="0" w:color="auto"/>
                <w:right w:val="none" w:sz="0" w:space="0" w:color="auto"/>
              </w:divBdr>
              <w:divsChild>
                <w:div w:id="1577276123">
                  <w:marLeft w:val="0"/>
                  <w:marRight w:val="0"/>
                  <w:marTop w:val="0"/>
                  <w:marBottom w:val="0"/>
                  <w:divBdr>
                    <w:top w:val="none" w:sz="0" w:space="0" w:color="auto"/>
                    <w:left w:val="none" w:sz="0" w:space="0" w:color="auto"/>
                    <w:bottom w:val="none" w:sz="0" w:space="0" w:color="auto"/>
                    <w:right w:val="none" w:sz="0" w:space="0" w:color="auto"/>
                  </w:divBdr>
                  <w:divsChild>
                    <w:div w:id="1365867690">
                      <w:marLeft w:val="0"/>
                      <w:marRight w:val="0"/>
                      <w:marTop w:val="0"/>
                      <w:marBottom w:val="0"/>
                      <w:divBdr>
                        <w:top w:val="none" w:sz="0" w:space="0" w:color="auto"/>
                        <w:left w:val="none" w:sz="0" w:space="0" w:color="auto"/>
                        <w:bottom w:val="none" w:sz="0" w:space="0" w:color="auto"/>
                        <w:right w:val="none" w:sz="0" w:space="0" w:color="auto"/>
                      </w:divBdr>
                      <w:divsChild>
                        <w:div w:id="2075351815">
                          <w:marLeft w:val="0"/>
                          <w:marRight w:val="0"/>
                          <w:marTop w:val="0"/>
                          <w:marBottom w:val="0"/>
                          <w:divBdr>
                            <w:top w:val="none" w:sz="0" w:space="0" w:color="auto"/>
                            <w:left w:val="none" w:sz="0" w:space="0" w:color="auto"/>
                            <w:bottom w:val="none" w:sz="0" w:space="0" w:color="auto"/>
                            <w:right w:val="none" w:sz="0" w:space="0" w:color="auto"/>
                          </w:divBdr>
                        </w:div>
                      </w:divsChild>
                    </w:div>
                    <w:div w:id="725643685">
                      <w:marLeft w:val="0"/>
                      <w:marRight w:val="0"/>
                      <w:marTop w:val="0"/>
                      <w:marBottom w:val="0"/>
                      <w:divBdr>
                        <w:top w:val="none" w:sz="0" w:space="0" w:color="auto"/>
                        <w:left w:val="none" w:sz="0" w:space="0" w:color="auto"/>
                        <w:bottom w:val="none" w:sz="0" w:space="0" w:color="auto"/>
                        <w:right w:val="none" w:sz="0" w:space="0" w:color="auto"/>
                      </w:divBdr>
                      <w:divsChild>
                        <w:div w:id="883560600">
                          <w:marLeft w:val="0"/>
                          <w:marRight w:val="0"/>
                          <w:marTop w:val="0"/>
                          <w:marBottom w:val="0"/>
                          <w:divBdr>
                            <w:top w:val="none" w:sz="0" w:space="0" w:color="auto"/>
                            <w:left w:val="none" w:sz="0" w:space="0" w:color="auto"/>
                            <w:bottom w:val="none" w:sz="0" w:space="0" w:color="auto"/>
                            <w:right w:val="none" w:sz="0" w:space="0" w:color="auto"/>
                          </w:divBdr>
                          <w:divsChild>
                            <w:div w:id="348482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0645513">
      <w:bodyDiv w:val="1"/>
      <w:marLeft w:val="0"/>
      <w:marRight w:val="0"/>
      <w:marTop w:val="0"/>
      <w:marBottom w:val="0"/>
      <w:divBdr>
        <w:top w:val="none" w:sz="0" w:space="0" w:color="auto"/>
        <w:left w:val="none" w:sz="0" w:space="0" w:color="auto"/>
        <w:bottom w:val="none" w:sz="0" w:space="0" w:color="auto"/>
        <w:right w:val="none" w:sz="0" w:space="0" w:color="auto"/>
      </w:divBdr>
    </w:div>
    <w:div w:id="735125455">
      <w:bodyDiv w:val="1"/>
      <w:marLeft w:val="0"/>
      <w:marRight w:val="0"/>
      <w:marTop w:val="0"/>
      <w:marBottom w:val="0"/>
      <w:divBdr>
        <w:top w:val="none" w:sz="0" w:space="0" w:color="auto"/>
        <w:left w:val="none" w:sz="0" w:space="0" w:color="auto"/>
        <w:bottom w:val="none" w:sz="0" w:space="0" w:color="auto"/>
        <w:right w:val="none" w:sz="0" w:space="0" w:color="auto"/>
      </w:divBdr>
    </w:div>
    <w:div w:id="765883408">
      <w:bodyDiv w:val="1"/>
      <w:marLeft w:val="0"/>
      <w:marRight w:val="0"/>
      <w:marTop w:val="0"/>
      <w:marBottom w:val="0"/>
      <w:divBdr>
        <w:top w:val="none" w:sz="0" w:space="0" w:color="auto"/>
        <w:left w:val="none" w:sz="0" w:space="0" w:color="auto"/>
        <w:bottom w:val="none" w:sz="0" w:space="0" w:color="auto"/>
        <w:right w:val="none" w:sz="0" w:space="0" w:color="auto"/>
      </w:divBdr>
    </w:div>
    <w:div w:id="790786555">
      <w:bodyDiv w:val="1"/>
      <w:marLeft w:val="0"/>
      <w:marRight w:val="0"/>
      <w:marTop w:val="0"/>
      <w:marBottom w:val="0"/>
      <w:divBdr>
        <w:top w:val="none" w:sz="0" w:space="0" w:color="auto"/>
        <w:left w:val="none" w:sz="0" w:space="0" w:color="auto"/>
        <w:bottom w:val="none" w:sz="0" w:space="0" w:color="auto"/>
        <w:right w:val="none" w:sz="0" w:space="0" w:color="auto"/>
      </w:divBdr>
    </w:div>
    <w:div w:id="807671387">
      <w:bodyDiv w:val="1"/>
      <w:marLeft w:val="0"/>
      <w:marRight w:val="0"/>
      <w:marTop w:val="0"/>
      <w:marBottom w:val="0"/>
      <w:divBdr>
        <w:top w:val="none" w:sz="0" w:space="0" w:color="auto"/>
        <w:left w:val="none" w:sz="0" w:space="0" w:color="auto"/>
        <w:bottom w:val="none" w:sz="0" w:space="0" w:color="auto"/>
        <w:right w:val="none" w:sz="0" w:space="0" w:color="auto"/>
      </w:divBdr>
    </w:div>
    <w:div w:id="809057366">
      <w:bodyDiv w:val="1"/>
      <w:marLeft w:val="0"/>
      <w:marRight w:val="0"/>
      <w:marTop w:val="0"/>
      <w:marBottom w:val="0"/>
      <w:divBdr>
        <w:top w:val="none" w:sz="0" w:space="0" w:color="auto"/>
        <w:left w:val="none" w:sz="0" w:space="0" w:color="auto"/>
        <w:bottom w:val="none" w:sz="0" w:space="0" w:color="auto"/>
        <w:right w:val="none" w:sz="0" w:space="0" w:color="auto"/>
      </w:divBdr>
    </w:div>
    <w:div w:id="813641821">
      <w:bodyDiv w:val="1"/>
      <w:marLeft w:val="0"/>
      <w:marRight w:val="0"/>
      <w:marTop w:val="0"/>
      <w:marBottom w:val="0"/>
      <w:divBdr>
        <w:top w:val="none" w:sz="0" w:space="0" w:color="auto"/>
        <w:left w:val="none" w:sz="0" w:space="0" w:color="auto"/>
        <w:bottom w:val="none" w:sz="0" w:space="0" w:color="auto"/>
        <w:right w:val="none" w:sz="0" w:space="0" w:color="auto"/>
      </w:divBdr>
    </w:div>
    <w:div w:id="835917341">
      <w:bodyDiv w:val="1"/>
      <w:marLeft w:val="0"/>
      <w:marRight w:val="0"/>
      <w:marTop w:val="0"/>
      <w:marBottom w:val="0"/>
      <w:divBdr>
        <w:top w:val="none" w:sz="0" w:space="0" w:color="auto"/>
        <w:left w:val="none" w:sz="0" w:space="0" w:color="auto"/>
        <w:bottom w:val="none" w:sz="0" w:space="0" w:color="auto"/>
        <w:right w:val="none" w:sz="0" w:space="0" w:color="auto"/>
      </w:divBdr>
    </w:div>
    <w:div w:id="855080246">
      <w:bodyDiv w:val="1"/>
      <w:marLeft w:val="0"/>
      <w:marRight w:val="0"/>
      <w:marTop w:val="0"/>
      <w:marBottom w:val="0"/>
      <w:divBdr>
        <w:top w:val="none" w:sz="0" w:space="0" w:color="auto"/>
        <w:left w:val="none" w:sz="0" w:space="0" w:color="auto"/>
        <w:bottom w:val="none" w:sz="0" w:space="0" w:color="auto"/>
        <w:right w:val="none" w:sz="0" w:space="0" w:color="auto"/>
      </w:divBdr>
    </w:div>
    <w:div w:id="987703744">
      <w:bodyDiv w:val="1"/>
      <w:marLeft w:val="0"/>
      <w:marRight w:val="0"/>
      <w:marTop w:val="0"/>
      <w:marBottom w:val="0"/>
      <w:divBdr>
        <w:top w:val="none" w:sz="0" w:space="0" w:color="auto"/>
        <w:left w:val="none" w:sz="0" w:space="0" w:color="auto"/>
        <w:bottom w:val="none" w:sz="0" w:space="0" w:color="auto"/>
        <w:right w:val="none" w:sz="0" w:space="0" w:color="auto"/>
      </w:divBdr>
    </w:div>
    <w:div w:id="1017852014">
      <w:bodyDiv w:val="1"/>
      <w:marLeft w:val="0"/>
      <w:marRight w:val="0"/>
      <w:marTop w:val="0"/>
      <w:marBottom w:val="0"/>
      <w:divBdr>
        <w:top w:val="none" w:sz="0" w:space="0" w:color="auto"/>
        <w:left w:val="none" w:sz="0" w:space="0" w:color="auto"/>
        <w:bottom w:val="none" w:sz="0" w:space="0" w:color="auto"/>
        <w:right w:val="none" w:sz="0" w:space="0" w:color="auto"/>
      </w:divBdr>
    </w:div>
    <w:div w:id="1150445226">
      <w:bodyDiv w:val="1"/>
      <w:marLeft w:val="0"/>
      <w:marRight w:val="0"/>
      <w:marTop w:val="0"/>
      <w:marBottom w:val="0"/>
      <w:divBdr>
        <w:top w:val="none" w:sz="0" w:space="0" w:color="auto"/>
        <w:left w:val="none" w:sz="0" w:space="0" w:color="auto"/>
        <w:bottom w:val="none" w:sz="0" w:space="0" w:color="auto"/>
        <w:right w:val="none" w:sz="0" w:space="0" w:color="auto"/>
      </w:divBdr>
    </w:div>
    <w:div w:id="1237204333">
      <w:bodyDiv w:val="1"/>
      <w:marLeft w:val="0"/>
      <w:marRight w:val="0"/>
      <w:marTop w:val="0"/>
      <w:marBottom w:val="0"/>
      <w:divBdr>
        <w:top w:val="none" w:sz="0" w:space="0" w:color="auto"/>
        <w:left w:val="none" w:sz="0" w:space="0" w:color="auto"/>
        <w:bottom w:val="none" w:sz="0" w:space="0" w:color="auto"/>
        <w:right w:val="none" w:sz="0" w:space="0" w:color="auto"/>
      </w:divBdr>
    </w:div>
    <w:div w:id="1285890880">
      <w:bodyDiv w:val="1"/>
      <w:marLeft w:val="0"/>
      <w:marRight w:val="0"/>
      <w:marTop w:val="0"/>
      <w:marBottom w:val="0"/>
      <w:divBdr>
        <w:top w:val="none" w:sz="0" w:space="0" w:color="auto"/>
        <w:left w:val="none" w:sz="0" w:space="0" w:color="auto"/>
        <w:bottom w:val="none" w:sz="0" w:space="0" w:color="auto"/>
        <w:right w:val="none" w:sz="0" w:space="0" w:color="auto"/>
      </w:divBdr>
    </w:div>
    <w:div w:id="1297642634">
      <w:bodyDiv w:val="1"/>
      <w:marLeft w:val="0"/>
      <w:marRight w:val="0"/>
      <w:marTop w:val="0"/>
      <w:marBottom w:val="0"/>
      <w:divBdr>
        <w:top w:val="none" w:sz="0" w:space="0" w:color="auto"/>
        <w:left w:val="none" w:sz="0" w:space="0" w:color="auto"/>
        <w:bottom w:val="none" w:sz="0" w:space="0" w:color="auto"/>
        <w:right w:val="none" w:sz="0" w:space="0" w:color="auto"/>
      </w:divBdr>
    </w:div>
    <w:div w:id="1310398574">
      <w:bodyDiv w:val="1"/>
      <w:marLeft w:val="0"/>
      <w:marRight w:val="0"/>
      <w:marTop w:val="0"/>
      <w:marBottom w:val="0"/>
      <w:divBdr>
        <w:top w:val="none" w:sz="0" w:space="0" w:color="auto"/>
        <w:left w:val="none" w:sz="0" w:space="0" w:color="auto"/>
        <w:bottom w:val="none" w:sz="0" w:space="0" w:color="auto"/>
        <w:right w:val="none" w:sz="0" w:space="0" w:color="auto"/>
      </w:divBdr>
    </w:div>
    <w:div w:id="1407534809">
      <w:bodyDiv w:val="1"/>
      <w:marLeft w:val="0"/>
      <w:marRight w:val="0"/>
      <w:marTop w:val="0"/>
      <w:marBottom w:val="0"/>
      <w:divBdr>
        <w:top w:val="none" w:sz="0" w:space="0" w:color="auto"/>
        <w:left w:val="none" w:sz="0" w:space="0" w:color="auto"/>
        <w:bottom w:val="none" w:sz="0" w:space="0" w:color="auto"/>
        <w:right w:val="none" w:sz="0" w:space="0" w:color="auto"/>
      </w:divBdr>
    </w:div>
    <w:div w:id="1475755814">
      <w:bodyDiv w:val="1"/>
      <w:marLeft w:val="0"/>
      <w:marRight w:val="0"/>
      <w:marTop w:val="0"/>
      <w:marBottom w:val="0"/>
      <w:divBdr>
        <w:top w:val="none" w:sz="0" w:space="0" w:color="auto"/>
        <w:left w:val="none" w:sz="0" w:space="0" w:color="auto"/>
        <w:bottom w:val="none" w:sz="0" w:space="0" w:color="auto"/>
        <w:right w:val="none" w:sz="0" w:space="0" w:color="auto"/>
      </w:divBdr>
    </w:div>
    <w:div w:id="1510023497">
      <w:bodyDiv w:val="1"/>
      <w:marLeft w:val="0"/>
      <w:marRight w:val="0"/>
      <w:marTop w:val="0"/>
      <w:marBottom w:val="0"/>
      <w:divBdr>
        <w:top w:val="none" w:sz="0" w:space="0" w:color="auto"/>
        <w:left w:val="none" w:sz="0" w:space="0" w:color="auto"/>
        <w:bottom w:val="none" w:sz="0" w:space="0" w:color="auto"/>
        <w:right w:val="none" w:sz="0" w:space="0" w:color="auto"/>
      </w:divBdr>
    </w:div>
    <w:div w:id="1524436725">
      <w:bodyDiv w:val="1"/>
      <w:marLeft w:val="0"/>
      <w:marRight w:val="0"/>
      <w:marTop w:val="0"/>
      <w:marBottom w:val="0"/>
      <w:divBdr>
        <w:top w:val="none" w:sz="0" w:space="0" w:color="auto"/>
        <w:left w:val="none" w:sz="0" w:space="0" w:color="auto"/>
        <w:bottom w:val="none" w:sz="0" w:space="0" w:color="auto"/>
        <w:right w:val="none" w:sz="0" w:space="0" w:color="auto"/>
      </w:divBdr>
    </w:div>
    <w:div w:id="1525290146">
      <w:bodyDiv w:val="1"/>
      <w:marLeft w:val="0"/>
      <w:marRight w:val="0"/>
      <w:marTop w:val="0"/>
      <w:marBottom w:val="0"/>
      <w:divBdr>
        <w:top w:val="none" w:sz="0" w:space="0" w:color="auto"/>
        <w:left w:val="none" w:sz="0" w:space="0" w:color="auto"/>
        <w:bottom w:val="none" w:sz="0" w:space="0" w:color="auto"/>
        <w:right w:val="none" w:sz="0" w:space="0" w:color="auto"/>
      </w:divBdr>
    </w:div>
    <w:div w:id="1541819176">
      <w:bodyDiv w:val="1"/>
      <w:marLeft w:val="0"/>
      <w:marRight w:val="0"/>
      <w:marTop w:val="0"/>
      <w:marBottom w:val="0"/>
      <w:divBdr>
        <w:top w:val="none" w:sz="0" w:space="0" w:color="auto"/>
        <w:left w:val="none" w:sz="0" w:space="0" w:color="auto"/>
        <w:bottom w:val="none" w:sz="0" w:space="0" w:color="auto"/>
        <w:right w:val="none" w:sz="0" w:space="0" w:color="auto"/>
      </w:divBdr>
    </w:div>
    <w:div w:id="1569807613">
      <w:bodyDiv w:val="1"/>
      <w:marLeft w:val="0"/>
      <w:marRight w:val="0"/>
      <w:marTop w:val="0"/>
      <w:marBottom w:val="0"/>
      <w:divBdr>
        <w:top w:val="none" w:sz="0" w:space="0" w:color="auto"/>
        <w:left w:val="none" w:sz="0" w:space="0" w:color="auto"/>
        <w:bottom w:val="none" w:sz="0" w:space="0" w:color="auto"/>
        <w:right w:val="none" w:sz="0" w:space="0" w:color="auto"/>
      </w:divBdr>
    </w:div>
    <w:div w:id="1640383724">
      <w:bodyDiv w:val="1"/>
      <w:marLeft w:val="0"/>
      <w:marRight w:val="0"/>
      <w:marTop w:val="0"/>
      <w:marBottom w:val="0"/>
      <w:divBdr>
        <w:top w:val="none" w:sz="0" w:space="0" w:color="auto"/>
        <w:left w:val="none" w:sz="0" w:space="0" w:color="auto"/>
        <w:bottom w:val="none" w:sz="0" w:space="0" w:color="auto"/>
        <w:right w:val="none" w:sz="0" w:space="0" w:color="auto"/>
      </w:divBdr>
    </w:div>
    <w:div w:id="1648704360">
      <w:bodyDiv w:val="1"/>
      <w:marLeft w:val="0"/>
      <w:marRight w:val="0"/>
      <w:marTop w:val="0"/>
      <w:marBottom w:val="0"/>
      <w:divBdr>
        <w:top w:val="none" w:sz="0" w:space="0" w:color="auto"/>
        <w:left w:val="none" w:sz="0" w:space="0" w:color="auto"/>
        <w:bottom w:val="none" w:sz="0" w:space="0" w:color="auto"/>
        <w:right w:val="none" w:sz="0" w:space="0" w:color="auto"/>
      </w:divBdr>
    </w:div>
    <w:div w:id="1676762807">
      <w:bodyDiv w:val="1"/>
      <w:marLeft w:val="0"/>
      <w:marRight w:val="0"/>
      <w:marTop w:val="0"/>
      <w:marBottom w:val="0"/>
      <w:divBdr>
        <w:top w:val="none" w:sz="0" w:space="0" w:color="auto"/>
        <w:left w:val="none" w:sz="0" w:space="0" w:color="auto"/>
        <w:bottom w:val="none" w:sz="0" w:space="0" w:color="auto"/>
        <w:right w:val="none" w:sz="0" w:space="0" w:color="auto"/>
      </w:divBdr>
    </w:div>
    <w:div w:id="1773934928">
      <w:bodyDiv w:val="1"/>
      <w:marLeft w:val="0"/>
      <w:marRight w:val="0"/>
      <w:marTop w:val="0"/>
      <w:marBottom w:val="0"/>
      <w:divBdr>
        <w:top w:val="none" w:sz="0" w:space="0" w:color="auto"/>
        <w:left w:val="none" w:sz="0" w:space="0" w:color="auto"/>
        <w:bottom w:val="none" w:sz="0" w:space="0" w:color="auto"/>
        <w:right w:val="none" w:sz="0" w:space="0" w:color="auto"/>
      </w:divBdr>
    </w:div>
    <w:div w:id="1774594458">
      <w:bodyDiv w:val="1"/>
      <w:marLeft w:val="0"/>
      <w:marRight w:val="0"/>
      <w:marTop w:val="0"/>
      <w:marBottom w:val="0"/>
      <w:divBdr>
        <w:top w:val="none" w:sz="0" w:space="0" w:color="auto"/>
        <w:left w:val="none" w:sz="0" w:space="0" w:color="auto"/>
        <w:bottom w:val="none" w:sz="0" w:space="0" w:color="auto"/>
        <w:right w:val="none" w:sz="0" w:space="0" w:color="auto"/>
      </w:divBdr>
    </w:div>
    <w:div w:id="1790663332">
      <w:bodyDiv w:val="1"/>
      <w:marLeft w:val="0"/>
      <w:marRight w:val="0"/>
      <w:marTop w:val="0"/>
      <w:marBottom w:val="0"/>
      <w:divBdr>
        <w:top w:val="none" w:sz="0" w:space="0" w:color="auto"/>
        <w:left w:val="none" w:sz="0" w:space="0" w:color="auto"/>
        <w:bottom w:val="none" w:sz="0" w:space="0" w:color="auto"/>
        <w:right w:val="none" w:sz="0" w:space="0" w:color="auto"/>
      </w:divBdr>
    </w:div>
    <w:div w:id="1869104614">
      <w:bodyDiv w:val="1"/>
      <w:marLeft w:val="0"/>
      <w:marRight w:val="0"/>
      <w:marTop w:val="0"/>
      <w:marBottom w:val="0"/>
      <w:divBdr>
        <w:top w:val="none" w:sz="0" w:space="0" w:color="auto"/>
        <w:left w:val="none" w:sz="0" w:space="0" w:color="auto"/>
        <w:bottom w:val="none" w:sz="0" w:space="0" w:color="auto"/>
        <w:right w:val="none" w:sz="0" w:space="0" w:color="auto"/>
      </w:divBdr>
    </w:div>
    <w:div w:id="1963997057">
      <w:bodyDiv w:val="1"/>
      <w:marLeft w:val="0"/>
      <w:marRight w:val="0"/>
      <w:marTop w:val="0"/>
      <w:marBottom w:val="0"/>
      <w:divBdr>
        <w:top w:val="none" w:sz="0" w:space="0" w:color="auto"/>
        <w:left w:val="none" w:sz="0" w:space="0" w:color="auto"/>
        <w:bottom w:val="none" w:sz="0" w:space="0" w:color="auto"/>
        <w:right w:val="none" w:sz="0" w:space="0" w:color="auto"/>
      </w:divBdr>
    </w:div>
    <w:div w:id="1967543893">
      <w:bodyDiv w:val="1"/>
      <w:marLeft w:val="0"/>
      <w:marRight w:val="0"/>
      <w:marTop w:val="0"/>
      <w:marBottom w:val="0"/>
      <w:divBdr>
        <w:top w:val="none" w:sz="0" w:space="0" w:color="auto"/>
        <w:left w:val="none" w:sz="0" w:space="0" w:color="auto"/>
        <w:bottom w:val="none" w:sz="0" w:space="0" w:color="auto"/>
        <w:right w:val="none" w:sz="0" w:space="0" w:color="auto"/>
      </w:divBdr>
      <w:divsChild>
        <w:div w:id="2074310507">
          <w:marLeft w:val="0"/>
          <w:marRight w:val="0"/>
          <w:marTop w:val="0"/>
          <w:marBottom w:val="0"/>
          <w:divBdr>
            <w:top w:val="none" w:sz="0" w:space="0" w:color="auto"/>
            <w:left w:val="none" w:sz="0" w:space="0" w:color="auto"/>
            <w:bottom w:val="none" w:sz="0" w:space="0" w:color="auto"/>
            <w:right w:val="none" w:sz="0" w:space="0" w:color="auto"/>
          </w:divBdr>
          <w:divsChild>
            <w:div w:id="24793367">
              <w:marLeft w:val="0"/>
              <w:marRight w:val="0"/>
              <w:marTop w:val="0"/>
              <w:marBottom w:val="0"/>
              <w:divBdr>
                <w:top w:val="none" w:sz="0" w:space="0" w:color="auto"/>
                <w:left w:val="none" w:sz="0" w:space="0" w:color="auto"/>
                <w:bottom w:val="none" w:sz="0" w:space="0" w:color="auto"/>
                <w:right w:val="none" w:sz="0" w:space="0" w:color="auto"/>
              </w:divBdr>
              <w:divsChild>
                <w:div w:id="294913808">
                  <w:marLeft w:val="0"/>
                  <w:marRight w:val="0"/>
                  <w:marTop w:val="0"/>
                  <w:marBottom w:val="0"/>
                  <w:divBdr>
                    <w:top w:val="none" w:sz="0" w:space="0" w:color="auto"/>
                    <w:left w:val="none" w:sz="0" w:space="0" w:color="auto"/>
                    <w:bottom w:val="none" w:sz="0" w:space="0" w:color="auto"/>
                    <w:right w:val="none" w:sz="0" w:space="0" w:color="auto"/>
                  </w:divBdr>
                  <w:divsChild>
                    <w:div w:id="1253902409">
                      <w:marLeft w:val="0"/>
                      <w:marRight w:val="0"/>
                      <w:marTop w:val="0"/>
                      <w:marBottom w:val="0"/>
                      <w:divBdr>
                        <w:top w:val="none" w:sz="0" w:space="0" w:color="auto"/>
                        <w:left w:val="none" w:sz="0" w:space="0" w:color="auto"/>
                        <w:bottom w:val="none" w:sz="0" w:space="0" w:color="auto"/>
                        <w:right w:val="none" w:sz="0" w:space="0" w:color="auto"/>
                      </w:divBdr>
                      <w:divsChild>
                        <w:div w:id="660503866">
                          <w:marLeft w:val="0"/>
                          <w:marRight w:val="0"/>
                          <w:marTop w:val="0"/>
                          <w:marBottom w:val="0"/>
                          <w:divBdr>
                            <w:top w:val="none" w:sz="0" w:space="0" w:color="auto"/>
                            <w:left w:val="none" w:sz="0" w:space="0" w:color="auto"/>
                            <w:bottom w:val="none" w:sz="0" w:space="0" w:color="auto"/>
                            <w:right w:val="none" w:sz="0" w:space="0" w:color="auto"/>
                          </w:divBdr>
                        </w:div>
                      </w:divsChild>
                    </w:div>
                    <w:div w:id="159854769">
                      <w:marLeft w:val="0"/>
                      <w:marRight w:val="0"/>
                      <w:marTop w:val="0"/>
                      <w:marBottom w:val="0"/>
                      <w:divBdr>
                        <w:top w:val="none" w:sz="0" w:space="0" w:color="auto"/>
                        <w:left w:val="none" w:sz="0" w:space="0" w:color="auto"/>
                        <w:bottom w:val="none" w:sz="0" w:space="0" w:color="auto"/>
                        <w:right w:val="none" w:sz="0" w:space="0" w:color="auto"/>
                      </w:divBdr>
                      <w:divsChild>
                        <w:div w:id="637346355">
                          <w:marLeft w:val="0"/>
                          <w:marRight w:val="0"/>
                          <w:marTop w:val="0"/>
                          <w:marBottom w:val="0"/>
                          <w:divBdr>
                            <w:top w:val="none" w:sz="0" w:space="0" w:color="auto"/>
                            <w:left w:val="none" w:sz="0" w:space="0" w:color="auto"/>
                            <w:bottom w:val="none" w:sz="0" w:space="0" w:color="auto"/>
                            <w:right w:val="none" w:sz="0" w:space="0" w:color="auto"/>
                          </w:divBdr>
                          <w:divsChild>
                            <w:div w:id="82995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014055">
      <w:bodyDiv w:val="1"/>
      <w:marLeft w:val="0"/>
      <w:marRight w:val="0"/>
      <w:marTop w:val="0"/>
      <w:marBottom w:val="0"/>
      <w:divBdr>
        <w:top w:val="none" w:sz="0" w:space="0" w:color="auto"/>
        <w:left w:val="none" w:sz="0" w:space="0" w:color="auto"/>
        <w:bottom w:val="none" w:sz="0" w:space="0" w:color="auto"/>
        <w:right w:val="none" w:sz="0" w:space="0" w:color="auto"/>
      </w:divBdr>
    </w:div>
    <w:div w:id="1997106220">
      <w:bodyDiv w:val="1"/>
      <w:marLeft w:val="0"/>
      <w:marRight w:val="0"/>
      <w:marTop w:val="0"/>
      <w:marBottom w:val="0"/>
      <w:divBdr>
        <w:top w:val="none" w:sz="0" w:space="0" w:color="auto"/>
        <w:left w:val="none" w:sz="0" w:space="0" w:color="auto"/>
        <w:bottom w:val="none" w:sz="0" w:space="0" w:color="auto"/>
        <w:right w:val="none" w:sz="0" w:space="0" w:color="auto"/>
      </w:divBdr>
    </w:div>
    <w:div w:id="2011253406">
      <w:bodyDiv w:val="1"/>
      <w:marLeft w:val="0"/>
      <w:marRight w:val="0"/>
      <w:marTop w:val="0"/>
      <w:marBottom w:val="0"/>
      <w:divBdr>
        <w:top w:val="none" w:sz="0" w:space="0" w:color="auto"/>
        <w:left w:val="none" w:sz="0" w:space="0" w:color="auto"/>
        <w:bottom w:val="none" w:sz="0" w:space="0" w:color="auto"/>
        <w:right w:val="none" w:sz="0" w:space="0" w:color="auto"/>
      </w:divBdr>
    </w:div>
    <w:div w:id="2025132696">
      <w:bodyDiv w:val="1"/>
      <w:marLeft w:val="0"/>
      <w:marRight w:val="0"/>
      <w:marTop w:val="0"/>
      <w:marBottom w:val="0"/>
      <w:divBdr>
        <w:top w:val="none" w:sz="0" w:space="0" w:color="auto"/>
        <w:left w:val="none" w:sz="0" w:space="0" w:color="auto"/>
        <w:bottom w:val="none" w:sz="0" w:space="0" w:color="auto"/>
        <w:right w:val="none" w:sz="0" w:space="0" w:color="auto"/>
      </w:divBdr>
    </w:div>
    <w:div w:id="2035449437">
      <w:bodyDiv w:val="1"/>
      <w:marLeft w:val="0"/>
      <w:marRight w:val="0"/>
      <w:marTop w:val="0"/>
      <w:marBottom w:val="0"/>
      <w:divBdr>
        <w:top w:val="none" w:sz="0" w:space="0" w:color="auto"/>
        <w:left w:val="none" w:sz="0" w:space="0" w:color="auto"/>
        <w:bottom w:val="none" w:sz="0" w:space="0" w:color="auto"/>
        <w:right w:val="none" w:sz="0" w:space="0" w:color="auto"/>
      </w:divBdr>
    </w:div>
    <w:div w:id="2060784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D9F412-E84D-4EED-BB5B-EA09B382B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76</Pages>
  <Words>20773</Words>
  <Characters>118412</Characters>
  <Application>Microsoft Office Word</Application>
  <DocSecurity>0</DocSecurity>
  <Lines>986</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Kota Kadzuke</dc:creator>
  <cp:keywords/>
  <dc:description/>
  <cp:lastModifiedBy>Иван</cp:lastModifiedBy>
  <cp:revision>10</cp:revision>
  <dcterms:created xsi:type="dcterms:W3CDTF">2024-12-09T18:05:00Z</dcterms:created>
  <dcterms:modified xsi:type="dcterms:W3CDTF">2024-12-23T10:57:00Z</dcterms:modified>
</cp:coreProperties>
</file>